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695A855" w14:textId="77777777" w:rsidR="00FA6E5F" w:rsidRDefault="00000000">
      <w:pPr>
        <w:ind w:firstLine="0"/>
      </w:pPr>
      <w:r>
        <w:rPr>
          <w:b/>
          <w:color w:val="1F4E79"/>
          <w:sz w:val="18"/>
        </w:rPr>
        <w:t>RESEARCH ARTICLE</w:t>
      </w:r>
    </w:p>
    <w:p w14:paraId="1667C083" w14:textId="77777777" w:rsidR="00FA6E5F" w:rsidRDefault="00000000">
      <w:pPr>
        <w:ind w:firstLine="0"/>
        <w:jc w:val="center"/>
      </w:pPr>
      <w:r>
        <w:rPr>
          <w:b/>
          <w:sz w:val="36"/>
        </w:rPr>
        <w:t>基于多层感知机的多层介质薄膜光谱预测与辅助设计</w:t>
      </w:r>
    </w:p>
    <w:p w14:paraId="25513031" w14:textId="77777777" w:rsidR="00FA6E5F" w:rsidRDefault="00000000">
      <w:pPr>
        <w:ind w:firstLine="0"/>
        <w:jc w:val="center"/>
      </w:pPr>
      <w:r>
        <w:rPr>
          <w:sz w:val="24"/>
        </w:rPr>
        <w:t>MLP-Based Spectral Prediction and Data-Driven Design of Multilayer Dielectric Thin Films</w:t>
      </w:r>
    </w:p>
    <w:p w14:paraId="36B29008" w14:textId="502E2E58" w:rsidR="00FA6E5F" w:rsidRDefault="00000000">
      <w:pPr>
        <w:ind w:firstLine="0"/>
        <w:jc w:val="center"/>
      </w:pPr>
      <w:r>
        <w:rPr>
          <w:b w:val="0"/>
        </w:rPr>
        <w:t>姓名：__________    学号：2023303003</w:t>
      </w:r>
    </w:p>
    <w:p w14:paraId="7B4C60A3" w14:textId="77777777" w:rsidR="00FA6E5F" w:rsidRDefault="00000000">
      <w:pPr>
        <w:ind w:firstLine="0"/>
        <w:jc w:val="center"/>
      </w:pPr>
      <w:r>
        <w:rPr>
          <w:b w:val="0"/>
        </w:rPr>
        <w:t>λtarget：480 nm    seed：303003    design_seed：303004</w:t>
      </w:r>
    </w:p>
    <w:p w14:paraId="3C245656" w14:textId="77777777" w:rsidR="00FA6E5F" w:rsidRDefault="00000000">
      <w:pPr>
        <w:ind w:firstLine="0"/>
        <w:rPr>
          <w:lang w:eastAsia="zh-CN"/>
        </w:rPr>
      </w:pPr>
      <w:r>
        <w:rPr>
          <w:b w:val="0"/>
        </w:rPr>
        <w:t>摘要</w:t>
      </w:r>
    </w:p>
    <w:p>
      <w:pPr>
        <w:spacing w:line="254" w:lineRule="auto" w:after="20"/>
        <w:ind w:firstLine="400"/>
        <w:jc w:val="both"/>
      </w:pPr>
      <w:r>
        <w:rPr>
          <w:sz w:val="20"/>
        </w:rPr>
        <w:t>多层介质薄膜的反射光谱由各层厚度经干涉效应决定，正向计算依赖传输矩阵法（TMM），评估大量候选时代价不可忽略。以 Air/H/L/H/L/Glass 四层膜为对象，用 TMM 生成 5000 组膜厚—光谱数据并训练 MLP 代理模型。测试集平均绝对误差 0.00638，R² = 0.9977；误差随训练样本数按 N^(−1.031) 幂律下降且边际收益递减，主因是膜厚空间的局部采样稀疏（r = 0.370）而非波长采样。10000 组候选中，MLP 排序与 TMM 真值的相关系数为 0.9983；所选设计经 TMM 复核达四分之一波长上限 0.6589 的 99.8%。代理模型可快速压缩候选规模，最终须由 TMM 复核。</w:t>
      </w:r>
    </w:p>
    <w:p>
      <w:pPr>
        <w:pStyle w:val="1"/>
        <w:spacing w:before="120" w:after="40"/>
      </w:pPr>
      <w:r>
        <w:t>1. 引言</w:t>
      </w:r>
    </w:p>
    <w:p>
      <w:pPr>
        <w:spacing w:line="254" w:lineRule="auto" w:after="20"/>
        <w:ind w:firstLine="400"/>
        <w:jc w:val="both"/>
      </w:pPr>
      <w:r>
        <w:rPr>
          <w:sz w:val="20"/>
        </w:rPr>
        <w:t>多层介质薄膜由高、低折射率材料交替堆叠而成，其反射特性来自各界面反射光之间的干涉；在正入射、无吸收、忽略色散的条件下，给定各层折射率与厚度，光谱响应即完全确定[2,3]。反之，要在某波长获得特定反射率则需确定各层厚度，这是多变量、非线性的设计问题。四分之一波长条件给出了经典解，但膜厚的周期性与光谱的多峰特性使"厚度—光谱"映射呈现强非线性，传统优化算法（如针式法）需要大量迭代[9]。</w:t>
      </w:r>
    </w:p>
    <w:p>
      <w:pPr>
        <w:spacing w:line="254" w:lineRule="auto" w:after="20"/>
        <w:ind w:firstLine="400"/>
        <w:jc w:val="both"/>
      </w:pPr>
      <w:r>
        <w:rPr>
          <w:sz w:val="20"/>
        </w:rPr>
        <w:t>传输矩阵法（TMM）是计算多层膜光谱的经典方法：把每层写成一个 2×2 特征矩阵，沿膜系连乘后由等效导纳得到反射率[2,3]。单条光谱的计算开销很小，但当设计流程需要评估上万组候选结构时，累积代价迅速上升；若再考虑色散、斜入射与吸收，单次前向计算的成本还会显著增加[1]。</w:t>
      </w:r>
    </w:p>
    <w:p>
      <w:pPr>
        <w:spacing w:line="254" w:lineRule="auto" w:after="20"/>
        <w:ind w:firstLine="400"/>
        <w:jc w:val="both"/>
      </w:pPr>
      <w:r>
        <w:rPr>
          <w:sz w:val="20"/>
        </w:rPr>
        <w:t>机器学习代理模型提供了另一条路径：用数据学习"膜厚到光谱"的映射，以极低的推理成本替代物理计算，用于大规模候选的初筛，最终结果再由物理模型复核[4,5]，这正是 AI for Science 的典型范式[1]。这一思路已在多层膜体系中以串联网络、序列生成等不同形式实现[7,8]，而荧光等纳米结构的光谱—结构双向映射也验证了其可行性[6]。本文围绕三个问题展开：（1）MLP 能否准确预测反射光谱；（2）训练数据量增加后预测误差如何变化；（3）MLP 能否作为辅助手段完成目标波长下的薄膜设计。研究对象、目标波长与随机种子均按课程要求由学号统一确定，全部结果可由公开代码复现。</w:t>
      </w:r>
    </w:p>
    <w:p>
      <w:pPr>
        <w:keepNext w:val="0"/>
        <w:keepLines/>
        <w:spacing w:before="40" w:after="0"/>
        <w:jc w:val="center"/>
      </w:pPr>
      <w:r>
        <w:drawing>
          <wp:inline xmlns:a="http://schemas.openxmlformats.org/drawingml/2006/main" xmlns:pic="http://schemas.openxmlformats.org/drawingml/2006/picture">
            <wp:extent cx="3959352" cy="196291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1_workflow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3959352" cy="1962911"/>
                    </a:xfrm>
                    <a:prstGeom prst="rect"/>
                  </pic:spPr>
                </pic:pic>
              </a:graphicData>
            </a:graphic>
          </wp:inline>
        </w:drawing>
      </w:r>
      <w:r>
        <w:br/>
      </w:r>
      <w:r>
        <w:rPr>
          <w:b/>
          <w:sz w:val="17"/>
        </w:rPr>
        <w:t>图 1</w:t>
      </w:r>
      <w:r>
        <w:rPr>
          <w:sz w:val="17"/>
        </w:rPr>
        <w:t xml:space="preserve"> 本研究的总体流程：TMM 生成数据、MLP 训练与预测、数据量实验、辅助设计与 TMM 复核。</w:t>
      </w:r>
    </w:p>
    <w:p>
      <w:pPr>
        <w:pStyle w:val="1"/>
        <w:spacing w:before="120" w:after="40"/>
      </w:pPr>
      <w:r>
        <w:t>2. 材料与方法</w:t>
      </w:r>
    </w:p>
    <w:p>
      <w:pPr>
        <w:pStyle w:val="21"/>
        <w:spacing w:before="100" w:after="20"/>
      </w:pPr>
      <w:r>
        <w:t>2.1 光学模型与传输矩阵法</w:t>
      </w:r>
    </w:p>
    <w:p>
      <w:pPr>
        <w:spacing w:line="254" w:lineRule="auto" w:after="20"/>
        <w:ind w:firstLine="400"/>
        <w:jc w:val="both"/>
      </w:pPr>
      <w:r>
        <w:rPr>
          <w:sz w:val="20"/>
        </w:rPr>
        <w:t>研究对象为 Air/H/L/H/L/Glass 四层介质膜，正入射、无吸收、忽略色散。高、低折射率材料取 n~H~ = 2.30 与 n~L~ = 1.45，基底 n~s~ = 1.52，入射介质为空气 n~0~ = 1.00；每层膜厚 40–180 nm，波长 400–800 nm、步长 10 nm，共 41 点。</w:t>
      </w:r>
    </w:p>
    <w:p>
      <w:pPr>
        <w:spacing w:line="254" w:lineRule="auto" w:after="20"/>
        <w:ind w:firstLine="400"/>
        <w:jc w:val="both"/>
      </w:pPr>
      <w:r>
        <w:rPr>
          <w:sz w:val="20"/>
        </w:rPr>
        <w:t>第 i 层的位相厚度为</w:t>
      </w:r>
    </w:p>
    <w:p>
      <w:pPr>
        <w:keepLines/>
        <w:spacing w:before="40" w:after="40"/>
        <w:jc w:val="center"/>
      </w:pPr>
      <w:r>
        <w:drawing>
          <wp:inline xmlns:a="http://schemas.openxmlformats.org/drawingml/2006/main" xmlns:pic="http://schemas.openxmlformats.org/drawingml/2006/picture">
            <wp:extent cx="1865520" cy="274341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l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1865520" cy="2743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54" w:lineRule="auto" w:after="20"/>
        <w:ind w:firstLine="400"/>
        <w:jc w:val="both"/>
      </w:pPr>
      <w:r>
        <w:rPr>
          <w:sz w:val="20"/>
        </w:rPr>
        <w:t>其特征矩阵为</w:t>
      </w:r>
    </w:p>
    <w:p>
      <w:pPr>
        <w:keepLines/>
        <w:spacing w:before="40" w:after="40"/>
        <w:jc w:val="center"/>
      </w:pPr>
      <w:r>
        <w:drawing>
          <wp:inline xmlns:a="http://schemas.openxmlformats.org/drawingml/2006/main" xmlns:pic="http://schemas.openxmlformats.org/drawingml/2006/picture">
            <wp:extent cx="2779920" cy="548668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atrix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2779920" cy="54866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54" w:lineRule="auto" w:after="20"/>
        <w:ind w:firstLine="400"/>
        <w:jc w:val="both"/>
      </w:pPr>
      <w:r>
        <w:rPr>
          <w:sz w:val="20"/>
        </w:rPr>
        <w:t>其中正入射下光学导纳 η~i~ = n~i~（自由空间单位）[2,3]。整个膜系的特征矩阵为各层矩阵按入射到出射顺序的连乘 M = M₁M₂M₃M₄，由</w:t>
      </w:r>
    </w:p>
    <w:p>
      <w:pPr>
        <w:keepLines/>
        <w:spacing w:before="40" w:after="40"/>
        <w:jc w:val="center"/>
      </w:pPr>
      <w:r>
        <w:drawing>
          <wp:inline xmlns:a="http://schemas.openxmlformats.org/drawingml/2006/main" xmlns:pic="http://schemas.openxmlformats.org/drawingml/2006/picture">
            <wp:extent cx="4240440" cy="420615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cr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4240440" cy="42061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54" w:lineRule="auto" w:after="20"/>
        <w:ind w:firstLine="400"/>
        <w:jc w:val="both"/>
      </w:pPr>
      <w:r>
        <w:rPr>
          <w:sz w:val="20"/>
        </w:rPr>
        <w:t>即由等效导纳 Y = C/B 得到反射系数 r 与反射率 R。</w:t>
      </w:r>
    </w:p>
    <w:p>
      <w:pPr>
        <w:spacing w:line="254" w:lineRule="auto" w:after="20"/>
        <w:ind w:firstLine="400"/>
        <w:jc w:val="both"/>
      </w:pPr>
      <w:r>
        <w:rPr>
          <w:sz w:val="20"/>
        </w:rPr>
        <w:t>本文用两套独立实现计算 R：一是上述特征矩阵连乘；二是从基底出发的等效导纳递推</w:t>
      </w:r>
    </w:p>
    <w:p>
      <w:pPr>
        <w:keepLines/>
        <w:spacing w:before="40" w:after="40"/>
        <w:jc w:val="center"/>
      </w:pPr>
      <w:r>
        <w:drawing>
          <wp:inline xmlns:a="http://schemas.openxmlformats.org/drawingml/2006/main" xmlns:pic="http://schemas.openxmlformats.org/drawingml/2006/picture">
            <wp:extent cx="2779920" cy="512091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m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2779920" cy="51209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54" w:lineRule="auto" w:after="20"/>
        <w:ind w:firstLine="400"/>
        <w:jc w:val="both"/>
      </w:pPr>
      <w:r>
        <w:rPr>
          <w:sz w:val="20"/>
        </w:rPr>
        <w:t>二者数学等价但代码路径不同，用于互相验错。校核结果：裸基底与解析值 4.258% 差 7×10⁻¹⁸；四分之一波长膜系在 480 nm 处与导纳链解析值 0.6589 差 1×10⁻¹⁶；200 组单层膜与解析式的最大偏差 6×10⁻¹⁶；两套实现在 2000 组随机膜厚上的最大差异 9×10⁻¹⁶；与在线 TMM 工具核对的最大偏差 6×10⁻¹⁶。</w:t>
      </w:r>
    </w:p>
    <w:p>
      <w:pPr>
        <w:keepNext w:val="0"/>
        <w:keepLines/>
        <w:spacing w:before="40" w:after="0"/>
        <w:jc w:val="center"/>
      </w:pPr>
      <w:r>
        <w:drawing>
          <wp:inline xmlns:a="http://schemas.openxmlformats.org/drawingml/2006/main" xmlns:pic="http://schemas.openxmlformats.org/drawingml/2006/picture">
            <wp:extent cx="4175759" cy="2292095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2_model_data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4175759" cy="2292095"/>
                    </a:xfrm>
                    <a:prstGeom prst="rect"/>
                  </pic:spPr>
                </pic:pic>
              </a:graphicData>
            </a:graphic>
          </wp:inline>
        </w:drawing>
      </w:r>
      <w:r>
        <w:br/>
      </w:r>
      <w:r>
        <w:rPr>
          <w:b/>
          <w:sz w:val="17"/>
        </w:rPr>
        <w:t>图 2</w:t>
      </w:r>
      <w:r>
        <w:rPr>
          <w:sz w:val="17"/>
        </w:rPr>
        <w:t xml:space="preserve"> 物理模型与 TMM 数据生成：(a) 膜系结构与折射率（n~H~、n~L~、n~s~）；(b) 三条代表性反射</w:t>
      </w:r>
    </w:p>
    <w:p>
      <w:pPr>
        <w:spacing w:line="254" w:lineRule="auto" w:after="20"/>
        <w:ind w:firstLine="400"/>
        <w:jc w:val="both"/>
      </w:pPr>
      <w:r>
        <w:rPr>
          <w:sz w:val="20"/>
        </w:rPr>
        <w:t>光谱，虚线为 λ_target = 480 nm；(c) 5000 组样本在目标波长处的反射率分布，橙色虚线为解析上限。</w:t>
      </w:r>
    </w:p>
    <w:p>
      <w:pPr>
        <w:pStyle w:val="21"/>
        <w:spacing w:before="100" w:after="20"/>
      </w:pPr>
      <w:r>
        <w:t>2.2 个人目标波长与随机种子</w:t>
      </w:r>
    </w:p>
    <w:p>
      <w:pPr>
        <w:spacing w:line="254" w:lineRule="auto" w:after="20"/>
        <w:ind w:firstLine="400"/>
        <w:jc w:val="both"/>
      </w:pPr>
      <w:r>
        <w:rPr>
          <w:sz w:val="20"/>
        </w:rPr>
        <w:t>学号后两位为 N 时 λ_target = 450 + 10 × (N mod 31) nm；seed 取学号后 6 位，控制数据生成、划分与模型初始化；设计阶段取 design_seed = seed + 1 以避免候选与训练数据重复。本人学号后两位为 03，故 λ_target = 480 nm，seed = 303003，design_seed = 303004。</w:t>
      </w:r>
    </w:p>
    <w:p>
      <w:pPr>
        <w:pStyle w:val="21"/>
        <w:spacing w:before="100" w:after="20"/>
      </w:pPr>
      <w:r>
        <w:t>2.3 数据集生成</w:t>
      </w:r>
    </w:p>
    <w:p>
      <w:pPr>
        <w:spacing w:line="254" w:lineRule="auto" w:after="20"/>
        <w:ind w:firstLine="400"/>
        <w:jc w:val="both"/>
      </w:pPr>
      <w:r>
        <w:rPr>
          <w:sz w:val="20"/>
        </w:rPr>
        <w:t>用 numpy 传统随机数接口（np.random.seed 与 np.random.rand，该接口有跨版本流一致性保证）在 40–180 nm 内均匀采样 5000 组四层膜厚，并用 TMM 计算 41 个波长处的反射率。随后固定划分：随机排列后的前 4000 组为训练池、其后 500 组为验证集、末 500 组为测试集，该划分全程不变；数据量实验中的"N 组"即训练池中的前 N 组。</w:t>
      </w:r>
    </w:p>
    <w:p>
      <w:pPr>
        <w:pStyle w:val="21"/>
        <w:spacing w:before="100" w:after="20"/>
      </w:pPr>
      <w:r>
        <w:t>2.4 MLP 代理模型</w:t>
      </w:r>
    </w:p>
    <w:p>
      <w:pPr>
        <w:spacing w:line="254" w:lineRule="auto" w:after="20"/>
        <w:ind w:firstLine="400"/>
        <w:jc w:val="both"/>
      </w:pPr>
      <w:r>
        <w:rPr>
          <w:sz w:val="20"/>
        </w:rPr>
        <w:t>MLP 输入为归一化到 [0, 1] 的四层膜厚 (d − 40)/140，输出为 41 点反射率。结构为 4–128–128–64–41，隐藏层用 ReLU，输出层线性，参数量约 2.7×10⁴。损失为均方误差（MSE），优化器 Adam（学习率 3×10⁻³，批大小 256），最多训练 4000 轮，以验证集损失早停（耐心 400 轮）并取验证集最优权重。数组运算与自动微分分别由 NumPy[11] 与 PyTorch[12] 提供，训练在 CPU 上完成，单次约 211.7 s；数据量实验中各模型除样本数与初始化种子外超参数完全一致。</w:t>
      </w:r>
    </w:p>
    <w:p>
      <w:pPr>
        <w:keepNext w:val="0"/>
        <w:keepLines/>
        <w:spacing w:before="40" w:after="0"/>
        <w:jc w:val="center"/>
      </w:pPr>
      <w:r>
        <w:drawing>
          <wp:inline xmlns:a="http://schemas.openxmlformats.org/drawingml/2006/main" xmlns:pic="http://schemas.openxmlformats.org/drawingml/2006/picture">
            <wp:extent cx="3959352" cy="1731264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3_arch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3959352" cy="1731264"/>
                    </a:xfrm>
                    <a:prstGeom prst="rect"/>
                  </pic:spPr>
                </pic:pic>
              </a:graphicData>
            </a:graphic>
          </wp:inline>
        </w:drawing>
      </w:r>
      <w:r>
        <w:br/>
      </w:r>
      <w:r>
        <w:rPr>
          <w:b/>
          <w:sz w:val="17"/>
        </w:rPr>
        <w:t>图 3</w:t>
      </w:r>
      <w:r>
        <w:rPr>
          <w:sz w:val="17"/>
        </w:rPr>
        <w:t xml:space="preserve"> MLP 代理模型结构：输入 4 层膜厚，经 128–128–64 三个隐藏层，输出 41 点反射率。</w:t>
      </w:r>
    </w:p>
    <w:p>
      <w:pPr>
        <w:pStyle w:val="21"/>
        <w:spacing w:before="100" w:after="20"/>
      </w:pPr>
      <w:r>
        <w:t>2.5 训练数据量实验</w:t>
      </w:r>
    </w:p>
    <w:p>
      <w:pPr>
        <w:spacing w:line="254" w:lineRule="auto" w:after="20"/>
        <w:ind w:firstLine="400"/>
        <w:jc w:val="both"/>
      </w:pPr>
      <w:r>
        <w:rPr>
          <w:sz w:val="20"/>
        </w:rPr>
        <w:t>从固定训练池中依次取前 500、1000、2000、4000 组训练，验证集与测试集固定不变；每水平用 3 个种子重复以抑制初始化波动，并对 MSE-样本数做双对数拟合得到幂律指数 α。</w:t>
      </w:r>
    </w:p>
    <w:p>
      <w:pPr>
        <w:pStyle w:val="21"/>
        <w:spacing w:before="100" w:after="20"/>
      </w:pPr>
      <w:r>
        <w:t>2.6 MLP 辅助薄膜筛选</w:t>
      </w:r>
    </w:p>
    <w:p>
      <w:pPr>
        <w:spacing w:line="254" w:lineRule="auto" w:after="20"/>
        <w:ind w:firstLine="400"/>
        <w:jc w:val="both"/>
      </w:pPr>
      <w:r>
        <w:rPr>
          <w:sz w:val="20"/>
        </w:rPr>
        <w:t>用 design_seed 在 40–180 nm 内均匀生成 10000 组候选，MLP 预测其 41 点光谱后按 λ_target 处反射率降序取前 10 名。为检验排名可信度，对全部候选重算 TMM 真值，计算预测与真值排序的 Spearman 系数、Top10 召回率，并按真值重排得到最终 Top5。性能参照为 λ_target 处的物理上限，由解析四分之一波长条件与全局优化分别给出。</w:t>
      </w:r>
    </w:p>
    <w:p>
      <w:pPr>
        <w:pStyle w:val="1"/>
        <w:spacing w:before="120" w:after="40"/>
      </w:pPr>
      <w:r>
        <w:t>3. 结果</w:t>
      </w:r>
    </w:p>
    <w:p>
      <w:pPr>
        <w:pStyle w:val="21"/>
        <w:spacing w:before="100" w:after="20"/>
      </w:pPr>
      <w:r>
        <w:t>3.1 训练与光谱预测</w:t>
      </w:r>
    </w:p>
    <w:p>
      <w:pPr>
        <w:spacing w:line="254" w:lineRule="auto" w:after="20"/>
        <w:ind w:firstLine="400"/>
        <w:jc w:val="both"/>
      </w:pPr>
      <w:r>
        <w:rPr>
          <w:sz w:val="20"/>
        </w:rPr>
        <w:t>基础模型（4000 组训练）在 4000 轮内收敛，验证集最优出现在第 3986 轮，验证集 MSE 为 8×10⁻⁵；训练集与验证集损失曲线几乎重合（图 4），说明该规模下未出现明显过拟合。</w:t>
      </w:r>
    </w:p>
    <w:p>
      <w:pPr>
        <w:keepNext w:val="0"/>
        <w:keepLines/>
        <w:spacing w:before="40" w:after="0"/>
        <w:jc w:val="center"/>
      </w:pPr>
      <w:r>
        <w:drawing>
          <wp:inline xmlns:a="http://schemas.openxmlformats.org/drawingml/2006/main" xmlns:pic="http://schemas.openxmlformats.org/drawingml/2006/picture">
            <wp:extent cx="4818888" cy="1255776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4_training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4818888" cy="1255776"/>
                    </a:xfrm>
                    <a:prstGeom prst="rect"/>
                  </pic:spPr>
                </pic:pic>
              </a:graphicData>
            </a:graphic>
          </wp:inline>
        </w:drawing>
      </w:r>
      <w:r>
        <w:br/>
      </w:r>
      <w:r>
        <w:rPr>
          <w:b/>
          <w:sz w:val="17"/>
        </w:rPr>
        <w:t>图 4</w:t>
      </w:r>
      <w:r>
        <w:rPr>
          <w:sz w:val="17"/>
        </w:rPr>
        <w:t xml:space="preserve"> 训练集与验证集的损失曲线：(a) 全部 4000 轮；(b) 收敛段放大，虚线标注验证集最优轮次。</w:t>
      </w:r>
    </w:p>
    <w:p>
      <w:pPr>
        <w:spacing w:line="254" w:lineRule="auto" w:after="20"/>
        <w:ind w:firstLine="400"/>
        <w:jc w:val="both"/>
      </w:pPr>
      <w:r>
        <w:rPr>
          <w:sz w:val="20"/>
        </w:rPr>
        <w:t>固定测试集（500 组）上 MAE 为 0.00638，RMSE 为 0.0086，R² = 0.9977，单点最大绝对偏差 0.054；短波端误差略大（400 nm 处 0.0135），长波端最小（780 nm 处 0.0038）。图 5 给出三个代表性样本，误差较大者在 400–550 nm 明显振荡。目标波长处预测与真值的 Pearson 相关系数为 0.9984，MAE = 0.00786，偏差 +0.00093。</w:t>
      </w:r>
    </w:p>
    <w:p>
      <w:pPr>
        <w:keepNext w:val="0"/>
        <w:keepLines/>
        <w:spacing w:before="40" w:after="0"/>
        <w:jc w:val="center"/>
      </w:pPr>
      <w:r>
        <w:drawing>
          <wp:inline xmlns:a="http://schemas.openxmlformats.org/drawingml/2006/main" xmlns:pic="http://schemas.openxmlformats.org/drawingml/2006/picture">
            <wp:extent cx="5129784" cy="2051303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5_prediction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129784" cy="2051303"/>
                    </a:xfrm>
                    <a:prstGeom prst="rect"/>
                  </pic:spPr>
                </pic:pic>
              </a:graphicData>
            </a:graphic>
          </wp:inline>
        </w:drawing>
      </w:r>
      <w:r>
        <w:br/>
      </w:r>
      <w:r>
        <w:rPr>
          <w:b/>
          <w:sz w:val="17"/>
        </w:rPr>
        <w:t>图 5</w:t>
      </w:r>
      <w:r>
        <w:rPr>
          <w:sz w:val="17"/>
        </w:rPr>
        <w:t xml:space="preserve"> 测试集上 TMM 真值与 MLP 预测的光谱对比：(a)(b)(c) 误差由小到大的三个代表性样本；</w:t>
      </w:r>
    </w:p>
    <w:p>
      <w:pPr>
        <w:spacing w:line="254" w:lineRule="auto" w:after="20"/>
        <w:ind w:firstLine="400"/>
        <w:jc w:val="both"/>
      </w:pPr>
      <w:r>
        <w:rPr>
          <w:sz w:val="20"/>
        </w:rPr>
        <w:t>(d) 目标波长处的预测—真值散点。</w:t>
      </w:r>
    </w:p>
    <w:p>
      <w:pPr>
        <w:pStyle w:val="21"/>
        <w:spacing w:before="100" w:after="20"/>
      </w:pPr>
      <w:r>
        <w:t>3.2 训练数据量的影响</w:t>
      </w:r>
    </w:p>
    <w:p>
      <w:pPr>
        <w:spacing w:line="254" w:lineRule="auto" w:after="20"/>
        <w:ind w:firstLine="400"/>
        <w:jc w:val="both"/>
      </w:pPr>
      <w:r>
        <w:rPr>
          <w:sz w:val="20"/>
        </w:rPr>
        <w:t>训练样本数从 500 增至 4000（每水平 3 个种子），测试集 MSE 由 6×10⁻⁴ 降至 7×10⁻⁵，MAE 由 0.0171 降至 0.0063。双对数拟合给出 MSE ∝ N^(−1.031)，R² = 0.9910（图 6a）。从 500 增至 1000 组误差下降约 56.7%，而从 2000 增至 4000 组仅再降 41.7%，边际收益递减明显（图 6b）。种子间标准差（约 3×10⁻⁵）远小于不同数据量之间的差异，说明该趋势来自数据量而非初始化。</w:t>
      </w:r>
    </w:p>
    <w:p>
      <w:pPr>
        <w:keepNext w:val="0"/>
        <w:keepLines/>
        <w:spacing w:before="40" w:after="0"/>
        <w:jc w:val="center"/>
      </w:pPr>
      <w:r>
        <w:drawing>
          <wp:inline xmlns:a="http://schemas.openxmlformats.org/drawingml/2006/main" xmlns:pic="http://schemas.openxmlformats.org/drawingml/2006/picture">
            <wp:extent cx="4815840" cy="1213104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6_datasize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4815840" cy="1213104"/>
                    </a:xfrm>
                    <a:prstGeom prst="rect"/>
                  </pic:spPr>
                </pic:pic>
              </a:graphicData>
            </a:graphic>
          </wp:inline>
        </w:drawing>
      </w:r>
      <w:r>
        <w:br/>
      </w:r>
      <w:r>
        <w:rPr>
          <w:b/>
          <w:sz w:val="17"/>
        </w:rPr>
        <w:t>图 6</w:t>
      </w:r>
      <w:r>
        <w:rPr>
          <w:sz w:val="17"/>
        </w:rPr>
        <w:t xml:space="preserve"> 训练样本数对测试误差的影响：(a) 双对数坐标下的幂律关系；(b) 平均绝对误差与边际收益递减。</w:t>
      </w:r>
    </w:p>
    <w:p>
      <w:pPr>
        <w:pStyle w:val="21"/>
        <w:spacing w:before="100" w:after="20"/>
      </w:pPr>
      <w:r>
        <w:t>3.3 MLP 辅助薄膜设计</w:t>
      </w:r>
    </w:p>
    <w:p>
      <w:pPr>
        <w:spacing w:line="254" w:lineRule="auto" w:after="20"/>
        <w:ind w:firstLine="400"/>
        <w:jc w:val="both"/>
      </w:pPr>
      <w:r>
        <w:rPr>
          <w:sz w:val="20"/>
        </w:rPr>
        <w:t>用 design_seed 生成 10000 组候选膜厚，MLP 预测并按 λ_target 处的反射率排序，再对全部候选做 TMM 复核（图 7b）：MLP 预测值与真值在目标波长处的 Spearman 相关系数为 0.9983，Pearson 相关系数 0.9984；MLP 排序的 Top10 中有 60% 落在 TMM 排序的 Top10 内，Top5 召回率 80%；MLP 排名第 1 的候选恰好也是全批 10000 组中 TMM 真值最高的结构，真值 R(480 nm) = 0.6579，处于候选池的 99.99 分位。</w:t>
      </w:r>
    </w:p>
    <w:p>
      <w:pPr>
        <w:spacing w:line="254" w:lineRule="auto" w:after="20"/>
        <w:ind w:firstLine="400"/>
        <w:jc w:val="both"/>
      </w:pPr>
      <w:r>
        <w:rPr>
          <w:sz w:val="20"/>
        </w:rPr>
        <w:t>按 TMM 真值重排后得到的最终 Top5 见表 1，五组设计的真值反射率落在 0.6521–0.6579 之间，均处于候选池前 0.1%。图 7a 给出最终设计的光谱：MLP 预测与 TMM 真值高度重合，但在目标波长处给出 0.6657 的预测值，高于物理上限 0.6589，说明代理模型在极值附近倾向于外推。</w:t>
      </w:r>
    </w:p>
    <w:p>
      <w:pPr>
        <w:spacing w:line="254" w:lineRule="auto" w:after="20"/>
        <w:ind w:firstLine="400"/>
        <w:jc w:val="both"/>
      </w:pPr>
      <w:r>
        <w:rPr>
          <w:sz w:val="20"/>
        </w:rPr>
        <w:t>为确认这一性能参照的可靠性，本文用两条独立路径求 λ_target 处的反射率上限。解析路径由四分之一波长条件给出，对应膜厚 52.17/82.76/52.17/82.76 nm，R = 0.6589；数值路径先用差分进化与 41 个起点的 L-BFGS-B 局部优化，再对四维膜厚空间做每层 41 点的密集网格穷举（共 2.83×10⁶ 个评价点）并逐级细化，两条路径的最优值相差仅 8×10⁻⁶。网格搜索还揭示了一个精确对称性：单层特征矩阵满足 M(δ + π) = −M(δ)，而反射率只依赖 C/B，符号自动抵消，因此任意层增加半个波长的光学厚度不改变光谱。在 40–180 nm 的盒约束内，两片高折射率层可分别取 52.17 nm 或 156.52 nm，构成 4 个在 λ_target 处完全等价的解（反射率差异为 0.0000）。这解释了候选池中高分结构的形貌：全批 TMM 最优解的 d₁ 为 158.56 nm 而非 52.17 nm，两者正是这一家族中的两个成员。</w:t>
      </w:r>
    </w:p>
    <w:p>
      <w:pPr>
        <w:spacing w:line="254" w:lineRule="auto" w:after="20"/>
        <w:ind w:firstLine="400"/>
        <w:jc w:val="both"/>
      </w:pPr>
      <w:r>
        <w:rPr>
          <w:sz w:val="20"/>
        </w:rPr>
        <w:t>代理模型的分辨率存在上限。候选池顶部 1%（100 组）的真值跨度为 0.0252，约为 MLP 在目标波长处预测误差（0.00786）的 3 倍，该量级上的排序可信；但顶部 0.1%（10 组）的跨度仅 0.0069，小于模型误差，最优集合内部的精确名次不可分辨。因此代理模型的价值在于把候选规模从 10⁴ 压缩到 10，而非给出唯一的第 1 名。</w:t>
      </w:r>
    </w:p>
    <w:p>
      <w:pPr>
        <w:spacing w:line="254" w:lineRule="auto" w:after="20"/>
        <w:ind w:firstLine="400"/>
        <w:jc w:val="both"/>
      </w:pPr>
      <w:r>
        <w:rPr>
          <w:sz w:val="20"/>
        </w:rPr>
        <w:t>一个自然的改进方向是让损失函数偏向设计关心的波长。把 λ_target 处的权重提高到 10 倍重新训练后，目标波长处的测试 MAE 由 0.00786 降至 0.00597（改善 24.0%），候选池的 Spearman 相关系数升至 0.9989；但 MLP 的 Top1 不再等同于 TMM 真值最优（该最优仍落在其 Top10 之内）。这与上述分辨率极限一致：提高单点精度能改善整体排序，却无法消除最优尾部的名次抖动。</w:t>
      </w:r>
    </w:p>
    <w:p>
      <w:pPr>
        <w:keepNext w:val="0"/>
        <w:keepLines/>
        <w:spacing w:before="40" w:after="0"/>
        <w:jc w:val="center"/>
      </w:pPr>
      <w:r>
        <w:drawing>
          <wp:inline xmlns:a="http://schemas.openxmlformats.org/drawingml/2006/main" xmlns:pic="http://schemas.openxmlformats.org/drawingml/2006/picture">
            <wp:extent cx="4821936" cy="1182624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7_design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4821936" cy="1182624"/>
                    </a:xfrm>
                    <a:prstGeom prst="rect"/>
                  </pic:spPr>
                </pic:pic>
              </a:graphicData>
            </a:graphic>
          </wp:inline>
        </w:drawing>
      </w:r>
      <w:r>
        <w:br/>
      </w:r>
      <w:r>
        <w:rPr>
          <w:b/>
          <w:sz w:val="17"/>
        </w:rPr>
        <w:t>图 7</w:t>
      </w:r>
      <w:r>
        <w:rPr>
          <w:sz w:val="17"/>
        </w:rPr>
        <w:t xml:space="preserve"> (a) 最终设计的 MLP 预测光谱与 TMM 复核光谱（标注目标波长与物理上限）；</w:t>
      </w:r>
    </w:p>
    <w:p>
      <w:pPr>
        <w:spacing w:line="254" w:lineRule="auto" w:after="20"/>
        <w:ind w:firstLine="400"/>
        <w:jc w:val="both"/>
      </w:pPr>
      <w:r>
        <w:rPr>
          <w:sz w:val="20"/>
        </w:rPr>
        <w:t>(b) 10000 组候选的预测—真值排名一致性。</w:t>
      </w:r>
    </w:p>
    <w:p>
      <w:pPr>
        <w:pStyle w:val="21"/>
        <w:spacing w:before="100" w:after="20"/>
      </w:pPr>
      <w:r>
        <w:t>3.4 代表性失败案例与误差来源</w:t>
      </w:r>
    </w:p>
    <w:p>
      <w:pPr>
        <w:spacing w:line="254" w:lineRule="auto" w:after="20"/>
        <w:ind w:firstLine="400"/>
        <w:jc w:val="both"/>
      </w:pPr>
      <w:r>
        <w:rPr>
          <w:sz w:val="20"/>
        </w:rPr>
        <w:t>图 8a 给出误差最大的测试样本：四层膜厚为 179.9, 158.6, 147.6, 73.5 nm，MLP 在 400–500 nm 区间系统性高估，单样本 MAE 达 0.0149，约为整体平均值的 2.3 倍。为定位失败机理，本文考察了四类候选解释，只有一类成立。</w:t>
      </w:r>
    </w:p>
    <w:p>
      <w:pPr>
        <w:spacing w:line="254" w:lineRule="auto" w:after="20"/>
        <w:ind w:firstLine="400"/>
        <w:jc w:val="both"/>
      </w:pPr>
      <w:r>
        <w:rPr>
          <w:sz w:val="20"/>
        </w:rPr>
        <w:t>第一，波长采样不足可以直接排除：干涉条纹间距的中位数为 180 nm、最小 120 nm，按 Nyquist 判据只需 ≤ 60 nm，而本文用 10 nm，冗余 6 倍。第二，光谱陡峭度与膜厚灵敏度均只有弱相关或不显著：逐样本 MSE 与相邻波长平均变化幅度的相关系数为 0.207（r² = 0.043），与总光学厚度为 0.148，与差分法估计的 |∂R/∂d|为 -0.078（不显著）。第三，局部采样密度相关性最强：测试样本到训练集的第 10 近邻距离与逐样本 MSE 的相关系数为 0.370（r² = 0.137），最稀疏组的平均 MSE 比最密集组高 48%（图 8b）。可见误差的主导来源是训练样本在膜厚空间中的局部稀疏。</w:t>
      </w:r>
    </w:p>
    <w:p>
      <w:pPr>
        <w:keepNext w:val="0"/>
        <w:keepLines/>
        <w:spacing w:before="40" w:after="0"/>
        <w:jc w:val="center"/>
      </w:pPr>
      <w:r>
        <w:drawing>
          <wp:inline xmlns:a="http://schemas.openxmlformats.org/drawingml/2006/main" xmlns:pic="http://schemas.openxmlformats.org/drawingml/2006/picture">
            <wp:extent cx="4821936" cy="1307592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8_failure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4821936" cy="1307592"/>
                    </a:xfrm>
                    <a:prstGeom prst="rect"/>
                  </pic:spPr>
                </pic:pic>
              </a:graphicData>
            </a:graphic>
          </wp:inline>
        </w:drawing>
      </w:r>
      <w:r>
        <w:br/>
      </w:r>
      <w:r>
        <w:rPr>
          <w:b/>
          <w:sz w:val="17"/>
        </w:rPr>
        <w:t>图 8</w:t>
      </w:r>
      <w:r>
        <w:rPr>
          <w:sz w:val="17"/>
        </w:rPr>
        <w:t xml:space="preserve"> 代表性失败案例：(a) 最大误差样本（膜厚 179.9, 158.6, 147.6, 73.5 nm）的 TMM 与 MLP 光谱；</w:t>
      </w:r>
    </w:p>
    <w:p>
      <w:pPr>
        <w:spacing w:line="254" w:lineRule="auto" w:after="20"/>
        <w:ind w:firstLine="400"/>
        <w:jc w:val="both"/>
      </w:pPr>
      <w:r>
        <w:rPr>
          <w:sz w:val="20"/>
        </w:rPr>
        <w:t>(b) 逐样本误差与局部采样密度的关系。</w:t>
      </w:r>
    </w:p>
    <w:p>
      <w:pPr>
        <w:keepNext/>
        <w:spacing w:before="20" w:after="40"/>
        <w:jc w:val="center"/>
      </w:pPr>
      <w:r>
        <w:rPr>
          <w:b/>
          <w:sz w:val="17"/>
        </w:rPr>
        <w:t>表 1</w:t>
      </w:r>
      <w:r>
        <w:rPr>
          <w:sz w:val="17"/>
        </w:rPr>
        <w:t xml:space="preserve"> MLP 筛选并以 TMM 复核后的最终 Top5 膜系设计。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12" w:color="000000"/>
          <w:bottom w:val="single" w:sz="12" w:color="000000"/>
          <w:left w:val="none" w:sz="0"/>
          <w:right w:val="none" w:sz="0"/>
          <w:insideH w:val="none" w:sz="0"/>
          <w:insideV w:val="none" w:sz="0"/>
        </w:tblBorders>
      </w:tblPr>
      <w:tblGrid>
        <w:gridCol w:w="1425"/>
        <w:gridCol w:w="1425"/>
        <w:gridCol w:w="1425"/>
        <w:gridCol w:w="1425"/>
        <w:gridCol w:w="1425"/>
        <w:gridCol w:w="1425"/>
        <w:gridCol w:w="1425"/>
      </w:tblGrid>
      <w:tr>
        <w:tc>
          <w:tcPr>
            <w:tcW w:type="dxa" w:w="1425"/>
            <w:tcBorders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b/>
                <w:sz w:val="16"/>
              </w:rPr>
              <w:t>排名</w:t>
            </w:r>
          </w:p>
        </w:tc>
        <w:tc>
          <w:tcPr>
            <w:tcW w:type="dxa" w:w="1425"/>
            <w:tcBorders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b/>
                <w:sz w:val="16"/>
              </w:rPr>
              <w:t>d₁ / nm</w:t>
            </w:r>
          </w:p>
        </w:tc>
        <w:tc>
          <w:tcPr>
            <w:tcW w:type="dxa" w:w="1425"/>
            <w:tcBorders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b/>
                <w:sz w:val="16"/>
              </w:rPr>
              <w:t>d₂ / nm</w:t>
            </w:r>
          </w:p>
        </w:tc>
        <w:tc>
          <w:tcPr>
            <w:tcW w:type="dxa" w:w="1425"/>
            <w:tcBorders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b/>
                <w:sz w:val="16"/>
              </w:rPr>
              <w:t>d₃ / nm</w:t>
            </w:r>
          </w:p>
        </w:tc>
        <w:tc>
          <w:tcPr>
            <w:tcW w:type="dxa" w:w="1425"/>
            <w:tcBorders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b/>
                <w:sz w:val="16"/>
              </w:rPr>
              <w:t>d₄ / nm</w:t>
            </w:r>
          </w:p>
        </w:tc>
        <w:tc>
          <w:tcPr>
            <w:tcW w:type="dxa" w:w="1425"/>
            <w:tcBorders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b/>
                <w:sz w:val="16"/>
              </w:rPr>
              <w:t>MLP 预测 R(480 nm)</w:t>
            </w:r>
          </w:p>
        </w:tc>
        <w:tc>
          <w:tcPr>
            <w:tcW w:type="dxa" w:w="1425"/>
            <w:tcBorders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b/>
                <w:sz w:val="16"/>
              </w:rPr>
              <w:t>TMM 复核 R(480 nm)</w:t>
            </w:r>
          </w:p>
        </w:tc>
      </w:tr>
      <w:tr>
        <w:tc>
          <w:tcPr>
            <w:tcW w:type="dxa" w:w="1425"/>
          </w:tcPr>
          <w:p>
            <w:pPr>
              <w:jc w:val="center"/>
            </w:pPr>
            <w:r/>
            <w:r>
              <w:rPr>
                <w:sz w:val="15"/>
              </w:rPr>
              <w:t>1</w:t>
            </w:r>
          </w:p>
        </w:tc>
        <w:tc>
          <w:tcPr>
            <w:tcW w:type="dxa" w:w="1425"/>
          </w:tcPr>
          <w:p>
            <w:pPr>
              <w:jc w:val="center"/>
            </w:pPr>
            <w:r/>
            <w:r>
              <w:rPr>
                <w:sz w:val="15"/>
              </w:rPr>
              <w:t>158.56</w:t>
            </w:r>
          </w:p>
        </w:tc>
        <w:tc>
          <w:tcPr>
            <w:tcW w:type="dxa" w:w="1425"/>
          </w:tcPr>
          <w:p>
            <w:pPr>
              <w:jc w:val="center"/>
            </w:pPr>
            <w:r/>
            <w:r>
              <w:rPr>
                <w:sz w:val="15"/>
              </w:rPr>
              <w:t>78.79</w:t>
            </w:r>
          </w:p>
        </w:tc>
        <w:tc>
          <w:tcPr>
            <w:tcW w:type="dxa" w:w="1425"/>
          </w:tcPr>
          <w:p>
            <w:pPr>
              <w:jc w:val="center"/>
            </w:pPr>
            <w:r/>
            <w:r>
              <w:rPr>
                <w:sz w:val="15"/>
              </w:rPr>
              <w:t>52.45</w:t>
            </w:r>
          </w:p>
        </w:tc>
        <w:tc>
          <w:tcPr>
            <w:tcW w:type="dxa" w:w="1425"/>
          </w:tcPr>
          <w:p>
            <w:pPr>
              <w:jc w:val="center"/>
            </w:pPr>
            <w:r/>
            <w:r>
              <w:rPr>
                <w:sz w:val="15"/>
              </w:rPr>
              <w:t>79.09</w:t>
            </w:r>
          </w:p>
        </w:tc>
        <w:tc>
          <w:tcPr>
            <w:tcW w:type="dxa" w:w="1425"/>
          </w:tcPr>
          <w:p>
            <w:pPr>
              <w:jc w:val="center"/>
            </w:pPr>
            <w:r/>
            <w:r>
              <w:rPr>
                <w:sz w:val="15"/>
              </w:rPr>
              <w:t>0.6657</w:t>
            </w:r>
          </w:p>
        </w:tc>
        <w:tc>
          <w:tcPr>
            <w:tcW w:type="dxa" w:w="1425"/>
          </w:tcPr>
          <w:p>
            <w:pPr>
              <w:jc w:val="center"/>
            </w:pPr>
            <w:r/>
            <w:r>
              <w:rPr>
                <w:sz w:val="15"/>
              </w:rPr>
              <w:t>0.6579</w:t>
            </w:r>
          </w:p>
        </w:tc>
      </w:tr>
      <w:tr>
        <w:tc>
          <w:tcPr>
            <w:tcW w:type="dxa" w:w="1425"/>
          </w:tcPr>
          <w:p>
            <w:pPr>
              <w:jc w:val="center"/>
            </w:pPr>
            <w:r/>
            <w:r>
              <w:rPr>
                <w:sz w:val="15"/>
              </w:rPr>
              <w:t>2</w:t>
            </w:r>
          </w:p>
        </w:tc>
        <w:tc>
          <w:tcPr>
            <w:tcW w:type="dxa" w:w="1425"/>
          </w:tcPr>
          <w:p>
            <w:pPr>
              <w:jc w:val="center"/>
            </w:pPr>
            <w:r/>
            <w:r>
              <w:rPr>
                <w:sz w:val="15"/>
              </w:rPr>
              <w:t>159.74</w:t>
            </w:r>
          </w:p>
        </w:tc>
        <w:tc>
          <w:tcPr>
            <w:tcW w:type="dxa" w:w="1425"/>
          </w:tcPr>
          <w:p>
            <w:pPr>
              <w:jc w:val="center"/>
            </w:pPr>
            <w:r/>
            <w:r>
              <w:rPr>
                <w:sz w:val="15"/>
              </w:rPr>
              <w:t>81.98</w:t>
            </w:r>
          </w:p>
        </w:tc>
        <w:tc>
          <w:tcPr>
            <w:tcW w:type="dxa" w:w="1425"/>
          </w:tcPr>
          <w:p>
            <w:pPr>
              <w:jc w:val="center"/>
            </w:pPr>
            <w:r/>
            <w:r>
              <w:rPr>
                <w:sz w:val="15"/>
              </w:rPr>
              <w:t>53.39</w:t>
            </w:r>
          </w:p>
        </w:tc>
        <w:tc>
          <w:tcPr>
            <w:tcW w:type="dxa" w:w="1425"/>
          </w:tcPr>
          <w:p>
            <w:pPr>
              <w:jc w:val="center"/>
            </w:pPr>
            <w:r/>
            <w:r>
              <w:rPr>
                <w:sz w:val="15"/>
              </w:rPr>
              <w:t>69.31</w:t>
            </w:r>
          </w:p>
        </w:tc>
        <w:tc>
          <w:tcPr>
            <w:tcW w:type="dxa" w:w="1425"/>
          </w:tcPr>
          <w:p>
            <w:pPr>
              <w:jc w:val="center"/>
            </w:pPr>
            <w:r/>
            <w:r>
              <w:rPr>
                <w:sz w:val="15"/>
              </w:rPr>
              <w:t>0.6605</w:t>
            </w:r>
          </w:p>
        </w:tc>
        <w:tc>
          <w:tcPr>
            <w:tcW w:type="dxa" w:w="1425"/>
          </w:tcPr>
          <w:p>
            <w:pPr>
              <w:jc w:val="center"/>
            </w:pPr>
            <w:r/>
            <w:r>
              <w:rPr>
                <w:sz w:val="15"/>
              </w:rPr>
              <w:t>0.6555</w:t>
            </w:r>
          </w:p>
        </w:tc>
      </w:tr>
      <w:tr>
        <w:tc>
          <w:tcPr>
            <w:tcW w:type="dxa" w:w="1425"/>
          </w:tcPr>
          <w:p>
            <w:pPr>
              <w:jc w:val="center"/>
            </w:pPr>
            <w:r/>
            <w:r>
              <w:rPr>
                <w:sz w:val="15"/>
              </w:rPr>
              <w:t>3</w:t>
            </w:r>
          </w:p>
        </w:tc>
        <w:tc>
          <w:tcPr>
            <w:tcW w:type="dxa" w:w="1425"/>
          </w:tcPr>
          <w:p>
            <w:pPr>
              <w:jc w:val="center"/>
            </w:pPr>
            <w:r/>
            <w:r>
              <w:rPr>
                <w:sz w:val="15"/>
              </w:rPr>
              <w:t>154.00</w:t>
            </w:r>
          </w:p>
        </w:tc>
        <w:tc>
          <w:tcPr>
            <w:tcW w:type="dxa" w:w="1425"/>
          </w:tcPr>
          <w:p>
            <w:pPr>
              <w:jc w:val="center"/>
            </w:pPr>
            <w:r/>
            <w:r>
              <w:rPr>
                <w:sz w:val="15"/>
              </w:rPr>
              <w:t>83.05</w:t>
            </w:r>
          </w:p>
        </w:tc>
        <w:tc>
          <w:tcPr>
            <w:tcW w:type="dxa" w:w="1425"/>
          </w:tcPr>
          <w:p>
            <w:pPr>
              <w:jc w:val="center"/>
            </w:pPr>
            <w:r/>
            <w:r>
              <w:rPr>
                <w:sz w:val="15"/>
              </w:rPr>
              <w:t>162.28</w:t>
            </w:r>
          </w:p>
        </w:tc>
        <w:tc>
          <w:tcPr>
            <w:tcW w:type="dxa" w:w="1425"/>
          </w:tcPr>
          <w:p>
            <w:pPr>
              <w:jc w:val="center"/>
            </w:pPr>
            <w:r/>
            <w:r>
              <w:rPr>
                <w:sz w:val="15"/>
              </w:rPr>
              <w:t>82.86</w:t>
            </w:r>
          </w:p>
        </w:tc>
        <w:tc>
          <w:tcPr>
            <w:tcW w:type="dxa" w:w="1425"/>
          </w:tcPr>
          <w:p>
            <w:pPr>
              <w:jc w:val="center"/>
            </w:pPr>
            <w:r/>
            <w:r>
              <w:rPr>
                <w:sz w:val="15"/>
              </w:rPr>
              <w:t>0.6581</w:t>
            </w:r>
          </w:p>
        </w:tc>
        <w:tc>
          <w:tcPr>
            <w:tcW w:type="dxa" w:w="1425"/>
          </w:tcPr>
          <w:p>
            <w:pPr>
              <w:jc w:val="center"/>
            </w:pPr>
            <w:r/>
            <w:r>
              <w:rPr>
                <w:sz w:val="15"/>
              </w:rPr>
              <w:t>0.6538</w:t>
            </w:r>
          </w:p>
        </w:tc>
      </w:tr>
      <w:tr>
        <w:tc>
          <w:tcPr>
            <w:tcW w:type="dxa" w:w="1425"/>
          </w:tcPr>
          <w:p>
            <w:pPr>
              <w:jc w:val="center"/>
            </w:pPr>
            <w:r/>
            <w:r>
              <w:rPr>
                <w:sz w:val="15"/>
              </w:rPr>
              <w:t>4</w:t>
            </w:r>
          </w:p>
        </w:tc>
        <w:tc>
          <w:tcPr>
            <w:tcW w:type="dxa" w:w="1425"/>
          </w:tcPr>
          <w:p>
            <w:pPr>
              <w:jc w:val="center"/>
            </w:pPr>
            <w:r/>
            <w:r>
              <w:rPr>
                <w:sz w:val="15"/>
              </w:rPr>
              <w:t>156.62</w:t>
            </w:r>
          </w:p>
        </w:tc>
        <w:tc>
          <w:tcPr>
            <w:tcW w:type="dxa" w:w="1425"/>
          </w:tcPr>
          <w:p>
            <w:pPr>
              <w:jc w:val="center"/>
            </w:pPr>
            <w:r/>
            <w:r>
              <w:rPr>
                <w:sz w:val="15"/>
              </w:rPr>
              <w:t>75.24</w:t>
            </w:r>
          </w:p>
        </w:tc>
        <w:tc>
          <w:tcPr>
            <w:tcW w:type="dxa" w:w="1425"/>
          </w:tcPr>
          <w:p>
            <w:pPr>
              <w:jc w:val="center"/>
            </w:pPr>
            <w:r/>
            <w:r>
              <w:rPr>
                <w:sz w:val="15"/>
              </w:rPr>
              <w:t>158.15</w:t>
            </w:r>
          </w:p>
        </w:tc>
        <w:tc>
          <w:tcPr>
            <w:tcW w:type="dxa" w:w="1425"/>
          </w:tcPr>
          <w:p>
            <w:pPr>
              <w:jc w:val="center"/>
            </w:pPr>
            <w:r/>
            <w:r>
              <w:rPr>
                <w:sz w:val="15"/>
              </w:rPr>
              <w:t>98.71</w:t>
            </w:r>
          </w:p>
        </w:tc>
        <w:tc>
          <w:tcPr>
            <w:tcW w:type="dxa" w:w="1425"/>
          </w:tcPr>
          <w:p>
            <w:pPr>
              <w:jc w:val="center"/>
            </w:pPr>
            <w:r/>
            <w:r>
              <w:rPr>
                <w:sz w:val="15"/>
              </w:rPr>
              <w:t>0.6557</w:t>
            </w:r>
          </w:p>
        </w:tc>
        <w:tc>
          <w:tcPr>
            <w:tcW w:type="dxa" w:w="1425"/>
          </w:tcPr>
          <w:p>
            <w:pPr>
              <w:jc w:val="center"/>
            </w:pPr>
            <w:r/>
            <w:r>
              <w:rPr>
                <w:sz w:val="15"/>
              </w:rPr>
              <w:t>0.6536</w:t>
            </w:r>
          </w:p>
        </w:tc>
      </w:tr>
      <w:tr>
        <w:tc>
          <w:tcPr>
            <w:tcW w:type="dxa" w:w="1425"/>
          </w:tcPr>
          <w:p>
            <w:pPr>
              <w:jc w:val="center"/>
            </w:pPr>
            <w:r/>
            <w:r>
              <w:rPr>
                <w:sz w:val="15"/>
              </w:rPr>
              <w:t>5</w:t>
            </w:r>
          </w:p>
        </w:tc>
        <w:tc>
          <w:tcPr>
            <w:tcW w:type="dxa" w:w="1425"/>
          </w:tcPr>
          <w:p>
            <w:pPr>
              <w:jc w:val="center"/>
            </w:pPr>
            <w:r/>
            <w:r>
              <w:rPr>
                <w:sz w:val="15"/>
              </w:rPr>
              <w:t>151.09</w:t>
            </w:r>
          </w:p>
        </w:tc>
        <w:tc>
          <w:tcPr>
            <w:tcW w:type="dxa" w:w="1425"/>
          </w:tcPr>
          <w:p>
            <w:pPr>
              <w:jc w:val="center"/>
            </w:pPr>
            <w:r/>
            <w:r>
              <w:rPr>
                <w:sz w:val="15"/>
              </w:rPr>
              <w:t>94.14</w:t>
            </w:r>
          </w:p>
        </w:tc>
        <w:tc>
          <w:tcPr>
            <w:tcW w:type="dxa" w:w="1425"/>
          </w:tcPr>
          <w:p>
            <w:pPr>
              <w:jc w:val="center"/>
            </w:pPr>
            <w:r/>
            <w:r>
              <w:rPr>
                <w:sz w:val="15"/>
              </w:rPr>
              <w:t>48.35</w:t>
            </w:r>
          </w:p>
        </w:tc>
        <w:tc>
          <w:tcPr>
            <w:tcW w:type="dxa" w:w="1425"/>
          </w:tcPr>
          <w:p>
            <w:pPr>
              <w:jc w:val="center"/>
            </w:pPr>
            <w:r/>
            <w:r>
              <w:rPr>
                <w:sz w:val="15"/>
              </w:rPr>
              <w:t>81.04</w:t>
            </w:r>
          </w:p>
        </w:tc>
        <w:tc>
          <w:tcPr>
            <w:tcW w:type="dxa" w:w="1425"/>
          </w:tcPr>
          <w:p>
            <w:pPr>
              <w:jc w:val="center"/>
            </w:pPr>
            <w:r/>
            <w:r>
              <w:rPr>
                <w:sz w:val="15"/>
              </w:rPr>
              <w:t>0.6558</w:t>
            </w:r>
          </w:p>
        </w:tc>
        <w:tc>
          <w:tcPr>
            <w:tcW w:type="dxa" w:w="1425"/>
          </w:tcPr>
          <w:p>
            <w:pPr>
              <w:jc w:val="center"/>
            </w:pPr>
            <w:r/>
            <w:r>
              <w:rPr>
                <w:sz w:val="15"/>
              </w:rPr>
              <w:t>0.6521</w:t>
            </w:r>
          </w:p>
        </w:tc>
      </w:tr>
    </w:tbl>
    <w:p>
      <w:pPr>
        <w:pStyle w:val="1"/>
        <w:spacing w:before="120" w:after="40"/>
      </w:pPr>
      <w:r>
        <w:t>4. 讨论</w:t>
      </w:r>
    </w:p>
    <w:p>
      <w:pPr>
        <w:spacing w:line="254" w:lineRule="auto" w:after="20"/>
        <w:ind w:firstLine="400"/>
        <w:jc w:val="both"/>
      </w:pPr>
      <w:r>
        <w:rPr>
          <w:sz w:val="20"/>
        </w:rPr>
        <w:t>MLP 对"膜厚—光谱"映射的学习效果总体良好：测试集 R² = 0.9977，目标波长处相关系数达 0.9984。失败样本的归因表明，限制精度的不是光谱的高频成分（10 nm 采样对最小条纹间距仍有约 6 倍冗余），而是训练样本在四维膜厚空间中的局部稀疏：第 10 近邻距离与误差的相关系数为 0.370，最稀疏组误差比最密集组高 48%。这有直接的可操作性：与其扩大均匀样本量，不如在误差较大的区域补充样本。</w:t>
      </w:r>
    </w:p>
    <w:p>
      <w:pPr>
        <w:spacing w:line="254" w:lineRule="auto" w:after="20"/>
        <w:ind w:firstLine="400"/>
        <w:jc w:val="both"/>
      </w:pPr>
      <w:r>
        <w:rPr>
          <w:sz w:val="20"/>
        </w:rPr>
        <w:t>数据量效应显示误差按 N^(−1.031) 下降且边际收益递减：从 500 组增至 1000 组的收益远大于从 2000 组增至 4000 组。这与泛化误差随训练集规模幂律下降的经验规律一致[10]，说明在给定采样间隔与网络容量下，继续增加均匀随机样本的收益有限。需说明的是，该拟合仅基于 4 个数据量水平、每个水平 3 个种子，α 应视为趋势性估计。</w:t>
      </w:r>
    </w:p>
    <w:p>
      <w:pPr>
        <w:spacing w:line="254" w:lineRule="auto" w:after="20"/>
        <w:ind w:firstLine="400"/>
        <w:jc w:val="both"/>
      </w:pPr>
      <w:r>
        <w:rPr>
          <w:sz w:val="20"/>
        </w:rPr>
        <w:t>代理模型的价值需要谨慎界定。在 10000 组候选、四层膜这一简单体系下，TMM 穷举仅需 0.42 s，而"MLP 预测全部候选 + TMM 复核 Top10"需 0.005 s，绝对耗时都很小；批量推理时 MLP 的单候选耗时约为 TMM 的 1/138，但单点调用因框架固定开销反而不占优势。按实测，候选规模需超过约 501 组，节省的时间才能收回训练成本。其真正价值在于前向计算昂贵（层数多、含色散与吸收、斜入射）或候选空间极大的场景。即便排名一致性很高，代理模型也无法分辨最优尾部：顶部 0.1% 候选的真值跨度（0.0069）小于其预测误差（0.00786）；把 λ_target 处权重提高 10 倍可将该处误差降至 0.00597，Top1 的身份仍不稳定。稳妥的分工是"代理模型压缩候选规模、TMM 最终裁决"。</w:t>
      </w:r>
    </w:p>
    <w:p>
      <w:pPr>
        <w:spacing w:line="254" w:lineRule="auto" w:after="20"/>
        <w:ind w:firstLine="400"/>
        <w:jc w:val="both"/>
      </w:pPr>
      <w:r>
        <w:rPr>
          <w:sz w:val="20"/>
        </w:rPr>
        <w:t>本研究有四点局限。第一，误差仍有约 86% 的方差未被所考察特征解释，说明除采样密度外还有其他因素（如网络容量与优化随机性）。第二，局部加密实验中的加密样本与高反射测试集取自同一分布（σ 相同、种子不同、无重叠），故它证明的是"数据分布与目标区域匹配"的收益，而非跨分布泛化能力。第三，本文采用固定折射率、无吸收、正入射的简化模型，实际膜系还需考虑色散、吸收与角度依赖。第四，公差分析显示整体厚度偏差 ±1% 时目标波长反射率仅降 0.0008，逐层 σ = 2 nm 时平均降 0.0018、最差降 0.0158，说明设计对制造误差总体不敏感，但极端误差仍会削弱性能。</w:t>
      </w:r>
    </w:p>
    <w:p>
      <w:pPr>
        <w:pStyle w:val="1"/>
        <w:spacing w:before="120" w:after="40"/>
      </w:pPr>
      <w:r>
        <w:t>5. 结论</w:t>
      </w:r>
    </w:p>
    <w:p>
      <w:pPr>
        <w:spacing w:line="254" w:lineRule="auto" w:after="20"/>
        <w:ind w:firstLine="400"/>
        <w:jc w:val="both"/>
      </w:pPr>
      <w:r>
        <w:rPr>
          <w:sz w:val="20"/>
        </w:rPr>
        <w:t>本文用 TMM 数据训练 MLP 代理模型并用于目标波长设计。结果表明：MLP 能准确预测反射光谱（测试集 R² = 0.9977）；误差随训练样本数按 N^(−1.031) 幂律下降并呈边际收益递减；在 10000 组候选中其排序与 TMM 真值的相关系数达 0.9983，所选设计经 TMM 复核达理论上限的 99.8%。代理模型适合压缩候选规模，尾部名次仍需 TMM 裁决。</w:t>
      </w:r>
    </w:p>
    <w:p>
      <w:pPr>
        <w:pStyle w:val="1"/>
        <w:spacing w:before="120" w:after="40"/>
      </w:pPr>
      <w:r>
        <w:t>数据与代码可用性</w:t>
      </w:r>
    </w:p>
    <w:p>
      <w:pPr>
        <w:spacing w:line="254" w:lineRule="auto" w:after="20"/>
        <w:ind w:firstLine="400"/>
        <w:jc w:val="both"/>
      </w:pPr>
      <w:r>
        <w:rPr>
          <w:sz w:val="20"/>
        </w:rPr>
        <w:t>本研究所用数据由本文 TMM 代码生成。全部源代码、训练与筛选脚本、环境依赖及复现说明见仓库：</w:t>
      </w:r>
    </w:p>
    <w:p>
      <w:pPr>
        <w:spacing w:line="254" w:lineRule="auto" w:after="20"/>
        <w:jc w:val="left"/>
      </w:pPr>
      <w:r>
        <w:rPr>
          <w:sz w:val="19"/>
        </w:rPr>
        <w:t>https://github.com/USERNAME/REPOSITORY</w:t>
      </w:r>
    </w:p>
    <w:p>
      <w:pPr>
        <w:spacing w:line="254" w:lineRule="auto" w:after="20"/>
        <w:ind w:firstLine="400"/>
        <w:jc w:val="both"/>
      </w:pPr>
      <w:r>
        <w:rPr>
          <w:sz w:val="20"/>
        </w:rPr>
        <w:t>README 记录了个人参数 λ_target = 480 nm、seed = 303003、design_seed = 303004，以及环境配置、数据生成、模型训练、结果复现与筛选步骤；论文全部数值与图件均由该仓库脚本生成。</w:t>
      </w:r>
    </w:p>
    <w:p>
      <w:pPr>
        <w:sectPr>
          <w:headerReference w:type="default" r:id="rId11"/>
          <w:footerReference w:type="default" r:id="rId12"/>
          <w:pgSz w:w="12240" w:h="15840"/>
          <w:pgMar w:top="1020" w:right="1134" w:bottom="1020" w:left="1134" w:header="720" w:footer="720" w:gutter="0"/>
          <w:cols w:space="720"/>
          <w:docGrid w:linePitch="360"/>
        </w:sectPr>
      </w:pPr>
    </w:p>
    <w:p>
      <w:pPr>
        <w:pStyle w:val="1"/>
        <w:spacing w:before="120" w:after="40"/>
      </w:pPr>
      <w:r>
        <w:t>参考文献</w:t>
      </w:r>
    </w:p>
    <w:p>
      <w:pPr>
        <w:spacing w:after="4"/>
        <w:ind w:left="300" w:hanging="300"/>
      </w:pPr>
      <w:r>
        <w:rPr>
          <w:sz w:val="14"/>
        </w:rPr>
        <w:t>[1] Ma T, Ma M, Guo L J. Optical multilayer thin film structure inverse design: from optimization to deep learning. iScience 2025, 28: 112222.</w:t>
      </w:r>
    </w:p>
    <w:p>
      <w:pPr>
        <w:spacing w:after="4"/>
        <w:ind w:left="300" w:hanging="300"/>
      </w:pPr>
      <w:r>
        <w:rPr>
          <w:sz w:val="14"/>
        </w:rPr>
        <w:t>[2] Macleod H A. Thin-film optical filters. 5th ed. Boca Raton: CRC Press, 2018.</w:t>
      </w:r>
    </w:p>
    <w:p>
      <w:pPr>
        <w:spacing w:after="4"/>
        <w:ind w:left="300" w:hanging="300"/>
      </w:pPr>
      <w:r>
        <w:rPr>
          <w:sz w:val="14"/>
        </w:rPr>
        <w:t>[3] 唐晋发, 顾培夫, 刘旭, 等. 现代光学薄膜技术. 杭州: 浙江大学出版社, 2006.</w:t>
      </w:r>
    </w:p>
    <w:p>
      <w:pPr>
        <w:spacing w:after="4"/>
        <w:ind w:left="300" w:hanging="300"/>
      </w:pPr>
      <w:r>
        <w:rPr>
          <w:sz w:val="14"/>
        </w:rPr>
        <w:t>[4] Peurifoy J, Shen Y, Jing L, et al. Nanophotonic particle simulation and inverse design using artificial neural networks. Science Advances 2018, 4: eaar4206.</w:t>
      </w:r>
    </w:p>
    <w:p>
      <w:pPr>
        <w:spacing w:after="4"/>
        <w:ind w:left="300" w:hanging="300"/>
      </w:pPr>
      <w:r>
        <w:rPr>
          <w:sz w:val="14"/>
        </w:rPr>
        <w:t>[5] Liu D, Tan Y, Khoram E, et al. Training deep neural networks for the inverse design of nanophotonic structures. ACS Photonics 2018, 5: 1365-1369.</w:t>
      </w:r>
    </w:p>
    <w:p>
      <w:pPr>
        <w:spacing w:after="4"/>
        <w:ind w:left="300" w:hanging="300"/>
      </w:pPr>
      <w:r>
        <w:rPr>
          <w:sz w:val="14"/>
        </w:rPr>
        <w:t>[6] Malkiel I, Mrejen M, Nagler A, et al. Plasmonic nanostructure design and characterization via deep learning. Light: Science &amp; Applications 2018, 7: 60.</w:t>
      </w:r>
    </w:p>
    <w:p>
      <w:pPr>
        <w:spacing w:after="4"/>
        <w:ind w:left="300" w:hanging="300"/>
      </w:pPr>
      <w:r>
        <w:rPr>
          <w:sz w:val="14"/>
        </w:rPr>
        <w:t>[7] Ma T, Wang H, Guo L J. OptoGPT: a foundation model for inverse design in optical multilayer thin film structures. Opto-Electronic Advances 2024, 7: 240062.</w:t>
      </w:r>
    </w:p>
    <w:p>
      <w:pPr>
        <w:spacing w:after="4"/>
        <w:ind w:left="300" w:hanging="300"/>
      </w:pPr>
      <w:r>
        <w:rPr>
          <w:sz w:val="14"/>
        </w:rPr>
        <w:t>[8] Meng F, Ding J, Zhao Y, et al. Inverse design of reflectionless thin-film multilayers with optical absorption utilizing tandem neural network. Photonics 2024, 11: 964.</w:t>
      </w:r>
    </w:p>
    <w:p>
      <w:pPr>
        <w:spacing w:after="4"/>
        <w:ind w:left="300" w:hanging="300"/>
      </w:pPr>
      <w:r>
        <w:rPr>
          <w:sz w:val="14"/>
        </w:rPr>
        <w:t>[9] Sullivan B T, Dobrowolski J A. Implementation of a numerical needle method for thin-film design. Applied Optics 1996, 35: 5484-5492.</w:t>
      </w:r>
    </w:p>
    <w:p>
      <w:pPr>
        <w:spacing w:after="4"/>
        <w:ind w:left="300" w:hanging="300"/>
      </w:pPr>
      <w:r>
        <w:rPr>
          <w:sz w:val="14"/>
        </w:rPr>
        <w:t>[10] Hestness J, Narang S, Ardalani N, et al. Deep learning scaling is predictable, empirically. arXiv:1712.00409, 2017.</w:t>
      </w:r>
    </w:p>
    <w:p>
      <w:pPr>
        <w:spacing w:after="4"/>
        <w:ind w:left="300" w:hanging="300"/>
      </w:pPr>
      <w:r>
        <w:rPr>
          <w:sz w:val="14"/>
        </w:rPr>
        <w:t>[11] Harris C R, Millman K J, van der Walt S J, et al. Array programming with NumPy. Nature 2020, 585: 357-362.</w:t>
      </w:r>
    </w:p>
    <w:p>
      <w:pPr>
        <w:spacing w:after="4"/>
        <w:ind w:left="300" w:hanging="300"/>
      </w:pPr>
      <w:r>
        <w:rPr>
          <w:sz w:val="14"/>
        </w:rPr>
        <w:t>[12] Paszke A, Gross S, Massa F, et al. PyTorch: an imperative style, high-performance deep learning library. NeurIPS 2019, 32: 8024-8035.</w:t>
      </w:r>
    </w:p>
    <w:sectPr w:rsidR="00FA6E5F" w:rsidSect="00034616">
      <w:type w:val="continuous"/>
      <w:pgSz w:w="12240" w:h="15840"/>
      <w:pgMar w:top="1020" w:right="1134" w:bottom="1020" w:left="1134" w:header="720" w:footer="720" w:gutter="0"/>
      <w:docGrid w:linePitch="360"/>
      <w:cols w:num="2" w:space="28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DE75B0A" w14:textId="77777777" w:rsidR="0083133A" w:rsidRDefault="0083133A">
      <w:pPr>
        <w:spacing w:after="0" w:line="240" w:lineRule="auto"/>
      </w:pPr>
      <w:r>
        <w:separator/>
      </w:r>
    </w:p>
  </w:endnote>
  <w:endnote w:type="continuationSeparator" w:id="0">
    <w:p w14:paraId="2AA386B2" w14:textId="77777777" w:rsidR="0083133A" w:rsidRDefault="0083133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Noto Sans CJK SC">
    <w:altName w:val="Cambria"/>
    <w:panose1 w:val="00000000000000000000"/>
    <w:charset w:val="00"/>
    <w:family w:val="roman"/>
    <w:notTrueType/>
    <w:pitch w:val="default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BEE2157" w14:textId="77777777" w:rsidR="00FA6E5F" w:rsidRDefault="00000000">
    <w:pPr>
      <w:pStyle w:val="a7"/>
      <w:jc w:val="center"/>
    </w:pPr>
    <w:r>
      <w:rPr>
        <w:color w:val="888888"/>
        <w:sz w:val="15"/>
      </w:rPr>
      <w:t>Course Research Article Template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1C6EE2F" w14:textId="77777777" w:rsidR="0083133A" w:rsidRDefault="0083133A">
      <w:pPr>
        <w:spacing w:after="0" w:line="240" w:lineRule="auto"/>
      </w:pPr>
      <w:r>
        <w:separator/>
      </w:r>
    </w:p>
  </w:footnote>
  <w:footnote w:type="continuationSeparator" w:id="0">
    <w:p w14:paraId="77FDCDA3" w14:textId="77777777" w:rsidR="0083133A" w:rsidRDefault="0083133A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A520FB4" w14:textId="77777777" w:rsidR="00FA6E5F" w:rsidRDefault="00000000">
    <w:pPr>
      <w:pStyle w:val="a5"/>
      <w:jc w:val="right"/>
      <w:rPr>
        <w:lang w:eastAsia="zh-CN"/>
      </w:rPr>
    </w:pPr>
    <w:r>
      <w:rPr>
        <w:color w:val="888888"/>
        <w:sz w:val="15"/>
        <w:lang w:eastAsia="zh-CN"/>
      </w:rPr>
      <w:t>薄膜技术</w:t>
    </w:r>
    <w:r>
      <w:rPr>
        <w:color w:val="888888"/>
        <w:sz w:val="15"/>
        <w:lang w:eastAsia="zh-CN"/>
      </w:rPr>
      <w:t xml:space="preserve"> · AI4S</w:t>
    </w:r>
    <w:r>
      <w:rPr>
        <w:color w:val="888888"/>
        <w:sz w:val="15"/>
        <w:lang w:eastAsia="zh-CN"/>
      </w:rPr>
      <w:t>课程大作业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79254332">
    <w:abstractNumId w:val="8"/>
  </w:num>
  <w:num w:numId="2" w16cid:durableId="492961871">
    <w:abstractNumId w:val="6"/>
  </w:num>
  <w:num w:numId="3" w16cid:durableId="993605715">
    <w:abstractNumId w:val="5"/>
  </w:num>
  <w:num w:numId="4" w16cid:durableId="1167137473">
    <w:abstractNumId w:val="4"/>
  </w:num>
  <w:num w:numId="5" w16cid:durableId="380979210">
    <w:abstractNumId w:val="7"/>
  </w:num>
  <w:num w:numId="6" w16cid:durableId="357044932">
    <w:abstractNumId w:val="3"/>
  </w:num>
  <w:num w:numId="7" w16cid:durableId="1455516341">
    <w:abstractNumId w:val="2"/>
  </w:num>
  <w:num w:numId="8" w16cid:durableId="856626249">
    <w:abstractNumId w:val="1"/>
  </w:num>
  <w:num w:numId="9" w16cid:durableId="122355929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bordersDoNotSurroundHeader/>
  <w:bordersDoNotSurroundFooter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684363"/>
    <w:rsid w:val="0083133A"/>
    <w:rsid w:val="00AA1D8D"/>
    <w:rsid w:val="00B47730"/>
    <w:rsid w:val="00BE00AF"/>
    <w:rsid w:val="00CB0664"/>
    <w:rsid w:val="00FA6E5F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0C47AE23"/>
  <w14:defaultImageDpi w14:val="300"/>
  <w15:docId w15:val="{FFAC4450-0F28-4F03-8140-3F4FBB76CEA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pPr>
      <w:spacing w:after="60" w:line="283" w:lineRule="auto"/>
      <w:ind w:firstLine="420"/>
      <w:jc w:val="both"/>
    </w:pPr>
    <w:rPr>
      <w:rFonts w:ascii="Times New Roman" w:eastAsia="Noto Sans CJK SC" w:hAnsi="Times New Roman"/>
      <w:sz w:val="20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140" w:after="40"/>
      <w:outlineLvl w:val="0"/>
    </w:pPr>
    <w:rPr>
      <w:rFonts w:asciiTheme="majorHAnsi" w:eastAsiaTheme="majorEastAsia" w:hAnsiTheme="majorHAnsi" w:cstheme="majorBidi"/>
      <w:b/>
      <w:bCs/>
      <w:color w:val="1F4E79"/>
      <w:sz w:val="28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140" w:after="40"/>
      <w:outlineLvl w:val="1"/>
    </w:pPr>
    <w:rPr>
      <w:rFonts w:asciiTheme="majorHAnsi" w:eastAsiaTheme="majorEastAsia" w:hAnsiTheme="majorHAnsi" w:cstheme="majorBidi"/>
      <w:b/>
      <w:bCs/>
      <w:color w:val="2F75B5"/>
      <w:sz w:val="23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页眉 字符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页脚 字符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标题 1 字符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标题 2 字符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标题 3 字符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标题 字符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  <w:ind w:firstLine="420"/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副标题 字符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正文文本 字符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正文文本 2 字符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正文文本 3 字符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宏文本 字符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af5">
    <w:name w:val="Quote"/>
    <w:basedOn w:val="a1"/>
    <w:next w:val="a1"/>
    <w:link w:val="af6"/>
    <w:uiPriority w:val="29"/>
    <w:qFormat/>
    <w:rsid w:val="00FC693F"/>
    <w:rPr>
      <w:i/>
      <w:iCs/>
      <w:color w:val="000000" w:themeColor="text1"/>
    </w:rPr>
  </w:style>
  <w:style w:type="character" w:customStyle="1" w:styleId="af6">
    <w:name w:val="引用 字符"/>
    <w:basedOn w:val="a2"/>
    <w:link w:val="af5"/>
    <w:uiPriority w:val="29"/>
    <w:rsid w:val="00FC693F"/>
    <w:rPr>
      <w:i/>
      <w:iCs/>
      <w:color w:val="000000" w:themeColor="text1"/>
    </w:rPr>
  </w:style>
  <w:style w:type="character" w:customStyle="1" w:styleId="40">
    <w:name w:val="标题 4 字符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标题 5 字符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标题 6 字符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标题 7 字符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标题 8 字符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标题 9 字符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7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8">
    <w:name w:val="Strong"/>
    <w:basedOn w:val="a2"/>
    <w:uiPriority w:val="22"/>
    <w:qFormat/>
    <w:rsid w:val="00FC693F"/>
    <w:rPr>
      <w:b/>
      <w:bCs/>
    </w:rPr>
  </w:style>
  <w:style w:type="character" w:styleId="af9">
    <w:name w:val="Emphasis"/>
    <w:basedOn w:val="a2"/>
    <w:uiPriority w:val="20"/>
    <w:qFormat/>
    <w:rsid w:val="00FC693F"/>
    <w:rPr>
      <w:i/>
      <w:iCs/>
    </w:rPr>
  </w:style>
  <w:style w:type="paragraph" w:styleId="afa">
    <w:name w:val="Intense Quote"/>
    <w:basedOn w:val="a1"/>
    <w:next w:val="a1"/>
    <w:link w:val="afb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b">
    <w:name w:val="明显引用 字符"/>
    <w:basedOn w:val="a2"/>
    <w:link w:val="afa"/>
    <w:uiPriority w:val="30"/>
    <w:rsid w:val="00FC693F"/>
    <w:rPr>
      <w:b/>
      <w:bCs/>
      <w:i/>
      <w:iCs/>
      <w:color w:val="4F81BD" w:themeColor="accent1"/>
    </w:rPr>
  </w:style>
  <w:style w:type="character" w:styleId="afc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d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e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f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f0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TOC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1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2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3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4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7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8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9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5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6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7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8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1.xml"/><Relationship Id="rId5" Type="http://schemas.openxmlformats.org/officeDocument/2006/relationships/webSettings" Target="webSettings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theme" Target="theme/theme1.xml"/><Relationship Id="rId15" Type="http://schemas.openxmlformats.org/officeDocument/2006/relationships/image" Target="media/image4.png"/><Relationship Id="rId16" Type="http://schemas.openxmlformats.org/officeDocument/2006/relationships/image" Target="media/image5.png"/><Relationship Id="rId17" Type="http://schemas.openxmlformats.org/officeDocument/2006/relationships/image" Target="media/image6.png"/><Relationship Id="rId18" Type="http://schemas.openxmlformats.org/officeDocument/2006/relationships/image" Target="media/image7.png"/><Relationship Id="rId19" Type="http://schemas.openxmlformats.org/officeDocument/2006/relationships/image" Target="media/image8.png"/><Relationship Id="rId20" Type="http://schemas.openxmlformats.org/officeDocument/2006/relationships/image" Target="media/image9.png"/><Relationship Id="rId21" Type="http://schemas.openxmlformats.org/officeDocument/2006/relationships/image" Target="media/image10.png"/><Relationship Id="rId22" Type="http://schemas.openxmlformats.org/officeDocument/2006/relationships/image" Target="media/image11.png"/><Relationship Id="rId23" Type="http://schemas.openxmlformats.org/officeDocument/2006/relationships/image" Target="media/image12.png"/><Relationship Id="rId24" Type="http://schemas.openxmlformats.org/officeDocument/2006/relationships/image" Target="media/image13.png"/><Relationship Id="rId25" Type="http://schemas.openxmlformats.org/officeDocument/2006/relationships/image" Target="media/image14.png"/><Relationship Id="rId26" Type="http://schemas.openxmlformats.org/officeDocument/2006/relationships/image" Target="media/image1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</TotalTime>
  <Pages>4</Pages>
  <Words>1285</Words>
  <Characters>2841</Characters>
  <Application>Microsoft Office Word</Application>
  <DocSecurity>0</DocSecurity>
  <Lines>109</Lines>
  <Paragraphs>93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4033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Ziya Wang</cp:lastModifiedBy>
  <cp:revision>2</cp:revision>
  <dcterms:created xsi:type="dcterms:W3CDTF">2013-12-23T23:15:00Z</dcterms:created>
  <dcterms:modified xsi:type="dcterms:W3CDTF">2026-09-27T04:28:00Z</dcterms:modified>
  <cp:category/>
</cp:coreProperties>
</file>