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984A72">
      <w:pPr>
        <w:pStyle w:val="style0"/>
        <w:spacing w:lineRule="auto" w:lin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武汉传媒学院</w:t>
      </w:r>
    </w:p>
    <w:p w14:paraId="2F6CC08C">
      <w:pPr>
        <w:pStyle w:val="style0"/>
        <w:spacing w:lineRule="auto" w:lin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毕业设计（论文、创作）任务书</w:t>
      </w:r>
    </w:p>
    <w:tbl>
      <w:tblPr>
        <w:tblStyle w:val="style105"/>
        <w:tblW w:w="90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720"/>
        <w:gridCol w:w="1371"/>
        <w:gridCol w:w="1502"/>
        <w:gridCol w:w="1502"/>
        <w:gridCol w:w="1504"/>
      </w:tblGrid>
      <w:tr w14:paraId="63174767">
        <w:trPr>
          <w:trHeight w:val="454" w:hRule="atLeast"/>
          <w:jc w:val="center"/>
        </w:trPr>
        <w:tc>
          <w:tcPr>
            <w:tcW w:w="1415" w:type="dxa"/>
            <w:tcBorders/>
            <w:vAlign w:val="center"/>
          </w:tcPr>
          <w:p w14:paraId="7A23791F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720" w:type="dxa"/>
            <w:tcBorders/>
            <w:vAlign w:val="center"/>
          </w:tcPr>
          <w:p w14:paraId="3DEA984B">
            <w:pPr>
              <w:pStyle w:val="style0"/>
              <w:jc w:val="center"/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宋体" w:eastAsia="宋体" w:hAnsi="宋体" w:hint="default"/>
                <w:lang w:val="en-US" w:eastAsia="zh-CN"/>
              </w:rPr>
              <w:t>25200000227</w:t>
            </w:r>
          </w:p>
        </w:tc>
        <w:tc>
          <w:tcPr>
            <w:tcW w:w="1371" w:type="dxa"/>
            <w:tcBorders/>
            <w:vAlign w:val="center"/>
          </w:tcPr>
          <w:p w14:paraId="6BE13CCD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502" w:type="dxa"/>
            <w:tcBorders/>
            <w:vAlign w:val="center"/>
          </w:tcPr>
          <w:p w14:paraId="3AE67038">
            <w:pPr>
              <w:pStyle w:val="style0"/>
              <w:jc w:val="center"/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宋体" w:hAnsi="宋体" w:hint="default"/>
                <w:lang w:val="en-US" w:eastAsia="zh-CN"/>
              </w:rPr>
              <w:t>张志超</w:t>
            </w:r>
          </w:p>
        </w:tc>
        <w:tc>
          <w:tcPr>
            <w:tcW w:w="1502" w:type="dxa"/>
            <w:tcBorders/>
            <w:vAlign w:val="center"/>
          </w:tcPr>
          <w:p w14:paraId="356BF5FA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班级</w:t>
            </w:r>
          </w:p>
        </w:tc>
        <w:tc>
          <w:tcPr>
            <w:tcW w:w="1504" w:type="dxa"/>
            <w:tcBorders/>
            <w:vAlign w:val="center"/>
          </w:tcPr>
          <w:p w14:paraId="09C8454D">
            <w:pPr>
              <w:pStyle w:val="style0"/>
              <w:jc w:val="left"/>
              <w:rPr/>
            </w:pPr>
            <w:r>
              <w:rPr>
                <w:lang w:val="en-US"/>
              </w:rPr>
              <w:t>电信B2302班</w:t>
            </w:r>
          </w:p>
        </w:tc>
      </w:tr>
      <w:tr w14:paraId="51AF28C9">
        <w:tblPrEx/>
        <w:trPr>
          <w:trHeight w:val="497" w:hRule="atLeast"/>
          <w:jc w:val="center"/>
        </w:trPr>
        <w:tc>
          <w:tcPr>
            <w:tcW w:w="1415" w:type="dxa"/>
            <w:tcBorders/>
            <w:vAlign w:val="center"/>
          </w:tcPr>
          <w:p w14:paraId="0F1B2F9C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20FE2A72">
            <w:pPr>
              <w:pStyle w:val="style0"/>
              <w:jc w:val="center"/>
              <w:rPr>
                <w:rFonts w:ascii="宋体" w:eastAsia="宋体" w:hAnsi="宋体" w:hint="default"/>
                <w:szCs w:val="21"/>
                <w:lang w:val="en-US" w:eastAsia="zh-CN"/>
              </w:rPr>
            </w:pPr>
            <w:r>
              <w:rPr>
                <w:rFonts w:ascii="宋体" w:eastAsia="宋体" w:hAnsi="宋体" w:hint="default"/>
                <w:szCs w:val="21"/>
                <w:lang w:val="en-US" w:eastAsia="zh-CN"/>
              </w:rPr>
              <w:t>李文</w:t>
            </w:r>
          </w:p>
        </w:tc>
      </w:tr>
      <w:tr w14:paraId="7CF792F4">
        <w:tblPrEx/>
        <w:trPr>
          <w:trHeight w:val="537" w:hRule="atLeast"/>
          <w:jc w:val="center"/>
        </w:trPr>
        <w:tc>
          <w:tcPr>
            <w:tcW w:w="1415" w:type="dxa"/>
            <w:tcBorders/>
            <w:vAlign w:val="center"/>
          </w:tcPr>
          <w:p w14:paraId="47BC8AE6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27297844">
            <w:pPr>
              <w:pStyle w:val="style0"/>
              <w:jc w:val="center"/>
              <w:rPr>
                <w:rFonts w:ascii="宋体" w:eastAsia="宋体" w:hAnsi="宋体" w:hint="default"/>
                <w:szCs w:val="21"/>
                <w:lang w:val="en-US" w:eastAsia="zh-CN"/>
              </w:rPr>
            </w:pPr>
            <w:r>
              <w:rPr>
                <w:rFonts w:ascii="宋体" w:eastAsia="宋体" w:hAnsi="宋体" w:hint="default"/>
                <w:szCs w:val="21"/>
                <w:lang w:val="en-US" w:eastAsia="zh-CN"/>
              </w:rPr>
              <w:t>便携式提词器与脚本同步系统</w:t>
            </w:r>
          </w:p>
        </w:tc>
      </w:tr>
      <w:tr w14:paraId="62F7C78D">
        <w:tblPrEx/>
        <w:trPr>
          <w:trHeight w:val="2159" w:hRule="atLeast"/>
          <w:jc w:val="center"/>
        </w:trPr>
        <w:tc>
          <w:tcPr>
            <w:tcW w:w="1415" w:type="dxa"/>
            <w:tcBorders/>
            <w:vAlign w:val="center"/>
          </w:tcPr>
          <w:p w14:paraId="40CD9B11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任务和要求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496B140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着短视频创作与学生影视实践的普及，学生剧组在拍摄口播、访谈及剧情片段时普遍依靠手举稿纸或手机屏幕提示台词，存在视线偏移、效率低、长时间举持易疲劳等问题。本课题旨在设计并实现一套以ESP32为核心的便携式提词器与脚本同步系统，通过集成电子显示、平滑滚动、无线控制与脚本管理功能，为小成本拍摄场景提供离线可用、低成本、可便携的提词方案。项目综合应用嵌入式系统、人机交互与低功耗无线通信技术，具有明确的工程应用价值。本课题的具体任务和要求如下：</w:t>
            </w:r>
          </w:p>
          <w:p w14:paraId="844595A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．提词显示模块。采用2.8英寸TFT液晶显示屏，分辨率240×320，驱动芯片ST7789，按BGR色序初始化，逻辑电平3.3V；显示GB2312一、二级汉字，提供16×16与24×24两档点阵字号，行距3档（1.0、1.25、1.5倍）；24×24点阵下每行显示10个汉字，1.25倍行距时单屏不少于10行；文字颜色不少于4种（RGB565，16位色）；SPI工作时钟按40MHz配置，整屏刷新时间不大于200ms。</w:t>
            </w:r>
          </w:p>
          <w:p w14:paraId="33512041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．结构适配。显示屏安装于与水平面成45°±5°的分光镜结构中，通过设置ST7789显示方向寄存器实现画面水平镜像，使经45°反射后的成像为正向可读；配备遮光罩，在室内正常照明条件下，观看距离40~60cm时可清晰辨认脚本内容。</w:t>
            </w:r>
          </w:p>
          <w:p w14:paraId="E96B3ADC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．滚动速度调节。通过EC11旋转编码器实现滚动速度在10~300像素/秒范围内连续调节，最小步进5像素/秒，对应24×24点阵、1.25倍行距（行高30像素）下约0.1~10行/秒；实测滚动速度与设定值的相对误差不大于5%；支持暂停与继续，恢复后文字位置不跳变，滚动过程无跳行、无抖动。</w:t>
            </w:r>
          </w:p>
          <w:p w14:paraId="C621F59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．手机端控制。通过低功耗蓝牙与自主开发的Android手机应用通信，实现翻页、跳转、暂停及速度、字号、行距、颜色等参数设置；室内无遮挡条件下控制距离不小于10m，应用搜索并连接时间不大于5s，断线自动重连时间不大于10s，指令响应时间不大于500ms。</w:t>
            </w:r>
          </w:p>
          <w:p w14:paraId="463F784E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5．无线遥控。通过蓝牙遥控器实现上一页、下一页、暂停控制，与手机端控制互为备用，提高现场可靠性。</w:t>
            </w:r>
          </w:p>
          <w:p w14:paraId="DC160C7A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．脚本管理。支持通过TF卡导入TXT脚本文件，兼容UTF-8与GBK两种编码，单文件不小于100KB（UTF-8约3.4万汉字、GBK约5.1万汉字）时可正常打开并滚动显示；可保存不少于10份脚本，脚本切换时间不大于2s；手机端可读取脚本内容进行预览与修改并回传保存；系统掉电重启后脚本与显示参数不丢失。</w:t>
            </w:r>
          </w:p>
          <w:p w14:paraId="2535FB87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7．电源与整机。采用USB Type-C 5V供电，配3.7V/2500mAh锂电池底座（输入4.5~5.5V，输出5V/450mA，具备4.2V过充与2.9V过放保护，待机电流约0.8mA），整机平均工作电流控制在300mA以内；连续滚动工作续航不小于0.5小时；</w:t>
            </w:r>
          </w:p>
          <w:p w14:paraId="9AAB2C38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8．交互设计。通过单个EC11旋转编码器的旋转与按压，配合板载BOOT按键，实现速度调节、暂停、菜单进入与参数选择，菜单层级不超过两级，可完成字号、行距、颜色、镜像及脚本切换操作。</w:t>
            </w:r>
          </w:p>
          <w:p w14:paraId="7CB9D3DD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课题要求：</w:t>
            </w:r>
          </w:p>
          <w:p w14:paraId="30893BB0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1．完成系统总体设计框架，包括硬件组成框图、软件流程设计与各模块交互逻辑说明；</w:t>
            </w:r>
          </w:p>
          <w:p w14:paraId="EEF8220F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2．根据系统框图完成元器件选型与单元电路设计，给出主控引脚分配表、显示与存储接口设计及电源供电方案；</w:t>
            </w:r>
          </w:p>
          <w:p w14:paraId="0E9796CE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3．完成软件系统开发，编写程序实现中文点阵字库渲染、平滑滚动、编码器输入处理、蓝牙通信与脚本文件管理等功能；</w:t>
            </w:r>
          </w:p>
          <w:p w14:paraId="55B6CA70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4．完成硬件搭建与软硬件联调，实物能够完整演示提词显示、速度调节、手机/遥控翻页、脚本管理四项功能；</w:t>
            </w:r>
          </w:p>
          <w:p w14:paraId="C803C3A2">
            <w:pPr>
              <w:pStyle w:val="style0"/>
              <w:numPr>
                <w:ilvl w:val="0"/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5．完成毕业设计报告，字数不少于1.0万字，包含需求分析、方案论证、硬件与软件设计、测试数据与误差分析，参考文献不少于8篇，其中外文文献不少于2篇。</w:t>
            </w:r>
          </w:p>
        </w:tc>
      </w:tr>
      <w:tr w14:paraId="65322288">
        <w:tblPrEx/>
        <w:trPr>
          <w:trHeight w:val="2114" w:hRule="atLeast"/>
          <w:jc w:val="center"/>
        </w:trPr>
        <w:tc>
          <w:tcPr>
            <w:tcW w:w="1415" w:type="dxa"/>
            <w:tcBorders/>
            <w:vAlign w:val="center"/>
          </w:tcPr>
          <w:p w14:paraId="56AF666E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进度安排</w:t>
            </w:r>
          </w:p>
        </w:tc>
        <w:tc>
          <w:tcPr>
            <w:tcW w:w="7599" w:type="dxa"/>
            <w:gridSpan w:val="5"/>
            <w:tcBorders/>
            <w:vAlign w:val="center"/>
          </w:tcPr>
          <w:p w14:paraId="5A4DA116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完成师生双选、选题、任务书。 </w:t>
            </w:r>
          </w:p>
          <w:p w14:paraId="630CEB3F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：完成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开题报告初稿提交</w:t>
            </w:r>
          </w:p>
          <w:p w14:paraId="3F5FD79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开题答辩，开题报告最终稿提交。 (二辩在12.5前完成) </w:t>
            </w:r>
          </w:p>
          <w:p w14:paraId="52A50B08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-2026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年1月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完成毕业设计初稿、中期检查。 </w:t>
            </w:r>
          </w:p>
          <w:p w14:paraId="1ACD603E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2026年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日：定稿</w:t>
            </w:r>
            <w:r>
              <w:rPr>
                <w:rFonts w:ascii="宋体" w:cs="宋体" w:eastAsia="宋体" w:hAnsi="宋体" w:hint="eastAsia"/>
                <w:sz w:val="21"/>
                <w:szCs w:val="21"/>
              </w:rPr>
              <w:t>毕业设计报告，通过知网查重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。</w:t>
            </w:r>
          </w:p>
          <w:p w14:paraId="1B195222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毕业设计答辩一辨。 </w:t>
            </w:r>
          </w:p>
          <w:p w14:paraId="78433AA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27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 xml:space="preserve">毕业设计答辩二辨。 </w:t>
            </w:r>
          </w:p>
          <w:p w14:paraId="603D546E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毕设知网最终查重检测</w:t>
            </w:r>
          </w:p>
          <w:p w14:paraId="74A8B44A">
            <w:pPr>
              <w:pStyle w:val="style0"/>
              <w:keepNext w:val="false"/>
              <w:keepLines w:val="false"/>
              <w:pageBreakBefore w:val="false"/>
              <w:widowControl w:val="false"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jc w:val="left"/>
              <w:textAlignment w:val="auto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2026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月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日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前</w:t>
            </w:r>
            <w:r>
              <w:rPr>
                <w:rFonts w:ascii="宋体" w:cs="宋体" w:hAnsi="宋体" w:hint="eastAsia"/>
                <w:color w:val="000000"/>
                <w:sz w:val="21"/>
                <w:szCs w:val="21"/>
                <w:lang w:val="en-US" w:eastAsia="zh-CN"/>
              </w:rPr>
              <w:t>：</w:t>
            </w:r>
            <w:r>
              <w:rPr>
                <w:rFonts w:ascii="宋体" w:cs="宋体" w:eastAsia="宋体" w:hAnsi="宋体" w:hint="eastAsia"/>
                <w:color w:val="000000"/>
                <w:sz w:val="21"/>
                <w:szCs w:val="21"/>
                <w:lang w:val="en-US" w:eastAsia="zh-CN"/>
              </w:rPr>
              <w:t>校外评审，毕业设计材料归档。</w:t>
            </w:r>
          </w:p>
        </w:tc>
      </w:tr>
      <w:tr w14:paraId="63D97AE2">
        <w:tblPrEx/>
        <w:trPr>
          <w:trHeight w:val="1244" w:hRule="atLeast"/>
          <w:jc w:val="center"/>
        </w:trPr>
        <w:tc>
          <w:tcPr>
            <w:tcW w:w="1415" w:type="dxa"/>
            <w:tcBorders/>
            <w:vAlign w:val="center"/>
          </w:tcPr>
          <w:p w14:paraId="4F63AB80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参考文献</w:t>
            </w:r>
          </w:p>
          <w:p w14:paraId="3DB71D26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(作品)</w:t>
            </w:r>
          </w:p>
        </w:tc>
        <w:tc>
          <w:tcPr>
            <w:tcW w:w="7599" w:type="dxa"/>
            <w:gridSpan w:val="5"/>
            <w:tcBorders/>
          </w:tcPr>
          <w:p w14:paraId="18186E42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[1] 杨子弘, 胡诚羽, 刘佳. 基于ESP32的虚拟电子围栏设计与实现[J]. 计算机科学与应用, 2021, 11(7): 1962-1972.</w:t>
            </w:r>
          </w:p>
          <w:p w14:paraId="1C8A8652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[2] 李昊坤. 基于蓝牙的U盘智能控制系统设计与实现[J]. 计算机科学与应用, 2018, 8(12): 1862-1869.</w:t>
            </w:r>
          </w:p>
          <w:p w14:paraId="388204F0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[3] 刘倩, 邓艳军, 赵月旭, 等. 基于蓝牙传输的智能胎动检测系统设计[J]. 仪器与设备, 2019, 7(4): 228-238.</w:t>
            </w:r>
          </w:p>
          <w:p w14:paraId="6E3F932C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[4] 刘梓硕, 曹智杰, 刘文龙. 基于STM32单片机智能窗户的设计[J]. 传感器技术与应用, 2023, 11(3): 292-300.</w:t>
            </w:r>
          </w:p>
          <w:p w14:paraId="97AE0FE9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[5] 韦锦瑜, 孙嵩斐, 孙飞宇, 等. 基于微信小程序的物联网模块监测系统设计与实现[J]. 无线通信, 2025, 15(4): 95-104.</w:t>
            </w:r>
          </w:p>
          <w:p w14:paraId="48161425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[6] 吴静. 基于QT_E的嵌入式软键盘和中文拼音输入法的设计与实现[J]. 计算机科学与应用, 2013, 3(1): 6-10.</w:t>
            </w:r>
          </w:p>
          <w:p w14:paraId="82E81A6B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[7] BULIĆ P, KOJEK G, BIASIZZO A. Data transmission efficiency in Bluetooth low energy versions[J]. Sensors, 2019, 19(17): 3746.</w:t>
            </w:r>
          </w:p>
          <w:p w14:paraId="359DE11A">
            <w:pPr>
              <w:pStyle w:val="style4099"/>
              <w:keepNext w:val="false"/>
              <w:keepLines w:val="false"/>
              <w:pageBreakBefore w:val="false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auto" w:line="240"/>
              <w:textAlignment w:val="auto"/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</w:pPr>
            <w:r>
              <w:rPr>
                <w:rFonts w:cs="Times New Roman" w:hint="default"/>
                <w:b w:val="false"/>
                <w:bCs w:val="false"/>
                <w:sz w:val="21"/>
                <w:lang w:val="en-US" w:eastAsia="zh-CN"/>
              </w:rPr>
              <w:t>[8] MÁTIS K, SZILÁGYI K A, SULYOK C, et al. Voice recognition based automated teleprompter application[C]//2023 IEEE 21st Jubilee International Symposium on Intelligent Systems and Informatics (SISY). Pécs: IEEE, 2023: 61-66.</w:t>
            </w:r>
          </w:p>
        </w:tc>
      </w:tr>
      <w:tr w14:paraId="7F14A725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294C22BE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任务下达人</w:t>
            </w:r>
          </w:p>
          <w:p w14:paraId="68DDA96A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（签字）</w:t>
            </w:r>
          </w:p>
        </w:tc>
        <w:tc>
          <w:tcPr>
            <w:tcW w:w="7599" w:type="dxa"/>
            <w:gridSpan w:val="5"/>
            <w:tcBorders/>
          </w:tcPr>
          <w:p w14:paraId="1AB931E9">
            <w:pPr>
              <w:pStyle w:val="style0"/>
              <w:tabs>
                <w:tab w:val="left" w:leader="none" w:pos="4541"/>
              </w:tabs>
              <w:jc w:val="left"/>
              <w:rPr>
                <w:rFonts w:ascii="宋体" w:eastAsia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ab/>
            </w:r>
          </w:p>
          <w:p w14:paraId="4FFEDA9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5511476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  <w:tr w14:paraId="5DA2FA32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565D43E8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教研室主任</w:t>
            </w:r>
          </w:p>
          <w:p w14:paraId="5302F2B9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(签字)</w:t>
            </w:r>
          </w:p>
        </w:tc>
        <w:tc>
          <w:tcPr>
            <w:tcW w:w="7599" w:type="dxa"/>
            <w:gridSpan w:val="5"/>
            <w:tcBorders/>
          </w:tcPr>
          <w:p w14:paraId="33267C13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57BF36B7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1EB0299F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  <w:tr w14:paraId="0483215C">
        <w:tblPrEx/>
        <w:trPr>
          <w:trHeight w:val="567" w:hRule="atLeast"/>
          <w:jc w:val="center"/>
        </w:trPr>
        <w:tc>
          <w:tcPr>
            <w:tcW w:w="1415" w:type="dxa"/>
            <w:tcBorders/>
            <w:vAlign w:val="center"/>
          </w:tcPr>
          <w:p w14:paraId="506549B2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任务接受人</w:t>
            </w:r>
          </w:p>
          <w:p w14:paraId="58C92354">
            <w:pPr>
              <w:pStyle w:val="style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（签字）</w:t>
            </w:r>
          </w:p>
        </w:tc>
        <w:tc>
          <w:tcPr>
            <w:tcW w:w="7599" w:type="dxa"/>
            <w:gridSpan w:val="5"/>
            <w:tcBorders/>
          </w:tcPr>
          <w:p w14:paraId="375D3C69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  <w:p w14:paraId="2E57D61B">
            <w:pPr>
              <w:pStyle w:val="style0"/>
              <w:jc w:val="left"/>
              <w:rPr>
                <w:rFonts w:ascii="宋体" w:hAnsi="宋体"/>
                <w:szCs w:val="21"/>
              </w:rPr>
            </w:pPr>
          </w:p>
        </w:tc>
      </w:tr>
    </w:tbl>
    <w:p w14:paraId="486E4C43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8F46E6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rFonts w:ascii="等线" w:cs="宋体" w:eastAsia="等线" w:hAnsi="等线"/>
      <w:sz w:val="18"/>
      <w:szCs w:val="18"/>
    </w:rPr>
  </w:style>
  <w:style w:type="paragraph" w:styleId="style31">
    <w:name w:val="header"/>
    <w:basedOn w:val="style0"/>
    <w:next w:val="style31"/>
    <w:link w:val="style4097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rFonts w:ascii="等线" w:cs="宋体" w:eastAsia="等线" w:hAnsi="等线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styleId="style41">
    <w:name w:val="page number"/>
    <w:basedOn w:val="style65"/>
    <w:next w:val="style41"/>
    <w:qFormat/>
    <w:uiPriority w:val="0"/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qFormat/>
    <w:uiPriority w:val="99"/>
    <w:rPr>
      <w:sz w:val="18"/>
      <w:szCs w:val="18"/>
    </w:rPr>
  </w:style>
  <w:style w:type="paragraph" w:customStyle="1" w:styleId="style4099">
    <w:name w:val="p0"/>
    <w:basedOn w:val="style0"/>
    <w:next w:val="style4099"/>
    <w:qFormat/>
    <w:uiPriority w:val="0"/>
    <w:pPr>
      <w:widowControl/>
    </w:pPr>
    <w:rPr>
      <w:kern w:val="0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Words>1890</Words>
  <Pages>2</Pages>
  <Characters>2550</Characters>
  <Application>WPS Office</Application>
  <DocSecurity>0</DocSecurity>
  <Paragraphs>72</Paragraphs>
  <ScaleCrop>false</ScaleCrop>
  <Company>Microsoft</Company>
  <LinksUpToDate>false</LinksUpToDate>
  <CharactersWithSpaces>2653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2021-03-11T01:26:00Z</dcterms:created>
  <dc:creator>1079989206@qq.com</dc:creator>
  <lastModifiedBy>M332BF</lastModifiedBy>
  <lastPrinted>2024-05-29T00:44:00Z</lastPrinted>
  <dcterms:modified xsi:type="dcterms:W3CDTF">2026-10-22T04:32:40Z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0e4bd5ec9c28436ea0ad57ee7b1744c5_23</vt:lpwstr>
  </property>
  <property fmtid="{D5CDD505-2E9C-101B-9397-08002B2CF9AE}" pid="5" name="KSOProductBuildVer">
    <vt:lpwstr>2052-12.1.0.22529</vt:lpwstr>
  </property>
  <property fmtid="{D5CDD505-2E9C-101B-9397-08002B2CF9AE}" pid="6" name="KSOTemplateDocerSaveRecord">
    <vt:lpwstr>eyJoZGlkIjoiYzY1OGFhOTM2MjgwNjM4NWJkZTE1MjU1NzEwY2QwYzIiLCJ1c2VySWQiOiI2MzAzMDI4MDMifQ==</vt:lpwstr>
  </property>
</Properties>
</file>