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A984A72">
      <w:pPr>
        <w:pStyle w:val="style0"/>
        <w:spacing w:lineRule="auto" w:line="48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武汉传媒学院</w:t>
      </w:r>
    </w:p>
    <w:p w14:paraId="2F6CC08C">
      <w:pPr>
        <w:pStyle w:val="style0"/>
        <w:spacing w:lineRule="auto" w:line="48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毕业设计（论文、创作）任务书</w:t>
      </w:r>
    </w:p>
    <w:tbl>
      <w:tblPr>
        <w:tblStyle w:val="style105"/>
        <w:tblW w:w="90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1720"/>
        <w:gridCol w:w="1371"/>
        <w:gridCol w:w="1502"/>
        <w:gridCol w:w="1502"/>
        <w:gridCol w:w="1504"/>
      </w:tblGrid>
      <w:tr w14:paraId="63174767">
        <w:trPr>
          <w:trHeight w:val="454" w:hRule="atLeast"/>
          <w:jc w:val="center"/>
        </w:trPr>
        <w:tc>
          <w:tcPr>
            <w:tcW w:w="1415" w:type="dxa"/>
            <w:tcBorders/>
            <w:vAlign w:val="center"/>
          </w:tcPr>
          <w:p w14:paraId="7A23791F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学号</w:t>
            </w:r>
          </w:p>
        </w:tc>
        <w:tc>
          <w:tcPr>
            <w:tcW w:w="1720" w:type="dxa"/>
            <w:tcBorders/>
            <w:vAlign w:val="center"/>
          </w:tcPr>
          <w:p w14:paraId="3DEA984B">
            <w:pPr>
              <w:pStyle w:val="style0"/>
              <w:jc w:val="center"/>
              <w:rPr>
                <w:rFonts w:ascii="宋体" w:eastAsia="宋体" w:hAnsi="宋体" w:hint="default"/>
                <w:lang w:val="en-US" w:eastAsia="zh-CN"/>
              </w:rPr>
            </w:pPr>
            <w:r>
              <w:rPr>
                <w:rFonts w:ascii="宋体" w:eastAsia="宋体" w:hAnsi="宋体" w:hint="default"/>
                <w:lang w:val="en-US" w:eastAsia="zh-CN"/>
              </w:rPr>
              <w:t>25200000227</w:t>
            </w:r>
          </w:p>
        </w:tc>
        <w:tc>
          <w:tcPr>
            <w:tcW w:w="1371" w:type="dxa"/>
            <w:tcBorders/>
            <w:vAlign w:val="center"/>
          </w:tcPr>
          <w:p w14:paraId="6BE13CCD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姓名</w:t>
            </w:r>
          </w:p>
        </w:tc>
        <w:tc>
          <w:tcPr>
            <w:tcW w:w="1502" w:type="dxa"/>
            <w:tcBorders/>
            <w:vAlign w:val="center"/>
          </w:tcPr>
          <w:p w14:paraId="3AE67038">
            <w:pPr>
              <w:pStyle w:val="style0"/>
              <w:jc w:val="center"/>
              <w:rPr>
                <w:rFonts w:ascii="宋体" w:eastAsia="宋体" w:hAnsi="宋体" w:hint="default"/>
                <w:lang w:val="en-US" w:eastAsia="zh-CN"/>
              </w:rPr>
            </w:pPr>
            <w:r>
              <w:rPr>
                <w:rFonts w:ascii="宋体" w:hAnsi="宋体" w:hint="default"/>
                <w:lang w:val="en-US" w:eastAsia="zh-CN"/>
              </w:rPr>
              <w:t>张志超</w:t>
            </w:r>
          </w:p>
        </w:tc>
        <w:tc>
          <w:tcPr>
            <w:tcW w:w="1502" w:type="dxa"/>
            <w:tcBorders/>
            <w:vAlign w:val="center"/>
          </w:tcPr>
          <w:p w14:paraId="356BF5FA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班级</w:t>
            </w:r>
          </w:p>
        </w:tc>
        <w:tc>
          <w:tcPr>
            <w:tcW w:w="1504" w:type="dxa"/>
            <w:tcBorders/>
            <w:vAlign w:val="center"/>
          </w:tcPr>
          <w:p w14:paraId="09C8454D">
            <w:pPr>
              <w:pStyle w:val="style0"/>
              <w:jc w:val="left"/>
              <w:rPr/>
            </w:pPr>
            <w:r>
              <w:rPr>
                <w:lang w:val="en-US"/>
              </w:rPr>
              <w:t>电信B2302班</w:t>
            </w:r>
          </w:p>
        </w:tc>
      </w:tr>
      <w:tr w14:paraId="51AF28C9">
        <w:tblPrEx/>
        <w:trPr>
          <w:trHeight w:val="497" w:hRule="atLeast"/>
          <w:jc w:val="center"/>
        </w:trPr>
        <w:tc>
          <w:tcPr>
            <w:tcW w:w="1415" w:type="dxa"/>
            <w:tcBorders/>
            <w:vAlign w:val="center"/>
          </w:tcPr>
          <w:p w14:paraId="0F1B2F9C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</w:t>
            </w:r>
          </w:p>
        </w:tc>
        <w:tc>
          <w:tcPr>
            <w:tcW w:w="7599" w:type="dxa"/>
            <w:gridSpan w:val="5"/>
            <w:tcBorders/>
            <w:vAlign w:val="center"/>
          </w:tcPr>
          <w:p w14:paraId="20FE2A72">
            <w:pPr>
              <w:pStyle w:val="style0"/>
              <w:jc w:val="center"/>
              <w:rPr>
                <w:rFonts w:ascii="宋体" w:eastAsia="宋体" w:hAnsi="宋体" w:hint="default"/>
                <w:szCs w:val="21"/>
                <w:lang w:val="en-US" w:eastAsia="zh-CN"/>
              </w:rPr>
            </w:pPr>
            <w:r>
              <w:rPr>
                <w:rFonts w:ascii="宋体" w:eastAsia="宋体" w:hAnsi="宋体" w:hint="default"/>
                <w:szCs w:val="21"/>
                <w:lang w:val="en-US" w:eastAsia="zh-CN"/>
              </w:rPr>
              <w:t>李文</w:t>
            </w:r>
          </w:p>
        </w:tc>
      </w:tr>
      <w:tr w14:paraId="7CF792F4">
        <w:tblPrEx/>
        <w:trPr>
          <w:trHeight w:val="537" w:hRule="atLeast"/>
          <w:jc w:val="center"/>
        </w:trPr>
        <w:tc>
          <w:tcPr>
            <w:tcW w:w="1415" w:type="dxa"/>
            <w:tcBorders/>
            <w:vAlign w:val="center"/>
          </w:tcPr>
          <w:p w14:paraId="47BC8AE6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题目</w:t>
            </w:r>
          </w:p>
        </w:tc>
        <w:tc>
          <w:tcPr>
            <w:tcW w:w="7599" w:type="dxa"/>
            <w:gridSpan w:val="5"/>
            <w:tcBorders/>
            <w:vAlign w:val="center"/>
          </w:tcPr>
          <w:p w14:paraId="27297844">
            <w:pPr>
              <w:pStyle w:val="style0"/>
              <w:jc w:val="center"/>
              <w:rPr>
                <w:rFonts w:ascii="宋体" w:eastAsia="宋体" w:hAnsi="宋体" w:hint="default"/>
                <w:szCs w:val="21"/>
                <w:lang w:val="en-US" w:eastAsia="zh-CN"/>
              </w:rPr>
            </w:pPr>
            <w:r>
              <w:rPr>
                <w:rFonts w:ascii="宋体" w:eastAsia="宋体" w:hAnsi="宋体" w:hint="default"/>
                <w:szCs w:val="21"/>
                <w:lang w:val="en-US" w:eastAsia="zh-CN"/>
              </w:rPr>
              <w:t>便携式提词器与脚本同步系统</w:t>
            </w:r>
          </w:p>
        </w:tc>
      </w:tr>
      <w:tr w14:paraId="62F7C78D">
        <w:tblPrEx/>
        <w:trPr>
          <w:trHeight w:val="2159" w:hRule="atLeast"/>
          <w:jc w:val="center"/>
        </w:trPr>
        <w:tc>
          <w:tcPr>
            <w:tcW w:w="1415" w:type="dxa"/>
            <w:tcBorders/>
            <w:vAlign w:val="center"/>
          </w:tcPr>
          <w:p w14:paraId="40CD9B11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任务和要求</w:t>
            </w:r>
          </w:p>
        </w:tc>
        <w:tc>
          <w:tcPr>
            <w:tcW w:w="7599" w:type="dxa"/>
            <w:gridSpan w:val="5"/>
            <w:tcBorders/>
            <w:vAlign w:val="center"/>
          </w:tcPr>
          <w:p w14:paraId="496B1402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随着短视频创作与学生影视实践的普及，学生剧组在拍摄口播、访谈及剧情片段时普遍依靠手举稿纸或手机屏幕提示台词，存在视线偏移、效率低、长时间举持易疲劳等问题。本课题旨在设计并实现一套以ESP32为核心的便携式提词器与脚本同步系统，通过集成电子显示、平滑滚动、无线控制与脚本管理功能，为小成本拍摄场景提供离线可用、低成本、可便携的提词方案。项目综合应用嵌入式系统、人机交互与低功耗无线通信技术，具有明确的工程应用价值。本课题的具体任务和要求如下：</w:t>
            </w:r>
          </w:p>
          <w:p w14:paraId="844595A2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．提词显示模块。采用2.8英寸TFT液晶显示屏，分辨率240×320，驱动芯片ST7789，按BGR色序初始化，逻辑电平3.3V；显示GB2312一、二级汉字，提供16×16与24×24两档点阵字号，行距3档（1.0、1.25、1.5倍）；24×24点阵下每行显示10个汉字，1.25倍行距时单屏不少于10行；文字颜色不少于4种（RGB565，16位色）；SPI工作时钟按40MHz配置，整屏刷新时间不大于200ms。</w:t>
            </w:r>
          </w:p>
          <w:p w14:paraId="33512041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．结构适配。显示屏安装于与水平面成45°±5°的分光镜结构中，通过设置ST7789显示方向寄存器实现画面水平镜像，使经45°反射后的成像为正向可读；配备遮光罩，在室内正常照明条件下，观看距离40~60cm时可清晰辨认脚本内容。</w:t>
            </w:r>
          </w:p>
          <w:p w14:paraId="E96B3ADC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．滚动速度调节。通过EC11旋转编码器实现滚动速度在10~300像素/秒范围内连续调节，最小步进5像素/秒，对应24×24点阵、1.25倍行距（行高30像素）下约0.1~10行/秒；实测滚动速度与设定值的相对误差不大于5%；支持暂停与继续，恢复后文字位置不跳变，滚动过程无跳行、无抖动。</w:t>
            </w:r>
          </w:p>
          <w:p w14:paraId="C621F592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．手机端控制。通过低功耗蓝牙与自主开发的Android手机应用通信，实现翻页、跳转、暂停及速度、字号、行距、颜色等参数设置；室内无遮挡条件下控制距离不小于10m，应用搜索并连接时间不大于5s，断线自动重连时间不大于10s，指令响应时间不大于300ms。</w:t>
            </w:r>
          </w:p>
          <w:p w14:paraId="463F784E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5．无线遥控。通过蓝牙遥控器实现上一页、下一页、暂停控制，与手机端控制互为备用，提高现场可靠性。</w:t>
            </w:r>
          </w:p>
          <w:p w14:paraId="DC160C7A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．脚本管理。支持通过TF卡导入TXT脚本文件，兼容UTF-8与GBK两种编码，单文件不小于100KB（UTF-8约3.4万汉字、GBK约5.1万汉字）时可正常打开并滚动显示；可保存不少于10份脚本，脚本切换时间不大于2s；手机端可读取脚本内容进行预览与修改并回传保存；系统掉电重启后脚本与显示参数不丢失。</w:t>
            </w:r>
          </w:p>
          <w:p w14:paraId="2535FB87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7．电源与整机。采用USB Type-C 5V供电，配3.7V/2500mAh锂电池底座（输入4.5~5.5V，输出5V/450mA，具备4.2V过充与2.9V过放保护，待机电流约0.8mA），整机平均工作电流控制在300mA以内，连续滚动工作续航不小于1.5小时；</w:t>
            </w:r>
          </w:p>
          <w:p w14:paraId="9AAB2C38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8．交互设计。通过单个EC11旋转编码器的旋转与按压，配合板载BOOT按键，实现速度调节、暂停、菜单进入与参数选择，菜单层级不超过两级，可完成字号、行距、颜色、镜像及脚本切换操作。</w:t>
            </w:r>
          </w:p>
          <w:p w14:paraId="7CB9D3DD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课题要求：</w:t>
            </w:r>
          </w:p>
          <w:p w14:paraId="30893BB0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1．完成系统总体设计框架，包括硬件组成框图、软件流程设计与各模块交互逻辑说明；</w:t>
            </w:r>
          </w:p>
          <w:p w14:paraId="EEF8220F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2．根据系统框图完成元器件选型与单元电路设计，给出主控引脚分配表、显示与存储接口设计及电源供电方案；</w:t>
            </w:r>
          </w:p>
          <w:p w14:paraId="0E9796CE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3．完成软件系统开发，编写程序实现中文点阵字库渲染、平滑滚动、编码器输入处理、蓝牙通信与脚本文件管理等功能；</w:t>
            </w:r>
          </w:p>
          <w:p w14:paraId="55B6CA70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4．完成硬件搭建与软硬件联调，实物能够完整演示提词显示、速度调节、手机/遥控翻页、脚本管理四项功能；</w:t>
            </w:r>
          </w:p>
          <w:p w14:paraId="C803C3A2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5．完成毕业设计报告，字数不少于1.0万字，包含需求分析、方案论证、硬件与软件设计、测试数据与误差分析，参考文献不少于8篇，其中外文文献不少于2篇。</w:t>
            </w:r>
          </w:p>
        </w:tc>
      </w:tr>
      <w:tr w14:paraId="65322288">
        <w:tblPrEx/>
        <w:trPr>
          <w:trHeight w:val="2114" w:hRule="atLeast"/>
          <w:jc w:val="center"/>
        </w:trPr>
        <w:tc>
          <w:tcPr>
            <w:tcW w:w="1415" w:type="dxa"/>
            <w:tcBorders/>
            <w:vAlign w:val="center"/>
          </w:tcPr>
          <w:p w14:paraId="56AF666E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进度安排</w:t>
            </w:r>
          </w:p>
        </w:tc>
        <w:tc>
          <w:tcPr>
            <w:tcW w:w="7599" w:type="dxa"/>
            <w:gridSpan w:val="5"/>
            <w:tcBorders/>
            <w:vAlign w:val="center"/>
          </w:tcPr>
          <w:p w14:paraId="5A4DA116">
            <w:pPr>
              <w:pStyle w:val="style0"/>
              <w:keepNext w:val="false"/>
              <w:keepLines w:val="false"/>
              <w:pageBreakBefore w:val="false"/>
              <w:widowControl w:val="false"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jc w:val="left"/>
              <w:textAlignment w:val="auto"/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2025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10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月：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 xml:space="preserve">完成师生双选、选题、任务书。 </w:t>
            </w:r>
          </w:p>
          <w:p w14:paraId="630CEB3F">
            <w:pPr>
              <w:pStyle w:val="style0"/>
              <w:keepNext w:val="false"/>
              <w:keepLines w:val="false"/>
              <w:pageBreakBefore w:val="false"/>
              <w:widowControl w:val="false"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jc w:val="left"/>
              <w:textAlignment w:val="auto"/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2025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11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月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11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日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前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：完成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开题报告初稿提交</w:t>
            </w:r>
          </w:p>
          <w:p w14:paraId="3F5FD79A">
            <w:pPr>
              <w:pStyle w:val="style0"/>
              <w:keepNext w:val="false"/>
              <w:keepLines w:val="false"/>
              <w:pageBreakBefore w:val="false"/>
              <w:widowControl w:val="false"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jc w:val="left"/>
              <w:textAlignment w:val="auto"/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2025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11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月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22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日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前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：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 xml:space="preserve">开题答辩，开题报告最终稿提交。 (二辩在12.5前完成) </w:t>
            </w:r>
          </w:p>
          <w:p w14:paraId="52A50B08">
            <w:pPr>
              <w:pStyle w:val="style0"/>
              <w:keepNext w:val="false"/>
              <w:keepLines w:val="false"/>
              <w:pageBreakBefore w:val="false"/>
              <w:widowControl w:val="false"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jc w:val="left"/>
              <w:textAlignment w:val="auto"/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2025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12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月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-2026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年1月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11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日：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 xml:space="preserve">完成毕业设计初稿、中期检查。 </w:t>
            </w:r>
          </w:p>
          <w:p w14:paraId="1ACD603E">
            <w:pPr>
              <w:pStyle w:val="style0"/>
              <w:keepNext w:val="false"/>
              <w:keepLines w:val="false"/>
              <w:pageBreakBefore w:val="false"/>
              <w:widowControl w:val="false"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jc w:val="left"/>
              <w:textAlignment w:val="auto"/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2026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月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-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2026年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3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月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30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日：定稿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毕业设计报告，通过知网查重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。</w:t>
            </w:r>
          </w:p>
          <w:p w14:paraId="1B195222">
            <w:pPr>
              <w:pStyle w:val="style0"/>
              <w:keepNext w:val="false"/>
              <w:keepLines w:val="false"/>
              <w:pageBreakBefore w:val="false"/>
              <w:widowControl w:val="false"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jc w:val="left"/>
              <w:textAlignment w:val="auto"/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2026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月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20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日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前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：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 xml:space="preserve">毕业设计答辩一辨。 </w:t>
            </w:r>
          </w:p>
          <w:p w14:paraId="78433AAA">
            <w:pPr>
              <w:pStyle w:val="style0"/>
              <w:keepNext w:val="false"/>
              <w:keepLines w:val="false"/>
              <w:pageBreakBefore w:val="false"/>
              <w:widowControl w:val="false"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jc w:val="left"/>
              <w:textAlignment w:val="auto"/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2026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月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27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日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前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：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 xml:space="preserve">毕业设计答辩二辨。 </w:t>
            </w:r>
          </w:p>
          <w:p w14:paraId="603D546E">
            <w:pPr>
              <w:pStyle w:val="style0"/>
              <w:keepNext w:val="false"/>
              <w:keepLines w:val="false"/>
              <w:pageBreakBefore w:val="false"/>
              <w:widowControl w:val="false"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jc w:val="left"/>
              <w:textAlignment w:val="auto"/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2026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月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30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日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前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：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毕设知网最终查重检测</w:t>
            </w:r>
          </w:p>
          <w:p w14:paraId="74A8B44A">
            <w:pPr>
              <w:pStyle w:val="style0"/>
              <w:keepNext w:val="false"/>
              <w:keepLines w:val="false"/>
              <w:pageBreakBefore w:val="false"/>
              <w:widowControl w:val="false"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jc w:val="left"/>
              <w:textAlignment w:val="auto"/>
              <w:rPr>
                <w:rFonts w:hint="default"/>
                <w:color w:val="0000ff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2026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5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月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30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日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前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：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校外评审，毕业设计材料归档。</w:t>
            </w:r>
          </w:p>
        </w:tc>
      </w:tr>
      <w:tr w14:paraId="63D97AE2">
        <w:tblPrEx/>
        <w:trPr>
          <w:trHeight w:val="1244" w:hRule="atLeast"/>
          <w:jc w:val="center"/>
        </w:trPr>
        <w:tc>
          <w:tcPr>
            <w:tcW w:w="1415" w:type="dxa"/>
            <w:tcBorders/>
            <w:vAlign w:val="center"/>
          </w:tcPr>
          <w:p w14:paraId="4F63AB80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参考文献</w:t>
            </w:r>
          </w:p>
          <w:p w14:paraId="3DB71D26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(作品)</w:t>
            </w:r>
          </w:p>
        </w:tc>
        <w:tc>
          <w:tcPr>
            <w:tcW w:w="7599" w:type="dxa"/>
            <w:gridSpan w:val="5"/>
            <w:tcBorders/>
          </w:tcPr>
          <w:p w14:paraId="18186E42">
            <w:pPr>
              <w:pStyle w:val="style4099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textAlignment w:val="auto"/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</w:pPr>
            <w:r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  <w:t>[1] 杨子弘, 胡诚羽, 刘佳. 基于ESP32的虚拟电子围栏设计与实现[J]. 计算机科学与应用, 2021, 11(7): 1962-1972.</w:t>
            </w:r>
          </w:p>
          <w:p w14:paraId="1C8A8652">
            <w:pPr>
              <w:pStyle w:val="style4099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textAlignment w:val="auto"/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</w:pPr>
            <w:r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  <w:t>[2] 李昊坤. 基于蓝牙的U盘智能控制系统设计与实现[J]. 计算机科学与应用, 2018, 8(12): 1862-1869.</w:t>
            </w:r>
          </w:p>
          <w:p w14:paraId="388204F0">
            <w:pPr>
              <w:pStyle w:val="style4099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textAlignment w:val="auto"/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</w:pPr>
            <w:r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  <w:t>[3] 刘倩, 邓艳军, 赵月旭, 等. 基于蓝牙传输的智能胎动检测系统设计[J]. 仪器与设备, 2019, 7(4): 228-238.</w:t>
            </w:r>
          </w:p>
          <w:p w14:paraId="6E3F932C">
            <w:pPr>
              <w:pStyle w:val="style4099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textAlignment w:val="auto"/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</w:pPr>
            <w:r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  <w:t>[4] 刘梓硕, 曹智杰, 刘文龙. 基于STM32单片机智能窗户的设计[J]. 传感器技术与应用, 2023, 11(3): 292-300.</w:t>
            </w:r>
          </w:p>
          <w:p w14:paraId="97AE0FE9">
            <w:pPr>
              <w:pStyle w:val="style4099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textAlignment w:val="auto"/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</w:pPr>
            <w:r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  <w:t>[5] 何文武, 熊宇翔, 刘佳. 基于Android的跌倒监护APP设计与实现[J]. 计算机科学与应用, 2019, 9(7): 1426-1433.</w:t>
            </w:r>
          </w:p>
          <w:p w14:paraId="48161425">
            <w:pPr>
              <w:pStyle w:val="style4099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textAlignment w:val="auto"/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</w:pPr>
            <w:r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  <w:t>[6] 吴静. 基于QT_E的嵌入式软键盘和中文拼音输入法的设计与实现[J]. 计算机科学与应用, 2013, 3(1): 6-10.</w:t>
            </w:r>
          </w:p>
          <w:p w14:paraId="82E81A6B">
            <w:pPr>
              <w:pStyle w:val="style4099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textAlignment w:val="auto"/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</w:pPr>
            <w:r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  <w:t>[7] BULIĆ P, KOJEK G, BIASIZZO A. Data transmission efficiency in Bluetooth low energy versions[J]. Sensors, 2019, 19(17): 3746.</w:t>
            </w:r>
          </w:p>
          <w:p w14:paraId="359DE11A">
            <w:pPr>
              <w:pStyle w:val="style4099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textAlignment w:val="auto"/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</w:pPr>
            <w:r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  <w:t>[8] MÁTIS K, SZILÁGYI K A, SULYOK C, et al. Voice recognition based automated teleprompter application[C]//2023 IEEE 21st Jubilee International Symposium on Intelligent Systems and Informatics (SISY). Pécs: IEEE, 2023: 61-66.</w:t>
            </w:r>
          </w:p>
        </w:tc>
      </w:tr>
      <w:tr w14:paraId="7F14A725">
        <w:tblPrEx/>
        <w:trPr>
          <w:trHeight w:val="567" w:hRule="atLeast"/>
          <w:jc w:val="center"/>
        </w:trPr>
        <w:tc>
          <w:tcPr>
            <w:tcW w:w="1415" w:type="dxa"/>
            <w:tcBorders/>
            <w:vAlign w:val="center"/>
          </w:tcPr>
          <w:p w14:paraId="294C22BE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任务下达人</w:t>
            </w:r>
          </w:p>
          <w:p w14:paraId="68DDA96A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（签字）</w:t>
            </w:r>
          </w:p>
        </w:tc>
        <w:tc>
          <w:tcPr>
            <w:tcW w:w="7599" w:type="dxa"/>
            <w:gridSpan w:val="5"/>
            <w:tcBorders/>
          </w:tcPr>
          <w:p w14:paraId="1AB931E9">
            <w:pPr>
              <w:pStyle w:val="style0"/>
              <w:tabs>
                <w:tab w:val="left" w:leader="none" w:pos="4541"/>
              </w:tabs>
              <w:jc w:val="left"/>
              <w:rPr>
                <w:rFonts w:ascii="宋体" w:eastAsia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ab/>
            </w:r>
          </w:p>
          <w:p w14:paraId="4FFEDA97">
            <w:pPr>
              <w:pStyle w:val="style0"/>
              <w:jc w:val="left"/>
              <w:rPr>
                <w:rFonts w:ascii="宋体" w:hAnsi="宋体"/>
                <w:szCs w:val="21"/>
              </w:rPr>
            </w:pPr>
          </w:p>
          <w:p w14:paraId="55114767">
            <w:pPr>
              <w:pStyle w:val="style0"/>
              <w:jc w:val="left"/>
              <w:rPr>
                <w:rFonts w:ascii="宋体" w:hAnsi="宋体"/>
                <w:szCs w:val="21"/>
              </w:rPr>
            </w:pPr>
          </w:p>
        </w:tc>
      </w:tr>
      <w:tr w14:paraId="5DA2FA32">
        <w:tblPrEx/>
        <w:trPr>
          <w:trHeight w:val="567" w:hRule="atLeast"/>
          <w:jc w:val="center"/>
        </w:trPr>
        <w:tc>
          <w:tcPr>
            <w:tcW w:w="1415" w:type="dxa"/>
            <w:tcBorders/>
            <w:vAlign w:val="center"/>
          </w:tcPr>
          <w:p w14:paraId="565D43E8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教研室主任</w:t>
            </w:r>
          </w:p>
          <w:p w14:paraId="5302F2B9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(签字)</w:t>
            </w:r>
          </w:p>
        </w:tc>
        <w:tc>
          <w:tcPr>
            <w:tcW w:w="7599" w:type="dxa"/>
            <w:gridSpan w:val="5"/>
            <w:tcBorders/>
          </w:tcPr>
          <w:p w14:paraId="33267C13">
            <w:pPr>
              <w:pStyle w:val="style0"/>
              <w:jc w:val="left"/>
              <w:rPr>
                <w:rFonts w:ascii="宋体" w:hAnsi="宋体"/>
                <w:szCs w:val="21"/>
              </w:rPr>
            </w:pPr>
          </w:p>
          <w:p w14:paraId="57BF36B7">
            <w:pPr>
              <w:pStyle w:val="style0"/>
              <w:jc w:val="left"/>
              <w:rPr>
                <w:rFonts w:ascii="宋体" w:hAnsi="宋体"/>
                <w:szCs w:val="21"/>
              </w:rPr>
            </w:pPr>
          </w:p>
          <w:p w14:paraId="1EB0299F">
            <w:pPr>
              <w:pStyle w:val="style0"/>
              <w:jc w:val="left"/>
              <w:rPr>
                <w:rFonts w:ascii="宋体" w:hAnsi="宋体"/>
                <w:szCs w:val="21"/>
              </w:rPr>
            </w:pPr>
          </w:p>
        </w:tc>
      </w:tr>
      <w:tr w14:paraId="0483215C">
        <w:tblPrEx/>
        <w:trPr>
          <w:trHeight w:val="567" w:hRule="atLeast"/>
          <w:jc w:val="center"/>
        </w:trPr>
        <w:tc>
          <w:tcPr>
            <w:tcW w:w="1415" w:type="dxa"/>
            <w:tcBorders/>
            <w:vAlign w:val="center"/>
          </w:tcPr>
          <w:p w14:paraId="506549B2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任务接受人</w:t>
            </w:r>
          </w:p>
          <w:p w14:paraId="58C92354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（签字）</w:t>
            </w:r>
          </w:p>
        </w:tc>
        <w:tc>
          <w:tcPr>
            <w:tcW w:w="7599" w:type="dxa"/>
            <w:gridSpan w:val="5"/>
            <w:tcBorders/>
          </w:tcPr>
          <w:p w14:paraId="375D3C69">
            <w:pPr>
              <w:pStyle w:val="style0"/>
              <w:jc w:val="left"/>
              <w:rPr>
                <w:rFonts w:ascii="宋体" w:hAnsi="宋体"/>
                <w:szCs w:val="21"/>
              </w:rPr>
            </w:pPr>
          </w:p>
          <w:p w14:paraId="2E57D61B">
            <w:pPr>
              <w:pStyle w:val="style0"/>
              <w:jc w:val="left"/>
              <w:rPr>
                <w:rFonts w:ascii="宋体" w:hAnsi="宋体"/>
                <w:szCs w:val="21"/>
              </w:rPr>
            </w:pPr>
          </w:p>
        </w:tc>
      </w:tr>
    </w:tbl>
    <w:p w14:paraId="486E4C43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等线"/>
    <w:panose1 w:val="02010600030000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88F46E6D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3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Times New Roman" w:cs="Times New Roman" w:eastAsia="宋体" w:hAnsi="Times New Roman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rFonts w:ascii="等线" w:cs="宋体" w:eastAsia="等线" w:hAnsi="等线"/>
      <w:sz w:val="18"/>
      <w:szCs w:val="18"/>
    </w:rPr>
  </w:style>
  <w:style w:type="paragraph" w:styleId="style31">
    <w:name w:val="header"/>
    <w:basedOn w:val="style0"/>
    <w:next w:val="style31"/>
    <w:link w:val="style4097"/>
    <w:qFormat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rFonts w:ascii="等线" w:cs="宋体" w:eastAsia="等线" w:hAnsi="等线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</w:rPr>
  </w:style>
  <w:style w:type="character" w:styleId="style41">
    <w:name w:val="page number"/>
    <w:basedOn w:val="style65"/>
    <w:next w:val="style41"/>
    <w:qFormat/>
    <w:uiPriority w:val="0"/>
  </w:style>
  <w:style w:type="character" w:customStyle="1" w:styleId="style4097">
    <w:name w:val="页眉 字符"/>
    <w:basedOn w:val="style65"/>
    <w:next w:val="style4097"/>
    <w:link w:val="style31"/>
    <w:qFormat/>
    <w:uiPriority w:val="99"/>
    <w:rPr>
      <w:sz w:val="18"/>
      <w:szCs w:val="18"/>
    </w:rPr>
  </w:style>
  <w:style w:type="character" w:customStyle="1" w:styleId="style4098">
    <w:name w:val="页脚 字符"/>
    <w:basedOn w:val="style65"/>
    <w:next w:val="style4098"/>
    <w:link w:val="style32"/>
    <w:qFormat/>
    <w:uiPriority w:val="99"/>
    <w:rPr>
      <w:sz w:val="18"/>
      <w:szCs w:val="18"/>
    </w:rPr>
  </w:style>
  <w:style w:type="paragraph" w:customStyle="1" w:styleId="style4099">
    <w:name w:val="p0"/>
    <w:basedOn w:val="style0"/>
    <w:next w:val="style4099"/>
    <w:qFormat/>
    <w:uiPriority w:val="0"/>
    <w:pPr>
      <w:widowControl/>
    </w:pPr>
    <w:rPr>
      <w:kern w:val="0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Words>1883</Words>
  <Pages>2</Pages>
  <Characters>2553</Characters>
  <Application>WPS Office</Application>
  <DocSecurity>0</DocSecurity>
  <Paragraphs>72</Paragraphs>
  <ScaleCrop>false</ScaleCrop>
  <Company>Microsoft</Company>
  <LinksUpToDate>false</LinksUpToDate>
  <CharactersWithSpaces>2655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2021-03-11T01:26:00Z</dcterms:created>
  <dc:creator>1079989206@qq.com</dc:creator>
  <lastModifiedBy>M332BF</lastModifiedBy>
  <lastPrinted>2024-05-29T00:44:00Z</lastPrinted>
  <dcterms:modified xsi:type="dcterms:W3CDTF">2026-10-22T04:42:59Z</dcterms:modified>
  <revision>26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ff7ba12aefd945f49f93305f4462d1b3_23</vt:lpwstr>
  </property>
  <property fmtid="{D5CDD505-2E9C-101B-9397-08002B2CF9AE}" pid="5" name="KSOProductBuildVer">
    <vt:lpwstr>2052-12.1.0.22529</vt:lpwstr>
  </property>
  <property fmtid="{D5CDD505-2E9C-101B-9397-08002B2CF9AE}" pid="6" name="KSOTemplateDocerSaveRecord">
    <vt:lpwstr>eyJoZGlkIjoiYzY1OGFhOTM2MjgwNjM4NWJkZTE1MjU1NzEwY2QwYzIiLCJ1c2VySWQiOiI2MzAzMDI4MDMifQ==</vt:lpwstr>
  </property>
</Properties>
</file>