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4C8A9" w14:textId="685BB7F6" w:rsidR="00E64CF5" w:rsidRPr="00B96624" w:rsidRDefault="00E64CF5" w:rsidP="00E64CF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96624">
        <w:rPr>
          <w:rFonts w:ascii="Times New Roman" w:hAnsi="Times New Roman" w:cs="Times New Roman"/>
          <w:b/>
          <w:bCs/>
          <w:sz w:val="32"/>
          <w:szCs w:val="32"/>
        </w:rPr>
        <w:t>MODULE 13 — Executive Summary</w:t>
      </w:r>
    </w:p>
    <w:p w14:paraId="11384629" w14:textId="7FA6C4CB" w:rsidR="00E64CF5" w:rsidRPr="00E64CF5" w:rsidRDefault="00E64CF5" w:rsidP="00E64CF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64CF5">
        <w:rPr>
          <w:rFonts w:ascii="Times New Roman" w:hAnsi="Times New Roman" w:cs="Times New Roman"/>
          <w:b/>
          <w:bCs/>
          <w:sz w:val="28"/>
          <w:szCs w:val="28"/>
        </w:rPr>
        <w:t xml:space="preserve">SaaS Customer Analytics Project </w:t>
      </w:r>
    </w:p>
    <w:p w14:paraId="0A6A1EF6" w14:textId="77777777" w:rsidR="00E64CF5" w:rsidRPr="00B96624" w:rsidRDefault="00E64CF5" w:rsidP="00E64CF5">
      <w:pPr>
        <w:jc w:val="center"/>
        <w:rPr>
          <w:rFonts w:ascii="Times New Roman" w:hAnsi="Times New Roman" w:cs="Times New Roman"/>
        </w:rPr>
      </w:pPr>
    </w:p>
    <w:p w14:paraId="1C281C46" w14:textId="49D15B42" w:rsidR="00E64CF5" w:rsidRDefault="00E64CF5" w:rsidP="00E64CF5">
      <w:pPr>
        <w:rPr>
          <w:rFonts w:ascii="Times New Roman" w:hAnsi="Times New Roman" w:cs="Times New Roman"/>
          <w:b/>
          <w:bCs/>
        </w:rPr>
      </w:pPr>
      <w:r w:rsidRPr="00B96624">
        <w:rPr>
          <w:rFonts w:ascii="Times New Roman" w:hAnsi="Times New Roman" w:cs="Times New Roman"/>
          <w:b/>
          <w:bCs/>
        </w:rPr>
        <w:t>Leadership Summary</w:t>
      </w:r>
    </w:p>
    <w:p w14:paraId="7490CBDD" w14:textId="77777777" w:rsidR="00933932" w:rsidRPr="00B96624" w:rsidRDefault="00933932" w:rsidP="00E64CF5">
      <w:pPr>
        <w:rPr>
          <w:rFonts w:ascii="Times New Roman" w:hAnsi="Times New Roman" w:cs="Times New Roman"/>
          <w:b/>
          <w:bCs/>
        </w:rPr>
      </w:pPr>
    </w:p>
    <w:p w14:paraId="04AA612B" w14:textId="71E9C475" w:rsidR="00E64CF5" w:rsidRPr="00933932" w:rsidRDefault="00933932" w:rsidP="00933932">
      <w:pPr>
        <w:rPr>
          <w:rFonts w:ascii="Times New Roman" w:hAnsi="Times New Roman" w:cs="Times New Roman"/>
          <w:b/>
          <w:bCs/>
        </w:rPr>
      </w:pPr>
      <w:r w:rsidRPr="00933932">
        <w:rPr>
          <w:rFonts w:ascii="Times New Roman" w:hAnsi="Times New Roman" w:cs="Times New Roman"/>
          <w:b/>
          <w:bCs/>
        </w:rPr>
        <w:t>Business Overview</w:t>
      </w:r>
    </w:p>
    <w:p w14:paraId="4E2CE2C1" w14:textId="3B179C9C" w:rsidR="003C031A" w:rsidRDefault="00E64CF5" w:rsidP="00661DD2">
      <w:pPr>
        <w:jc w:val="both"/>
        <w:rPr>
          <w:rFonts w:ascii="Times New Roman" w:hAnsi="Times New Roman" w:cs="Times New Roman"/>
        </w:rPr>
      </w:pPr>
      <w:r w:rsidRPr="00B96624">
        <w:rPr>
          <w:rFonts w:ascii="Times New Roman" w:hAnsi="Times New Roman" w:cs="Times New Roman"/>
        </w:rPr>
        <w:t>This analysis combined customer, subscription, product usage, and support data to identify the main drivers of customer value and churn risk. The results provide a clear view of revenue performance, customer retention, and the revenue currently exposed to churn.</w:t>
      </w:r>
    </w:p>
    <w:p w14:paraId="11985A74" w14:textId="77777777" w:rsidR="00661DD2" w:rsidRDefault="00661DD2" w:rsidP="00B96624">
      <w:pPr>
        <w:rPr>
          <w:rFonts w:ascii="Times New Roman" w:hAnsi="Times New Roman" w:cs="Times New Roman"/>
        </w:rPr>
      </w:pPr>
    </w:p>
    <w:p w14:paraId="42981992" w14:textId="77777777" w:rsidR="00661DD2" w:rsidRPr="00661DD2" w:rsidRDefault="00661DD2" w:rsidP="00661DD2">
      <w:pPr>
        <w:rPr>
          <w:rFonts w:ascii="Times New Roman" w:hAnsi="Times New Roman" w:cs="Times New Roman"/>
          <w:b/>
          <w:bCs/>
        </w:rPr>
      </w:pPr>
      <w:r w:rsidRPr="00661DD2">
        <w:rPr>
          <w:rFonts w:ascii="Times New Roman" w:hAnsi="Times New Roman" w:cs="Times New Roman"/>
          <w:b/>
          <w:bCs/>
        </w:rPr>
        <w:t>Key Findings</w:t>
      </w:r>
    </w:p>
    <w:p w14:paraId="6019DFFC" w14:textId="77777777" w:rsidR="00661DD2" w:rsidRPr="00661DD2" w:rsidRDefault="00661DD2" w:rsidP="00661DD2">
      <w:pPr>
        <w:rPr>
          <w:rFonts w:ascii="Times New Roman" w:hAnsi="Times New Roman" w:cs="Times New Roman"/>
        </w:rPr>
      </w:pPr>
      <w:r w:rsidRPr="00661DD2">
        <w:rPr>
          <w:rFonts w:ascii="Times New Roman" w:hAnsi="Times New Roman" w:cs="Times New Roman"/>
          <w:b/>
          <w:bCs/>
        </w:rPr>
        <w:t>1. Churn is concentrated among customers with weaker engagement.</w:t>
      </w:r>
      <w:r w:rsidRPr="00661DD2">
        <w:rPr>
          <w:rFonts w:ascii="Times New Roman" w:hAnsi="Times New Roman" w:cs="Times New Roman"/>
        </w:rPr>
        <w:br/>
      </w:r>
      <w:r w:rsidRPr="00661DD2">
        <w:rPr>
          <w:rFonts w:ascii="Times New Roman" w:hAnsi="Times New Roman" w:cs="Times New Roman"/>
          <w:b/>
          <w:bCs/>
        </w:rPr>
        <w:t>Figure: Churn Trend Over Time (Module 7)</w:t>
      </w:r>
      <w:r w:rsidRPr="00661DD2">
        <w:rPr>
          <w:rFonts w:ascii="Times New Roman" w:hAnsi="Times New Roman" w:cs="Times New Roman"/>
        </w:rPr>
        <w:br/>
        <w:t>The churn trend shows that customer losses are not evenly distributed over time. Monitoring changes in churn regularly can help identify periods where additional customer support may be required.</w:t>
      </w:r>
    </w:p>
    <w:p w14:paraId="5BB2C09B" w14:textId="77777777" w:rsidR="00661DD2" w:rsidRPr="00661DD2" w:rsidRDefault="00661DD2" w:rsidP="00661DD2">
      <w:pPr>
        <w:rPr>
          <w:rFonts w:ascii="Times New Roman" w:hAnsi="Times New Roman" w:cs="Times New Roman"/>
        </w:rPr>
      </w:pPr>
      <w:r w:rsidRPr="00661DD2">
        <w:rPr>
          <w:rFonts w:ascii="Times New Roman" w:hAnsi="Times New Roman" w:cs="Times New Roman"/>
          <w:b/>
          <w:bCs/>
        </w:rPr>
        <w:t>2. Customer retention varies across signup cohorts.</w:t>
      </w:r>
      <w:r w:rsidRPr="00661DD2">
        <w:rPr>
          <w:rFonts w:ascii="Times New Roman" w:hAnsi="Times New Roman" w:cs="Times New Roman"/>
        </w:rPr>
        <w:br/>
      </w:r>
      <w:r w:rsidRPr="00661DD2">
        <w:rPr>
          <w:rFonts w:ascii="Times New Roman" w:hAnsi="Times New Roman" w:cs="Times New Roman"/>
          <w:b/>
          <w:bCs/>
        </w:rPr>
        <w:t>Figure: Retention Curve / Cohort Retention (Module 6)</w:t>
      </w:r>
      <w:r w:rsidRPr="00661DD2">
        <w:rPr>
          <w:rFonts w:ascii="Times New Roman" w:hAnsi="Times New Roman" w:cs="Times New Roman"/>
        </w:rPr>
        <w:br/>
        <w:t>The retention analysis shows differences in how long customers remain active after joining. Early customer engagement is therefore an important area to monitor.</w:t>
      </w:r>
    </w:p>
    <w:p w14:paraId="7393D006" w14:textId="1B2C58EA" w:rsidR="00661DD2" w:rsidRPr="00661DD2" w:rsidRDefault="00661DD2" w:rsidP="00661DD2">
      <w:pPr>
        <w:rPr>
          <w:rFonts w:ascii="Times New Roman" w:hAnsi="Times New Roman" w:cs="Times New Roman"/>
        </w:rPr>
      </w:pPr>
      <w:r w:rsidRPr="00661DD2">
        <w:rPr>
          <w:rFonts w:ascii="Times New Roman" w:hAnsi="Times New Roman" w:cs="Times New Roman"/>
          <w:b/>
          <w:bCs/>
        </w:rPr>
        <w:t>3. Customer behaviour differs significantly across segments.</w:t>
      </w:r>
      <w:r w:rsidRPr="00661DD2">
        <w:rPr>
          <w:rFonts w:ascii="Times New Roman" w:hAnsi="Times New Roman" w:cs="Times New Roman"/>
        </w:rPr>
        <w:br/>
      </w:r>
      <w:r w:rsidRPr="00661DD2">
        <w:rPr>
          <w:rFonts w:ascii="Times New Roman" w:hAnsi="Times New Roman" w:cs="Times New Roman"/>
          <w:b/>
          <w:bCs/>
        </w:rPr>
        <w:t>Figure: Customer Segmentation by Behaviour (Module 8)</w:t>
      </w:r>
      <w:r w:rsidRPr="00661DD2">
        <w:rPr>
          <w:rFonts w:ascii="Times New Roman" w:hAnsi="Times New Roman" w:cs="Times New Roman"/>
        </w:rPr>
        <w:br/>
        <w:t>The segmentation analysis identified four customer groups based on revenue, seats, login activity, product usage and support activity. These groups have different levels of engagement and revenue contribution</w:t>
      </w:r>
      <w:r>
        <w:rPr>
          <w:rFonts w:ascii="Times New Roman" w:hAnsi="Times New Roman" w:cs="Times New Roman"/>
        </w:rPr>
        <w:t>.</w:t>
      </w:r>
    </w:p>
    <w:p w14:paraId="08A06E98" w14:textId="0FEF7C0A" w:rsidR="00661DD2" w:rsidRPr="00661DD2" w:rsidRDefault="00661DD2" w:rsidP="00661DD2">
      <w:pPr>
        <w:rPr>
          <w:rFonts w:ascii="Times New Roman" w:hAnsi="Times New Roman" w:cs="Times New Roman"/>
        </w:rPr>
      </w:pPr>
      <w:r w:rsidRPr="00661DD2">
        <w:rPr>
          <w:rFonts w:ascii="Times New Roman" w:hAnsi="Times New Roman" w:cs="Times New Roman"/>
          <w:b/>
          <w:bCs/>
        </w:rPr>
        <w:t>4. A measurable group of customers is currently at higher risk.</w:t>
      </w:r>
      <w:r w:rsidRPr="00661DD2">
        <w:rPr>
          <w:rFonts w:ascii="Times New Roman" w:hAnsi="Times New Roman" w:cs="Times New Roman"/>
        </w:rPr>
        <w:br/>
      </w:r>
      <w:r w:rsidRPr="00661DD2">
        <w:rPr>
          <w:rFonts w:ascii="Times New Roman" w:hAnsi="Times New Roman" w:cs="Times New Roman"/>
          <w:b/>
          <w:bCs/>
        </w:rPr>
        <w:t>Figure: Churn Risk Score — Highest-Risk Customers (Module 9)</w:t>
      </w:r>
      <w:r w:rsidRPr="00661DD2">
        <w:rPr>
          <w:rFonts w:ascii="Times New Roman" w:hAnsi="Times New Roman" w:cs="Times New Roman"/>
        </w:rPr>
        <w:br/>
        <w:t xml:space="preserve">The highest-risk group contains </w:t>
      </w:r>
      <w:r w:rsidRPr="00661DD2">
        <w:rPr>
          <w:rFonts w:ascii="Times New Roman" w:hAnsi="Times New Roman" w:cs="Times New Roman"/>
          <w:b/>
          <w:bCs/>
        </w:rPr>
        <w:t>115 customers</w:t>
      </w:r>
      <w:r w:rsidRPr="00661DD2">
        <w:rPr>
          <w:rFonts w:ascii="Times New Roman" w:hAnsi="Times New Roman" w:cs="Times New Roman"/>
        </w:rPr>
        <w:t xml:space="preserve"> and represents </w:t>
      </w:r>
      <w:r>
        <w:rPr>
          <w:rFonts w:ascii="Times New Roman" w:hAnsi="Times New Roman" w:cs="Times New Roman"/>
        </w:rPr>
        <w:t>is 263.37k</w:t>
      </w:r>
      <w:r w:rsidRPr="00661DD2">
        <w:rPr>
          <w:rFonts w:ascii="Times New Roman" w:hAnsi="Times New Roman" w:cs="Times New Roman"/>
          <w:b/>
          <w:bCs/>
        </w:rPr>
        <w:t xml:space="preserve"> in monthly recurring revenue (MRR)</w:t>
      </w:r>
      <w:r w:rsidRPr="00661DD2">
        <w:rPr>
          <w:rFonts w:ascii="Times New Roman" w:hAnsi="Times New Roman" w:cs="Times New Roman"/>
        </w:rPr>
        <w:t xml:space="preserve">. This is recurring revenue associated with </w:t>
      </w:r>
      <w:r w:rsidRPr="00B96624">
        <w:rPr>
          <w:rFonts w:ascii="Times New Roman" w:hAnsi="Times New Roman" w:cs="Times New Roman"/>
        </w:rPr>
        <w:t>Customers identified in the highest-risk segment</w:t>
      </w:r>
      <w:r>
        <w:rPr>
          <w:rFonts w:ascii="Times New Roman" w:hAnsi="Times New Roman" w:cs="Times New Roman"/>
        </w:rPr>
        <w:t xml:space="preserve"> </w:t>
      </w:r>
      <w:r w:rsidRPr="00B96624">
        <w:rPr>
          <w:rFonts w:ascii="Times New Roman" w:hAnsi="Times New Roman" w:cs="Times New Roman"/>
        </w:rPr>
        <w:t>Based on login activity, session usage, ticket volume, and satisfaction</w:t>
      </w:r>
      <w:r w:rsidRPr="00661DD2">
        <w:rPr>
          <w:rFonts w:ascii="Times New Roman" w:hAnsi="Times New Roman" w:cs="Times New Roman"/>
        </w:rPr>
        <w:t xml:space="preserve"> and should therefore be monitored closely. </w:t>
      </w:r>
    </w:p>
    <w:p w14:paraId="0DBF6CCD" w14:textId="77777777" w:rsidR="00661DD2" w:rsidRDefault="00661DD2" w:rsidP="00661DD2">
      <w:pPr>
        <w:rPr>
          <w:rFonts w:ascii="Times New Roman" w:hAnsi="Times New Roman" w:cs="Times New Roman"/>
        </w:rPr>
      </w:pPr>
      <w:r w:rsidRPr="00661DD2">
        <w:rPr>
          <w:rFonts w:ascii="Times New Roman" w:hAnsi="Times New Roman" w:cs="Times New Roman"/>
          <w:b/>
          <w:bCs/>
        </w:rPr>
        <w:t>5. Customer usage and support experience are important signals.</w:t>
      </w:r>
      <w:r w:rsidRPr="00661DD2">
        <w:rPr>
          <w:rFonts w:ascii="Times New Roman" w:hAnsi="Times New Roman" w:cs="Times New Roman"/>
        </w:rPr>
        <w:br/>
      </w:r>
      <w:r w:rsidRPr="00661DD2">
        <w:rPr>
          <w:rFonts w:ascii="Times New Roman" w:hAnsi="Times New Roman" w:cs="Times New Roman"/>
          <w:b/>
          <w:bCs/>
        </w:rPr>
        <w:t>Figure: Usage vs Churn Relationship and Ticket Satisfaction Impact (Module 7)</w:t>
      </w:r>
      <w:r w:rsidRPr="00661DD2">
        <w:rPr>
          <w:rFonts w:ascii="Times New Roman" w:hAnsi="Times New Roman" w:cs="Times New Roman"/>
        </w:rPr>
        <w:br/>
        <w:t>The visual analysis shows the relationship between product engagement, customer support experience and churn. These measures can be used together to identify customers who may require attention before they leave.</w:t>
      </w:r>
    </w:p>
    <w:p w14:paraId="682D27DA" w14:textId="77777777" w:rsidR="00661DD2" w:rsidRPr="00661DD2" w:rsidRDefault="00661DD2" w:rsidP="00661DD2">
      <w:pPr>
        <w:rPr>
          <w:rFonts w:ascii="Times New Roman" w:hAnsi="Times New Roman" w:cs="Times New Roman"/>
          <w:b/>
          <w:bCs/>
        </w:rPr>
      </w:pPr>
      <w:r w:rsidRPr="00661DD2">
        <w:rPr>
          <w:rFonts w:ascii="Times New Roman" w:hAnsi="Times New Roman" w:cs="Times New Roman"/>
          <w:b/>
          <w:bCs/>
        </w:rPr>
        <w:lastRenderedPageBreak/>
        <w:t>Priority recommendation</w:t>
      </w:r>
    </w:p>
    <w:p w14:paraId="275EC46B" w14:textId="77777777" w:rsidR="00661DD2" w:rsidRPr="00661DD2" w:rsidRDefault="00661DD2" w:rsidP="00661DD2">
      <w:pPr>
        <w:rPr>
          <w:rFonts w:ascii="Times New Roman" w:hAnsi="Times New Roman" w:cs="Times New Roman"/>
          <w:b/>
          <w:bCs/>
        </w:rPr>
      </w:pPr>
      <w:r w:rsidRPr="00661DD2">
        <w:rPr>
          <w:rFonts w:ascii="Times New Roman" w:hAnsi="Times New Roman" w:cs="Times New Roman"/>
          <w:b/>
          <w:bCs/>
        </w:rPr>
        <w:t>Focus first on the highest-risk customers</w:t>
      </w:r>
    </w:p>
    <w:p w14:paraId="79A1F7C3" w14:textId="77777777" w:rsidR="00661DD2" w:rsidRPr="00661DD2" w:rsidRDefault="00661DD2" w:rsidP="00661DD2">
      <w:pPr>
        <w:rPr>
          <w:rFonts w:ascii="Times New Roman" w:hAnsi="Times New Roman" w:cs="Times New Roman"/>
        </w:rPr>
      </w:pPr>
      <w:r w:rsidRPr="00661DD2">
        <w:rPr>
          <w:rFonts w:ascii="Times New Roman" w:hAnsi="Times New Roman" w:cs="Times New Roman"/>
        </w:rPr>
        <w:t>Prioritise proactive outreach, onboarding support, and product adoption campaigns for the 115 highest-risk customers. These accounts represent the greatest opportunity to reduce preventable churn and protect recurring revenue.</w:t>
      </w:r>
    </w:p>
    <w:p w14:paraId="3305EEB2" w14:textId="77777777" w:rsidR="00661DD2" w:rsidRPr="00661DD2" w:rsidRDefault="00661DD2" w:rsidP="00661DD2">
      <w:pPr>
        <w:rPr>
          <w:rFonts w:ascii="Times New Roman" w:hAnsi="Times New Roman" w:cs="Times New Roman"/>
        </w:rPr>
      </w:pPr>
    </w:p>
    <w:p w14:paraId="5B7A9E81" w14:textId="77777777" w:rsidR="00661DD2" w:rsidRPr="00661DD2" w:rsidRDefault="00661DD2" w:rsidP="00B96624">
      <w:pPr>
        <w:rPr>
          <w:rFonts w:ascii="Times New Roman" w:hAnsi="Times New Roman" w:cs="Times New Roman"/>
        </w:rPr>
      </w:pPr>
    </w:p>
    <w:p w14:paraId="2B4C09CC" w14:textId="77777777" w:rsidR="00B96624" w:rsidRPr="00661DD2" w:rsidRDefault="00B96624" w:rsidP="00B96624">
      <w:pPr>
        <w:rPr>
          <w:rFonts w:ascii="Times New Roman" w:hAnsi="Times New Roman" w:cs="Times New Roman"/>
        </w:rPr>
      </w:pPr>
    </w:p>
    <w:sectPr w:rsidR="00B96624" w:rsidRPr="00661D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CF5"/>
    <w:rsid w:val="00214D60"/>
    <w:rsid w:val="003C031A"/>
    <w:rsid w:val="00661DD2"/>
    <w:rsid w:val="00933932"/>
    <w:rsid w:val="00AD2550"/>
    <w:rsid w:val="00B96624"/>
    <w:rsid w:val="00D662F4"/>
    <w:rsid w:val="00E13814"/>
    <w:rsid w:val="00E60EF7"/>
    <w:rsid w:val="00E64CF5"/>
    <w:rsid w:val="00E67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D4CB6"/>
  <w15:chartTrackingRefBased/>
  <w15:docId w15:val="{0C98965B-19CB-4F26-ACA6-BEADF7F33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4C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4C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4C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4C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4C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4C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4C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4C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4C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4C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4C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4C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4C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4C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4C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4C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4C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4C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4C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4C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4C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4C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4C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4C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4C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4C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4C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4C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4C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348</TotalTime>
  <Pages>2</Pages>
  <Words>327</Words>
  <Characters>2037</Characters>
  <Application>Microsoft Office Word</Application>
  <DocSecurity>0</DocSecurity>
  <Lines>43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Komati  Reddy Amaravathi</dc:creator>
  <cp:keywords/>
  <dc:description/>
  <cp:lastModifiedBy>Komati  Reddy Amaravathi</cp:lastModifiedBy>
  <cp:revision>4</cp:revision>
  <dcterms:created xsi:type="dcterms:W3CDTF">2026-09-25T10:42:00Z</dcterms:created>
  <dcterms:modified xsi:type="dcterms:W3CDTF">2026-09-28T10:20:00Z</dcterms:modified>
</cp:coreProperties>
</file>