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MissionMind — Revised Research Proposal</w:t>
      </w:r>
    </w:p>
    <w:p>
      <w:pPr/>
      <w:r>
        <w:t xml:space="preserve">Oct 12, 2026</w:t>
      </w:r>
      <w:r>
        <w:t xml:space="preserve"> · </w:t>
      </w:r>
      <w:r>
        <w:t xml:space="preserve">@yash</w:t>
      </w:r>
    </w:p>
    <w:p>
      <w:pPr/>
      <w:r>
        <w:t xml:space="preserve">Draft for supervisor review. Every result in this document is a hypothesis to be tested; no experiment has yet been run. Companion document: MissionMind — Project Audit &amp; Research Direction.</w:t>
      </w:r>
    </w:p>
    <w:p>
      <w:pPr>
        <w:pStyle w:val="Heading2"/>
      </w:pPr>
      <w:r>
        <w:t xml:space="preserve">1. Proposed title</w:t>
      </w:r>
    </w:p>
    <w:p>
      <w:pPr/>
      <w:r>
        <w:rPr>
          <w:b/>
        </w:rPr>
        <w:t xml:space="preserve">MissionMind: Evidence-Anchored Causal-Factor Graphs for Cross-Mission Analogy Retrieval over Spaceflight Mishap Investigation Reports</w:t>
      </w:r>
    </w:p>
    <w:p>
      <w:pPr/>
      <w:r>
        <w:t xml:space="preserve">Short title: </w:t>
      </w:r>
      <w:r>
        <w:rPr>
          <w:i/>
        </w:rPr>
        <w:t xml:space="preserve">Evidence-Anchored Graph RAG for Spaceflight Mishap Analysis</w:t>
      </w:r>
      <w:r>
        <w:t xml:space="preserve">. The title names the task (cross-mission analogy retrieval), the mechanism (evidence-anchored causal-factor graph) and the data (mishap investigation reports). It drops "hallucination-free" and "cross-agency causal discovery", which the evidence cannot support.</w:t>
      </w:r>
    </w:p>
    <w:p>
      <w:pPr>
        <w:pStyle w:val="Heading2"/>
      </w:pPr>
      <w:r>
        <w:t xml:space="preserve">2. Abstract</w:t>
      </w:r>
    </w:p>
    <w:p>
      <w:pPr/>
      <w:r>
        <w:t xml:space="preserve">Spaceflight mishap investigation boards publish detailed reports. Their lessons are scattered across long, unstructured documents from different agencies and decades, so causal patterns shared between missions are found only when an analyst happens to read both reports. Retrieval-augmented generation (RAG) and graph-based RAG have been applied to aviation, maritime, automotive and manufacturing failure records. Those collections are large and semi-structured. They do not represent the spaceflight setting of few, very long, heterogeneous reports, and none evaluates cross-case causal analogy against human judgement.</w:t>
      </w:r>
    </w:p>
    <w:p>
      <w:pPr/>
      <w:r>
        <w:t xml:space="preserve">We propose MissionMind, a framework that (i) recovers section-level fields and page provenance from mishap reports; (ii) extracts causal factors into a fixed taxonomy, accepting a graph edge only when its supporting source span is verified; and (iii) fuses lexical, dense and causal-graph retrieval to answer single-mission, cross-mission and analogy questions with page-level citations. We will also build a human-annotated benchmark from 25–35 public reports: causal-factor annotations, graded cross-mission analogy judgements, and a categorised question set including unanswerable questions, with inter-annotator agreement reported.</w:t>
      </w:r>
    </w:p>
    <w:p>
      <w:pPr/>
      <w:r>
        <w:t xml:space="preserve">MissionMind will be compared with LLM-only, BM25, dense, multi-field hybrid (the method of our 2026 IEEE base paper), the current MissionMind prototype and a published GraphRAG system. Ablations and paired significance tests will isolate the contribution of each component. </w:t>
      </w:r>
      <w:r>
        <w:rPr>
          <w:i/>
        </w:rPr>
        <w:t xml:space="preserve">No results are reported here; the hypotheses and acceptance criteria are stated in Sections 14 and 16.</w:t>
      </w:r>
    </w:p>
    <w:p>
      <w:pPr>
        <w:pStyle w:val="Heading2"/>
      </w:pPr>
      <w:r>
        <w:t xml:space="preserve">3. Introduction and research motivation</w:t>
      </w:r>
    </w:p>
    <w:p>
      <w:pPr/>
      <w:r>
        <w:t xml:space="preserve">The engineering value of a mishap report lies in its causal findings: what failed, why, and what organisational conditions allowed it. Well-known losses illustrate how differently those findings are recorded. Ariane 5 Flight 501 (1996) was lost to an unprotected data conversion in reused inertial-reference software. Mars Climate Orbiter (1999) was lost to a metric/imperial unit mismatch in a ground software file. Both inquiry boards also pointed to verification and interface-management weaknesses, but the two reports share almost no vocabulary.</w:t>
      </w:r>
    </w:p>
    <w:p>
      <w:pPr/>
      <w:r>
        <w:t xml:space="preserve">This is the core difficulty. Causally analogous failures are written in different words, at different lengths (the Ariane 501 report is about 6,000 words; the Columbia CAIB Volume I about 175,000), with different section structures and by different agencies. Keyword search misses the analogy. Dense retrieval over fixed-size chunks retrieves topically similar text, not causally similar failures. A plain LLM may "remember" famous accidents but cannot cite them, and it can confabulate a plausible link.</w:t>
      </w:r>
    </w:p>
    <w:p>
      <w:pPr/>
      <w:r>
        <w:t xml:space="preserve">Graph-based RAG promises to make shared structure explicit. Recent work, however, warns that graphs built by unverified LLM extraction propagate hallucinations (AGRAG, IEEE ICDE 2026). The closest 2026 IEEE work, multi-field hybrid RAG over 13,329 maritime tribunal reports (Kim &amp; Kim, IEEE CASE 2026), relies on standard report fields and metadata-derived proxy labels. It names graph-based reasoning as future work. Spaceflight reports have neither standard fields nor large volumes, so it is an open question whether, and for which question types, a verified causal graph adds value over strong hybrid retrieval. MissionMind is designed to answer that question with evidence rather than to assume it.</w:t>
      </w:r>
    </w:p>
    <w:p>
      <w:pPr>
        <w:pStyle w:val="Heading2"/>
      </w:pPr>
      <w:r>
        <w:t xml:space="preserve">4. Problem statement</w:t>
      </w:r>
    </w:p>
    <w:p>
      <w:pPr/>
      <w:r>
        <w:t xml:space="preserve">Given a small corpus D of long, unstructured, multi-agency spaceflight mishap reports and an analyst query q, the system must do two things:</w:t>
      </w:r>
    </w:p>
    <w:p>
      <w:pPr>
        <w:pStyle w:val="ListParagraph"/>
        <w:numPr>
          <w:ilvl w:val="0"/>
          <w:numId w:val="2"/>
        </w:numPr>
      </w:pPr>
      <w:r>
        <w:t xml:space="preserve">Retrieve the evidence passages, and for analogy queries the ranked set of missions, that are </w:t>
      </w:r>
      <w:r>
        <w:rPr>
          <w:i/>
        </w:rPr>
        <w:t xml:space="preserve">causally</w:t>
      </w:r>
      <w:r>
        <w:t xml:space="preserve"> relevant to q.</w:t>
      </w:r>
    </w:p>
    <w:p>
      <w:pPr>
        <w:pStyle w:val="ListParagraph"/>
        <w:numPr>
          <w:ilvl w:val="0"/>
          <w:numId w:val="2"/>
        </w:numPr>
      </w:pPr>
      <w:r>
        <w:t xml:space="preserve">Generate an answer in which every factual claim cites a page in D, or abstain when D does not support an answer.</w:t>
      </w:r>
    </w:p>
    <w:p>
      <w:pPr/>
      <w:r>
        <w:t xml:space="preserve">Three properties make this hard, and they define what a solution must demonstrate:</w:t>
      </w:r>
    </w:p>
    <w:p>
      <w:pPr>
        <w:pStyle w:val="ListParagraph"/>
        <w:numPr>
          <w:ilvl w:val="0"/>
          <w:numId w:val="3"/>
        </w:numPr>
      </w:pPr>
      <w:r>
        <w:rPr>
          <w:b/>
        </w:rPr>
        <w:t xml:space="preserve">Lexical divergence.</w:t>
      </w:r>
      <w:r>
        <w:t xml:space="preserve"> Causally equivalent factors are described in unrelated vocabulary across agencies and eras.</w:t>
      </w:r>
    </w:p>
    <w:p>
      <w:pPr>
        <w:pStyle w:val="ListParagraph"/>
        <w:numPr>
          <w:ilvl w:val="0"/>
          <w:numId w:val="3"/>
        </w:numPr>
      </w:pPr>
      <w:r>
        <w:rPr>
          <w:b/>
        </w:rPr>
        <w:t xml:space="preserve">Structural heterogeneity.</w:t>
      </w:r>
      <w:r>
        <w:t xml:space="preserve"> There are no shared fields, so the field-aware indexing that works for tribunal records must be recovered from each report's own structure.</w:t>
      </w:r>
    </w:p>
    <w:p>
      <w:pPr>
        <w:pStyle w:val="ListParagraph"/>
        <w:numPr>
          <w:ilvl w:val="0"/>
          <w:numId w:val="3"/>
        </w:numPr>
      </w:pPr>
      <w:r>
        <w:rPr>
          <w:b/>
        </w:rPr>
        <w:t xml:space="preserve">Verifiability.</w:t>
      </w:r>
      <w:r>
        <w:t xml:space="preserve"> In a safety context an uncited or fabricated causal link is worse than no answer. Graph facts and answer claims must be traceable to source spans.</w:t>
      </w:r>
    </w:p>
    <w:p>
      <w:pPr/>
      <w:r>
        <w:t xml:space="preserve">The current prototype addresses none of these demonstrably: its query layer is broken, its graph would be 99.4% unverified LLM output, and nothing has been evaluated (see the audit document).</w:t>
      </w:r>
    </w:p>
    <w:p>
      <w:pPr>
        <w:pStyle w:val="Heading2"/>
      </w:pPr>
      <w:r>
        <w:t xml:space="preserve">5. Research gap</w:t>
      </w:r>
    </w:p>
    <w:p>
      <w:pPr/>
      <w:r>
        <w:t xml:space="preserve">The gap is the combination of four things no reviewed work does together: spaceflight mishap reports, verified causal graph construction, cross-case analogy retrieval, and human-validated evaluation.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Evidence from the literature</w:t>
            </w:r>
          </w:p>
        </w:tc>
        <w:tc>
          <w:tcPr>
            <w:tcW w:w="3120" w:type="dxa"/>
            <w:shd w:val="clear" w:color="auto" w:fill="F2F2F2"/>
          </w:tcPr>
          <w:p>
            <w:pPr/>
            <w:r>
              <w:t xml:space="preserve">What MissionMind does</w:t>
            </w:r>
          </w:p>
        </w:tc>
      </w:tr>
      <w:tr>
        <w:tc>
          <w:tcPr>
            <w:tcW w:w="3120" w:type="dxa"/>
          </w:tcPr>
          <w:p>
            <w:pPr/>
            <w:r>
              <w:t xml:space="preserve">G1. Graph reasoning over precedents is untested in RCA retrieval</w:t>
            </w:r>
          </w:p>
        </w:tc>
        <w:tc>
          <w:tcPr>
            <w:tcW w:w="3120" w:type="dxa"/>
          </w:tcPr>
          <w:p>
            <w:pPr/>
            <w:r>
              <w:t xml:space="preserve">Kim &amp; Kim [1] list "graph-based reasoning" as future work; their system is flat hybrid retrieval</w:t>
            </w:r>
          </w:p>
        </w:tc>
        <w:tc>
          <w:tcPr>
            <w:tcW w:w="3120" w:type="dxa"/>
          </w:tcPr>
          <w:p>
            <w:pPr/>
            <w:r>
              <w:t xml:space="preserve">Adds a typed causal-factor graph channel to the base paper's hybrid retrieval and measures its marginal value</w:t>
            </w:r>
          </w:p>
        </w:tc>
      </w:tr>
      <w:tr>
        <w:tc>
          <w:tcPr>
            <w:tcW w:w="3120" w:type="dxa"/>
          </w:tcPr>
          <w:p>
            <w:pPr/>
            <w:r>
              <w:t xml:space="preserve">G2. Evaluation rests on proxies</w:t>
            </w:r>
          </w:p>
        </w:tc>
        <w:tc>
          <w:tcPr>
            <w:tcW w:w="3120" w:type="dxa"/>
          </w:tcPr>
          <w:p>
            <w:pPr/>
            <w:r>
              <w:t xml:space="preserve">[1] uses metadata proxy relevance, rule-based tags and an unvalidated LLM judge, and lists all three as limitations</w:t>
            </w:r>
          </w:p>
        </w:tc>
        <w:tc>
          <w:tcPr>
            <w:tcW w:w="3120" w:type="dxa"/>
          </w:tcPr>
          <w:p>
            <w:pPr/>
            <w:r>
              <w:t xml:space="preserve">Human graded relevance, human causal-factor labels, judge-vs-human agreement; meta-evaluation of the proxy</w:t>
            </w:r>
          </w:p>
        </w:tc>
      </w:tr>
      <w:tr>
        <w:tc>
          <w:tcPr>
            <w:tcW w:w="3120" w:type="dxa"/>
          </w:tcPr>
          <w:p>
            <w:pPr/>
            <w:r>
              <w:t xml:space="preserve">G3. LLM-built graphs are unverified</w:t>
            </w:r>
          </w:p>
        </w:tc>
        <w:tc>
          <w:tcPr>
            <w:tcW w:w="3120" w:type="dxa"/>
          </w:tcPr>
          <w:p>
            <w:pPr/>
            <w:r>
              <w:t xml:space="preserve">AGRAG [3] identifies hallucinated LLM entity extraction as a core GraphRAG weakness; [2] reports extraction F1 but no per-edge provenance in its abstract</w:t>
            </w:r>
          </w:p>
        </w:tc>
        <w:tc>
          <w:tcPr>
            <w:tcW w:w="3120" w:type="dxa"/>
          </w:tcPr>
          <w:p>
            <w:pPr/>
            <w:r>
              <w:t xml:space="preserve">Each edge carries a source quote and page and is kept only if a deterministic span check and an entailment check pass</w:t>
            </w:r>
          </w:p>
        </w:tc>
      </w:tr>
      <w:tr>
        <w:tc>
          <w:tcPr>
            <w:tcW w:w="3120" w:type="dxa"/>
          </w:tcPr>
          <w:p>
            <w:pPr/>
            <w:r>
              <w:t xml:space="preserve">G4. Long, unstructured, few-document regime</w:t>
            </w:r>
          </w:p>
        </w:tc>
        <w:tc>
          <w:tcPr>
            <w:tcW w:w="3120" w:type="dxa"/>
          </w:tcPr>
          <w:p>
            <w:pPr/>
            <w:r>
              <w:t xml:space="preserve">Prior failure-record RAG [1], [2], [5], [6] uses thousands of short or semi-structured records</w:t>
            </w:r>
          </w:p>
        </w:tc>
        <w:tc>
          <w:tcPr>
            <w:tcW w:w="3120" w:type="dxa"/>
          </w:tcPr>
          <w:p>
            <w:pPr/>
            <w:r>
              <w:t xml:space="preserve">25–35 reports of 6k–175k words; field structure recovered by section segmentation</w:t>
            </w:r>
          </w:p>
        </w:tc>
      </w:tr>
      <w:tr>
        <w:tc>
          <w:tcPr>
            <w:tcW w:w="3120" w:type="dxa"/>
          </w:tcPr>
          <w:p>
            <w:pPr/>
            <w:r>
              <w:t xml:space="preserve">G5. Cross-mission analogy is analysed manually</w:t>
            </w:r>
          </w:p>
        </w:tc>
        <w:tc>
          <w:tcPr>
            <w:tcW w:w="3120" w:type="dxa"/>
          </w:tcPr>
          <w:p>
            <w:pPr/>
            <w:r>
              <w:t xml:space="preserve">Studies such as Tafazoli [24] classify failures by hand; no retrieval benchmark exists</w:t>
            </w:r>
          </w:p>
        </w:tc>
        <w:tc>
          <w:tcPr>
            <w:tcW w:w="3120" w:type="dxa"/>
          </w:tcPr>
          <w:p>
            <w:pPr/>
            <w:r>
              <w:t xml:space="preserve">Defines and evaluates mission-level causal analogy retrieval</w:t>
            </w:r>
          </w:p>
        </w:tc>
      </w:tr>
    </w:tbl>
    <w:p>
      <w:pPr/>
      <w:r>
        <w:t xml:space="preserve">Scope honesty: G4 and G5 are claimed only for the corpus actually built. Generalisation to other domains is future work (Section 18).</w:t>
      </w:r>
    </w:p>
    <w:p>
      <w:pPr>
        <w:pStyle w:val="Heading2"/>
      </w:pPr>
      <w:r>
        <w:t xml:space="preserve">6. Objectives and research questions</w:t>
      </w:r>
    </w:p>
    <w:p>
      <w:pPr/>
      <w:r>
        <w:rPr>
          <w:b/>
        </w:rPr>
        <w:t xml:space="preserve">Objectives</w:t>
      </w:r>
    </w:p>
    <w:p>
      <w:pPr>
        <w:pStyle w:val="ListParagraph"/>
        <w:numPr>
          <w:ilvl w:val="0"/>
          <w:numId w:val="4"/>
        </w:numPr>
      </w:pPr>
      <w:r>
        <w:rPr>
          <w:b/>
        </w:rPr>
        <w:t xml:space="preserve">O1 Corpus.</w:t>
      </w:r>
      <w:r>
        <w:t xml:space="preserve"> Build a reproducible corpus of 25–35 public spaceflight mishap reports with a manifest (source URL, version, SHA-256), page provenance and recovered section fields.</w:t>
      </w:r>
    </w:p>
    <w:p>
      <w:pPr>
        <w:pStyle w:val="ListParagraph"/>
        <w:numPr>
          <w:ilvl w:val="0"/>
          <w:numId w:val="4"/>
        </w:numPr>
      </w:pPr>
      <w:r>
        <w:rPr>
          <w:b/>
        </w:rPr>
        <w:t xml:space="preserve">O2 Benchmark.</w:t>
      </w:r>
      <w:r>
        <w:t xml:space="preserve"> Create human annotations: causal factors on about 350 passages, graded analogy relevance for all mission pairs, and about 150 categorised questions with evidence pages. Report inter-annotator agreement.</w:t>
      </w:r>
    </w:p>
    <w:p>
      <w:pPr>
        <w:pStyle w:val="ListParagraph"/>
        <w:numPr>
          <w:ilvl w:val="0"/>
          <w:numId w:val="4"/>
        </w:numPr>
      </w:pPr>
      <w:r>
        <w:rPr>
          <w:b/>
        </w:rPr>
        <w:t xml:space="preserve">O3 Graph.</w:t>
      </w:r>
      <w:r>
        <w:t xml:space="preserve"> Construct an evidence-anchored causal-factor graph over a fixed taxonomy, with per-edge source verification.</w:t>
      </w:r>
    </w:p>
    <w:p>
      <w:pPr>
        <w:pStyle w:val="ListParagraph"/>
        <w:numPr>
          <w:ilvl w:val="0"/>
          <w:numId w:val="4"/>
        </w:numPr>
      </w:pPr>
      <w:r>
        <w:rPr>
          <w:b/>
        </w:rPr>
        <w:t xml:space="preserve">O4 Retrieval and generation.</w:t>
      </w:r>
      <w:r>
        <w:t xml:space="preserve"> Implement graph-augmented hybrid retrieval and citation-constrained generation with abstention.</w:t>
      </w:r>
    </w:p>
    <w:p>
      <w:pPr>
        <w:pStyle w:val="ListParagraph"/>
        <w:numPr>
          <w:ilvl w:val="0"/>
          <w:numId w:val="4"/>
        </w:numPr>
      </w:pPr>
      <w:r>
        <w:rPr>
          <w:b/>
        </w:rPr>
        <w:t xml:space="preserve">O5 Evaluation.</w:t>
      </w:r>
      <w:r>
        <w:t xml:space="preserve"> Compare against six baselines with ablations, paired significance tests and judge validation.</w:t>
      </w:r>
    </w:p>
    <w:p>
      <w:pPr/>
      <w:r>
        <w:rPr>
          <w:b/>
        </w:rPr>
        <w:t xml:space="preserve">Research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Question</w:t>
            </w:r>
          </w:p>
        </w:tc>
        <w:tc>
          <w:tcPr>
            <w:tcW w:w="3120" w:type="dxa"/>
            <w:shd w:val="clear" w:color="auto" w:fill="F2F2F2"/>
          </w:tcPr>
          <w:p>
            <w:pPr/>
            <w:r>
              <w:t xml:space="preserve">Primary evidence</w:t>
            </w:r>
          </w:p>
        </w:tc>
      </w:tr>
      <w:tr>
        <w:tc>
          <w:tcPr>
            <w:tcW w:w="3120" w:type="dxa"/>
          </w:tcPr>
          <w:p>
            <w:pPr/>
            <w:r>
              <w:t xml:space="preserve">RQ1</w:t>
            </w:r>
          </w:p>
        </w:tc>
        <w:tc>
          <w:tcPr>
            <w:tcW w:w="3120" w:type="dxa"/>
          </w:tcPr>
          <w:p>
            <w:pPr/>
            <w:r>
              <w:t xml:space="preserve">Does span-and-entailment verification raise the precision of LLM causal-factor extraction, and at what cost in recall?</w:t>
            </w:r>
          </w:p>
        </w:tc>
        <w:tc>
          <w:tcPr>
            <w:tcW w:w="3120" w:type="dxa"/>
          </w:tcPr>
          <w:p>
            <w:pPr/>
            <w:r>
              <w:t xml:space="preserve">Extraction P/R/F1 vs the D1 gold, with and without verification</w:t>
            </w:r>
          </w:p>
        </w:tc>
      </w:tr>
      <w:tr>
        <w:tc>
          <w:tcPr>
            <w:tcW w:w="3120" w:type="dxa"/>
          </w:tcPr>
          <w:p>
            <w:pPr/>
            <w:r>
              <w:t xml:space="preserve">RQ2</w:t>
            </w:r>
          </w:p>
        </w:tc>
        <w:tc>
          <w:tcPr>
            <w:tcW w:w="3120" w:type="dxa"/>
          </w:tcPr>
          <w:p>
            <w:pPr/>
            <w:r>
              <w:t xml:space="preserve">Does a verified causal-factor graph improve cross-mission analogy retrieval over the base paper's multi-field hybrid retrieval?</w:t>
            </w:r>
          </w:p>
        </w:tc>
        <w:tc>
          <w:tcPr>
            <w:tcW w:w="3120" w:type="dxa"/>
          </w:tcPr>
          <w:p>
            <w:pPr/>
            <w:r>
              <w:t xml:space="preserve">Mission-level nDCG@5 on D2; P vs B3</w:t>
            </w:r>
          </w:p>
        </w:tc>
      </w:tr>
      <w:tr>
        <w:tc>
          <w:tcPr>
            <w:tcW w:w="3120" w:type="dxa"/>
          </w:tcPr>
          <w:p>
            <w:pPr/>
            <w:r>
              <w:t xml:space="preserve">RQ3</w:t>
            </w:r>
          </w:p>
        </w:tc>
        <w:tc>
          <w:tcPr>
            <w:tcW w:w="3120" w:type="dxa"/>
          </w:tcPr>
          <w:p>
            <w:pPr/>
            <w:r>
              <w:t xml:space="preserve">For which question categories does the graph help, hurt, or make no difference?</w:t>
            </w:r>
          </w:p>
        </w:tc>
        <w:tc>
          <w:tcPr>
            <w:tcW w:w="3120" w:type="dxa"/>
          </w:tcPr>
          <w:p>
            <w:pPr/>
            <w:r>
              <w:t xml:space="preserve">Per-category answer and citation metrics on D3</w:t>
            </w:r>
          </w:p>
        </w:tc>
      </w:tr>
      <w:tr>
        <w:tc>
          <w:tcPr>
            <w:tcW w:w="3120" w:type="dxa"/>
          </w:tcPr>
          <w:p>
            <w:pPr/>
            <w:r>
              <w:t xml:space="preserve">RQ4</w:t>
            </w:r>
          </w:p>
        </w:tc>
        <w:tc>
          <w:tcPr>
            <w:tcW w:w="3120" w:type="dxa"/>
          </w:tcPr>
          <w:p>
            <w:pPr/>
            <w:r>
              <w:t xml:space="preserve">How well do cheap proxies (metadata relevance, LLM judge) agree with human judgement in this domain?</w:t>
            </w:r>
          </w:p>
        </w:tc>
        <w:tc>
          <w:tcPr>
            <w:tcW w:w="3120" w:type="dxa"/>
          </w:tcPr>
          <w:p>
            <w:pPr/>
            <w:r>
              <w:t xml:space="preserve">Spearman ρ / Cohen's κ between proxy and human labels</w:t>
            </w:r>
          </w:p>
        </w:tc>
      </w:tr>
    </w:tbl>
    <w:p>
      <w:pPr/>
      <w:r>
        <w:t xml:space="preserve">RQ4 directly tests the base paper's evaluation assumptions. A negative answer to RQ2 or RQ3 is still a reportable finding.</w:t>
      </w:r>
    </w:p>
    <w:p>
      <w:pPr>
        <w:pStyle w:val="Heading2"/>
      </w:pPr>
      <w:r>
        <w:t xml:space="preserve">7. Base paper and justification</w:t>
      </w:r>
    </w:p>
    <w:p>
      <w:pPr/>
      <w:r>
        <w:rPr>
          <w:b/>
        </w:rPr>
        <w:t xml:space="preserve">Base paper [1]:</w:t>
      </w:r>
      <w:r>
        <w:t xml:space="preserve"> S. Kim and S. Kim, "Multi-Field Hybrid Retrieval-Augmented Generation for Maritime Accident Root Cause Analysis," </w:t>
      </w:r>
      <w:r>
        <w:rPr>
          <w:i/>
        </w:rPr>
        <w:t xml:space="preserve">2026 IEEE 22nd Int. Conf. Automation Science and Engineering (CASE)</w:t>
      </w:r>
      <w:r>
        <w:t xml:space="preserve">, pp. 238–243, Aug. 2026. Verified through the IEEE DOI and Crossref metadata; full text read via arXiv 2606.13249.</w:t>
      </w:r>
    </w:p>
    <w:p>
      <w:pPr/>
      <w:r>
        <w:rPr>
          <w:b/>
        </w:rPr>
        <w:t xml:space="preserve">Primary supporting paper [2]:</w:t>
      </w:r>
      <w:r>
        <w:t xml:space="preserve"> W. Sanyaolu and D. P. Josyula, IEEE ICSC 2026, a schema-guided LLM knowledge graph from 6,193 NTSB reports. Only the abstract was accessible.</w:t>
      </w:r>
    </w:p>
    <w:p>
      <w:pPr/>
      <w:r>
        <w:rPr>
          <w:b/>
        </w:rPr>
        <w:t xml:space="preserve">Why this base paper</w:t>
      </w:r>
    </w:p>
    <w:p>
      <w:pPr>
        <w:pStyle w:val="ListParagraph"/>
        <w:numPr>
          <w:ilvl w:val="0"/>
          <w:numId w:val="5"/>
        </w:numPr>
      </w:pPr>
      <w:r>
        <w:rPr>
          <w:b/>
        </w:rPr>
        <w:t xml:space="preserve">Same task family.</w:t>
      </w:r>
      <w:r>
        <w:t xml:space="preserve"> Precedent retrieval and grounded RCA drafting from official accident investigation reports.</w:t>
      </w:r>
    </w:p>
    <w:p>
      <w:pPr>
        <w:pStyle w:val="ListParagraph"/>
        <w:numPr>
          <w:ilvl w:val="0"/>
          <w:numId w:val="5"/>
        </w:numPr>
      </w:pPr>
      <w:r>
        <w:rPr>
          <w:b/>
        </w:rPr>
        <w:t xml:space="preserve">Explicit future work and limitations we can act on.</w:t>
      </w:r>
      <w:r>
        <w:t xml:space="preserve"> Graph-based reasoning (G1) and proxy-based evaluation (G2).</w:t>
      </w:r>
    </w:p>
    <w:p>
      <w:pPr>
        <w:pStyle w:val="ListParagraph"/>
        <w:numPr>
          <w:ilvl w:val="0"/>
          <w:numId w:val="5"/>
        </w:numPr>
      </w:pPr>
      <w:r>
        <w:rPr>
          <w:b/>
        </w:rPr>
        <w:t xml:space="preserve">A concrete, reimplementable method.</w:t>
      </w:r>
      <w:r>
        <w:t xml:space="preserve"> Per-field BM25 + bge-m3 dense retrieval fused by RRF (k = 60). This becomes our strongest non-graph baseline (B3), so any graph gain is measured against the base paper's own approach rather than a weak strawman.</w:t>
      </w:r>
    </w:p>
    <w:p>
      <w:pPr>
        <w:pStyle w:val="ListParagraph"/>
        <w:numPr>
          <w:ilvl w:val="0"/>
          <w:numId w:val="5"/>
        </w:numPr>
      </w:pPr>
      <w:r>
        <w:rPr>
          <w:b/>
        </w:rPr>
        <w:t xml:space="preserve">Verifiable and open.</w:t>
      </w:r>
      <w:r>
        <w:t xml:space="preserve"> IEEE-published in 2026, with a CC BY 4.0 full text.</w:t>
      </w:r>
    </w:p>
    <w:p>
      <w:pPr/>
      <w:r>
        <w:rPr>
          <w:b/>
        </w:rPr>
        <w:t xml:space="preserve">What we do not inherit.</w:t>
      </w:r>
      <w:r>
        <w:t xml:space="preserve"> Its corpus scale (13k reports) is not available in our domain. Its metadata proxy is not reused as ground truth; it is re-examined in RQ4. Its 80B generator is replaced by open 7–8B models that fit an 8 GB GPU, which is a deliberate reproducibility choice and a stated limitation.</w:t>
      </w:r>
    </w:p>
    <w:p>
      <w:pPr>
        <w:pStyle w:val="Heading2"/>
      </w:pPr>
      <w:r>
        <w:t xml:space="preserve">8. Existing system and its limitations</w:t>
      </w:r>
    </w:p>
    <w:p>
      <w:pPr/>
      <w:r>
        <w:t xml:space="preserve">The existing system has two parts: the published state of the art (the base paper's flat hybrid RAG) and the current MissionMind prototype. Neither meets the requirements in Section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Current MissionMind (commit </w:t>
            </w:r>
            <w:r>
              <w:rPr>
                <w:rStyle w:val="CodeChar"/>
              </w:rPr>
              <w:t xml:space="preserve">5d0219e</w:t>
            </w:r>
            <w:r>
              <w:t xml:space="preserve">)</w:t>
            </w:r>
          </w:p>
        </w:tc>
        <w:tc>
          <w:tcPr>
            <w:tcW w:w="2340" w:type="dxa"/>
            <w:shd w:val="clear" w:color="auto" w:fill="F2F2F2"/>
          </w:tcPr>
          <w:p>
            <w:pPr/>
            <w:r>
              <w:t xml:space="preserve">Limitation</w:t>
            </w:r>
          </w:p>
        </w:tc>
        <w:tc>
          <w:tcPr>
            <w:tcW w:w="2340" w:type="dxa"/>
            <w:shd w:val="clear" w:color="auto" w:fill="F2F2F2"/>
          </w:tcPr>
          <w:p>
            <w:pPr/>
            <w:r>
              <w:t xml:space="preserve">Disposition</w:t>
            </w:r>
          </w:p>
        </w:tc>
      </w:tr>
      <w:tr>
        <w:tc>
          <w:tcPr>
            <w:tcW w:w="2340" w:type="dxa"/>
          </w:tcPr>
          <w:p>
            <w:pPr/>
            <w:r>
              <w:t xml:space="preserve">Corpus</w:t>
            </w:r>
          </w:p>
        </w:tc>
        <w:tc>
          <w:tcPr>
            <w:tcW w:w="2340" w:type="dxa"/>
          </w:tcPr>
          <w:p>
            <w:pPr/>
            <w:r>
              <w:t xml:space="preserve">5 failure documents + 2 ISRO annual reports</w:t>
            </w:r>
          </w:p>
        </w:tc>
        <w:tc>
          <w:tcPr>
            <w:tcW w:w="2340" w:type="dxa"/>
          </w:tcPr>
          <w:p>
            <w:pPr/>
            <w:r>
              <w:t xml:space="preserve">Too few missions; wrong ESA source; no ISRO failure report</w:t>
            </w:r>
          </w:p>
        </w:tc>
        <w:tc>
          <w:tcPr>
            <w:tcW w:w="2340" w:type="dxa"/>
          </w:tcPr>
          <w:p>
            <w:pPr/>
            <w:r>
              <w:t xml:space="preserve">Rebuild (Stage 2)</w:t>
            </w:r>
          </w:p>
        </w:tc>
      </w:tr>
      <w:tr>
        <w:tc>
          <w:tcPr>
            <w:tcW w:w="2340" w:type="dxa"/>
          </w:tcPr>
          <w:p>
            <w:pPr/>
            <w:r>
              <w:t xml:space="preserve">Parsing</w:t>
            </w:r>
          </w:p>
        </w:tc>
        <w:tc>
          <w:tcPr>
            <w:tcW w:w="2340" w:type="dxa"/>
          </w:tcPr>
          <w:p>
            <w:pPr/>
            <w:r>
              <w:t xml:space="preserve">PyMuPDF + OCR fallback; ASCII stripping; whitespace collapse</w:t>
            </w:r>
          </w:p>
        </w:tc>
        <w:tc>
          <w:tcPr>
            <w:tcW w:w="2340" w:type="dxa"/>
          </w:tcPr>
          <w:p>
            <w:pPr/>
            <w:r>
              <w:t xml:space="preserve">Ligature loss, structure and page loss, OCR noise undetected</w:t>
            </w:r>
          </w:p>
        </w:tc>
        <w:tc>
          <w:tcPr>
            <w:tcW w:w="2340" w:type="dxa"/>
          </w:tcPr>
          <w:p>
            <w:pPr/>
            <w:r>
              <w:t xml:space="preserve">Keep extractor; replace cleaning</w:t>
            </w:r>
          </w:p>
        </w:tc>
      </w:tr>
      <w:tr>
        <w:tc>
          <w:tcPr>
            <w:tcW w:w="2340" w:type="dxa"/>
          </w:tcPr>
          <w:p>
            <w:pPr/>
            <w:r>
              <w:t xml:space="preserve">Chunking</w:t>
            </w:r>
          </w:p>
        </w:tc>
        <w:tc>
          <w:tcPr>
            <w:tcW w:w="2340" w:type="dxa"/>
          </w:tcPr>
          <w:p>
            <w:pPr/>
            <w:r>
              <w:t xml:space="preserve">250-word windows, 50 overlap</w:t>
            </w:r>
          </w:p>
        </w:tc>
        <w:tc>
          <w:tcPr>
            <w:tcW w:w="2340" w:type="dxa"/>
          </w:tcPr>
          <w:p>
            <w:pPr/>
            <w:r>
              <w:t xml:space="preserve">Cuts across sections; no fields</w:t>
            </w:r>
          </w:p>
        </w:tc>
        <w:tc>
          <w:tcPr>
            <w:tcW w:w="2340" w:type="dxa"/>
          </w:tcPr>
          <w:p>
            <w:pPr/>
            <w:r>
              <w:t xml:space="preserve">Replace with section-aware passages</w:t>
            </w:r>
          </w:p>
        </w:tc>
      </w:tr>
      <w:tr>
        <w:tc>
          <w:tcPr>
            <w:tcW w:w="2340" w:type="dxa"/>
          </w:tcPr>
          <w:p>
            <w:pPr/>
            <w:r>
              <w:t xml:space="preserve">Extraction</w:t>
            </w:r>
          </w:p>
        </w:tc>
        <w:tc>
          <w:tcPr>
            <w:tcW w:w="2340" w:type="dxa"/>
          </w:tcPr>
          <w:p>
            <w:pPr/>
            <w:r>
              <w:t xml:space="preserve">Case-sensitive gazetteer (gate passes 0.6% of chunks) → Llama-3 fallback</w:t>
            </w:r>
          </w:p>
        </w:tc>
        <w:tc>
          <w:tcPr>
            <w:tcW w:w="2340" w:type="dxa"/>
          </w:tcPr>
          <w:p>
            <w:pPr/>
            <w:r>
              <w:t xml:space="preserve">Effectively unverified LLM output; first-match root-cause labels</w:t>
            </w:r>
          </w:p>
        </w:tc>
        <w:tc>
          <w:tcPr>
            <w:tcW w:w="2340" w:type="dxa"/>
          </w:tcPr>
          <w:p>
            <w:pPr/>
            <w:r>
              <w:t xml:space="preserve">Replace with schema-constrained, verified extraction; keep the gazetteer as a rules baseline</w:t>
            </w:r>
          </w:p>
        </w:tc>
      </w:tr>
      <w:tr>
        <w:tc>
          <w:tcPr>
            <w:tcW w:w="2340" w:type="dxa"/>
          </w:tcPr>
          <w:p>
            <w:pPr/>
            <w:r>
              <w:t xml:space="preserve">Graph</w:t>
            </w:r>
          </w:p>
        </w:tc>
        <w:tc>
          <w:tcPr>
            <w:tcW w:w="2340" w:type="dxa"/>
          </w:tcPr>
          <w:p>
            <w:pPr/>
            <w:r>
              <w:rPr>
                <w:rStyle w:val="CodeChar"/>
              </w:rPr>
              <w:t xml:space="preserve">MERGE</w:t>
            </w:r>
            <w:r>
              <w:t xml:space="preserve"> by raw string; MiniLM similarity edges at an uncalibrated 0.65</w:t>
            </w:r>
          </w:p>
        </w:tc>
        <w:tc>
          <w:tcPr>
            <w:tcW w:w="2340" w:type="dxa"/>
          </w:tcPr>
          <w:p>
            <w:pPr/>
            <w:r>
              <w:t xml:space="preserve">Spurious cross-mission links from template names</w:t>
            </w:r>
          </w:p>
        </w:tc>
        <w:tc>
          <w:tcPr>
            <w:tcW w:w="2340" w:type="dxa"/>
          </w:tcPr>
          <w:p>
            <w:pPr/>
            <w:r>
              <w:t xml:space="preserve">Replace with a canonicalised taxonomy-typed graph</w:t>
            </w:r>
          </w:p>
        </w:tc>
      </w:tr>
      <w:tr>
        <w:tc>
          <w:tcPr>
            <w:tcW w:w="2340" w:type="dxa"/>
          </w:tcPr>
          <w:p>
            <w:pPr/>
            <w:r>
              <w:t xml:space="preserve">Retrieval</w:t>
            </w:r>
          </w:p>
        </w:tc>
        <w:tc>
          <w:tcPr>
            <w:tcW w:w="2340" w:type="dxa"/>
          </w:tcPr>
          <w:p>
            <w:pPr/>
            <w:r>
              <w:t xml:space="preserve">Vector top-3 + attached graph facts</w:t>
            </w:r>
          </w:p>
        </w:tc>
        <w:tc>
          <w:tcPr>
            <w:tcW w:w="2340" w:type="dxa"/>
          </w:tcPr>
          <w:p>
            <w:pPr/>
            <w:r>
              <w:t xml:space="preserve">Retriever class missing; API and CLI broken</w:t>
            </w:r>
          </w:p>
        </w:tc>
        <w:tc>
          <w:tcPr>
            <w:tcW w:w="2340" w:type="dxa"/>
          </w:tcPr>
          <w:p>
            <w:pPr/>
            <w:r>
              <w:t xml:space="preserve">Rebuild</w:t>
            </w:r>
          </w:p>
        </w:tc>
      </w:tr>
      <w:tr>
        <w:tc>
          <w:tcPr>
            <w:tcW w:w="2340" w:type="dxa"/>
          </w:tcPr>
          <w:p>
            <w:pPr/>
            <w:r>
              <w:t xml:space="preserve">Generation</w:t>
            </w:r>
          </w:p>
        </w:tc>
        <w:tc>
          <w:tcPr>
            <w:tcW w:w="2340" w:type="dxa"/>
          </w:tcPr>
          <w:p>
            <w:pPr/>
            <w:r>
              <w:t xml:space="preserve">Unconstrained prompt, no citations</w:t>
            </w:r>
          </w:p>
        </w:tc>
        <w:tc>
          <w:tcPr>
            <w:tcW w:w="2340" w:type="dxa"/>
          </w:tcPr>
          <w:p>
            <w:pPr/>
            <w:r>
              <w:t xml:space="preserve">Uncitable answers</w:t>
            </w:r>
          </w:p>
        </w:tc>
        <w:tc>
          <w:tcPr>
            <w:tcW w:w="2340" w:type="dxa"/>
          </w:tcPr>
          <w:p>
            <w:pPr/>
            <w:r>
              <w:t xml:space="preserve">Citation-constrained with abstention</w:t>
            </w:r>
          </w:p>
        </w:tc>
      </w:tr>
      <w:tr>
        <w:tc>
          <w:tcPr>
            <w:tcW w:w="2340" w:type="dxa"/>
          </w:tcPr>
          <w:p>
            <w:pPr/>
            <w:r>
              <w:t xml:space="preserve">Evaluation</w:t>
            </w:r>
          </w:p>
        </w:tc>
        <w:tc>
          <w:tcPr>
            <w:tcW w:w="2340" w:type="dxa"/>
          </w:tcPr>
          <w:p>
            <w:pPr/>
            <w:r>
              <w:t xml:space="preserve">Harness broken; placeholder data; same judge as generator</w:t>
            </w:r>
          </w:p>
        </w:tc>
        <w:tc>
          <w:tcPr>
            <w:tcW w:w="2340" w:type="dxa"/>
          </w:tcPr>
          <w:p>
            <w:pPr/>
            <w:r>
              <w:t xml:space="preserve">No evidence</w:t>
            </w:r>
          </w:p>
        </w:tc>
        <w:tc>
          <w:tcPr>
            <w:tcW w:w="2340" w:type="dxa"/>
          </w:tcPr>
          <w:p>
            <w:pPr/>
            <w:r>
              <w:t xml:space="preserve">Rebuild per Section 14</w:t>
            </w:r>
          </w:p>
        </w:tc>
      </w:tr>
    </w:tbl>
    <w:p>
      <w:pPr/>
      <w:r>
        <w:t xml:space="preserve">The base paper's own limitations, which MissionMind must not repeat, are summarised in Section 7 and analysed in the audit document.</w:t>
      </w:r>
    </w:p>
    <w:p>
      <w:pPr>
        <w:pStyle w:val="Heading2"/>
      </w:pPr>
      <w:r>
        <w:t xml:space="preserve">9. Proposed methodology</w:t>
      </w:r>
    </w:p>
    <w:p>
      <w:pPr/>
      <w:r>
        <w:t xml:space="preserve">The method has six modules (M1–M6). Each is labelled </w:t>
      </w:r>
      <w:r>
        <w:rPr>
          <w:b/>
        </w:rPr>
        <w:t xml:space="preserve">[Established]</w:t>
      </w:r>
      <w:r>
        <w:t xml:space="preserve"> (used as published), </w:t>
      </w:r>
      <w:r>
        <w:rPr>
          <w:b/>
        </w:rPr>
        <w:t xml:space="preserve">[Adapted]</w:t>
      </w:r>
      <w:r>
        <w:t xml:space="preserve"> (a published method changed for this setting) or </w:t>
      </w:r>
      <w:r>
        <w:rPr>
          <w:b/>
        </w:rPr>
        <w:t xml:space="preserve">[Proposed]</w:t>
      </w:r>
      <w:r>
        <w:t xml:space="preserve"> (our contribution, to be validated).</w:t>
      </w:r>
    </w:p>
    <w:p>
      <w:pPr>
        <w:pStyle w:val="Heading3"/>
      </w:pPr>
      <w:r>
        <w:t xml:space="preserve">M1. Corpus construction with provenance — [Established practice]</w:t>
      </w:r>
    </w:p>
    <w:p>
      <w:pPr/>
      <w:r>
        <w:t xml:space="preserve">Collect 25–35 public reports into a manifest recording agency, mission, year, source URL, document version, SHA-256 and licence. ISRO annual reports are kept only as </w:t>
      </w:r>
      <w:r>
        <w:rPr>
          <w:i/>
        </w:rPr>
        <w:t xml:space="preserve">distractor</w:t>
      </w:r>
      <w:r>
        <w:t xml:space="preserve"> documents, to test whether retrieval avoids non-failure text. Candidate list and selection rules: Section 12.</w:t>
      </w:r>
    </w:p>
    <w:p>
      <w:pPr>
        <w:pStyle w:val="Heading3"/>
      </w:pPr>
      <w:r>
        <w:t xml:space="preserve">M2. Structure-aware parsing and field recovery — [Adapted from [1]]</w:t>
      </w:r>
    </w:p>
    <w:p>
      <w:pPr>
        <w:pStyle w:val="ListParagraph"/>
        <w:numPr>
          <w:ilvl w:val="0"/>
          <w:numId w:val="6"/>
        </w:numPr>
      </w:pPr>
      <w:r>
        <w:t xml:space="preserve">NFKC Unicode normalisation </w:t>
      </w:r>
      <w:r>
        <w:rPr>
          <w:b/>
        </w:rPr>
        <w:t xml:space="preserve">before</w:t>
      </w:r>
      <w:r>
        <w:t xml:space="preserve"> any filtering (fixes ligature loss). Keep page numbers and character offsets for every passage.</w:t>
      </w:r>
    </w:p>
    <w:p>
      <w:pPr>
        <w:pStyle w:val="ListParagraph"/>
        <w:numPr>
          <w:ilvl w:val="0"/>
          <w:numId w:val="6"/>
        </w:numPr>
      </w:pPr>
      <w:r>
        <w:t xml:space="preserve">Heading detection from PyMuPDF font size and weight plus numbering patterns. Passages = paragraphs merged up to about 200–300 tokens, never crossing a section boundary.</w:t>
      </w:r>
    </w:p>
    <w:p>
      <w:pPr>
        <w:pStyle w:val="ListParagraph"/>
        <w:numPr>
          <w:ilvl w:val="0"/>
          <w:numId w:val="6"/>
        </w:numPr>
      </w:pPr>
      <w:r>
        <w:t xml:space="preserve">Each section is assigned a pseudo-field (</w:t>
      </w:r>
      <w:r>
        <w:rPr>
          <w:i/>
        </w:rPr>
        <w:t xml:space="preserve">Narrative</w:t>
      </w:r>
      <w:r>
        <w:t xml:space="preserve">, </w:t>
      </w:r>
      <w:r>
        <w:rPr>
          <w:i/>
        </w:rPr>
        <w:t xml:space="preserve">Analysis/Findings</w:t>
      </w:r>
      <w:r>
        <w:t xml:space="preserve">, </w:t>
      </w:r>
      <w:r>
        <w:rPr>
          <w:i/>
        </w:rPr>
        <w:t xml:space="preserve">Causes</w:t>
      </w:r>
      <w:r>
        <w:t xml:space="preserve">, </w:t>
      </w:r>
      <w:r>
        <w:rPr>
          <w:i/>
        </w:rPr>
        <w:t xml:space="preserve">Recommendations</w:t>
      </w:r>
      <w:r>
        <w:t xml:space="preserve">, </w:t>
      </w:r>
      <w:r>
        <w:rPr>
          <w:i/>
        </w:rPr>
        <w:t xml:space="preserve">Other</w:t>
      </w:r>
      <w:r>
        <w:t xml:space="preserve">) by heading rules, with an LLM classifier for unmatched headings. This recovers the base paper's multi-field structure where reports have no fixed fields. Accuracy is validated on a 100-section sample.</w:t>
      </w:r>
    </w:p>
    <w:p>
      <w:pPr>
        <w:pStyle w:val="ListParagraph"/>
        <w:numPr>
          <w:ilvl w:val="0"/>
          <w:numId w:val="6"/>
        </w:numPr>
      </w:pPr>
      <w:r>
        <w:t xml:space="preserve">OCR quality is measured, not assumed. Character error rate is estimated on about 20 hand-transcribed sampled pages, and pages over threshold are re-OCR'd or flagged.</w:t>
      </w:r>
    </w:p>
    <w:p>
      <w:pPr>
        <w:pStyle w:val="Heading3"/>
      </w:pPr>
      <w:r>
        <w:t xml:space="preserve">M3. Causal schema and taxonomy — [Adapted]</w:t>
      </w:r>
    </w:p>
    <w:p>
      <w:pPr/>
      <w:r>
        <w:t xml:space="preserve">Nodes: </w:t>
      </w:r>
      <w:r>
        <w:rPr>
          <w:rStyle w:val="CodeChar"/>
        </w:rPr>
        <w:t xml:space="preserve">Mission</w:t>
      </w:r>
      <w:r>
        <w:t xml:space="preserve">, </w:t>
      </w:r>
      <w:r>
        <w:rPr>
          <w:rStyle w:val="CodeChar"/>
        </w:rPr>
        <w:t xml:space="preserve">Event</w:t>
      </w:r>
      <w:r>
        <w:t xml:space="preserve"> (the failure), </w:t>
      </w:r>
      <w:r>
        <w:rPr>
          <w:rStyle w:val="CodeChar"/>
        </w:rPr>
        <w:t xml:space="preserve">Subsystem</w:t>
      </w:r>
      <w:r>
        <w:t xml:space="preserve"> and </w:t>
      </w:r>
      <w:r>
        <w:rPr>
          <w:rStyle w:val="CodeChar"/>
        </w:rPr>
        <w:t xml:space="preserve">Phase</w:t>
      </w:r>
      <w:r>
        <w:t xml:space="preserve"> (controlled vocabularies), </w:t>
      </w:r>
      <w:r>
        <w:rPr>
          <w:rStyle w:val="CodeChar"/>
        </w:rPr>
        <w:t xml:space="preserve">CausalFactor</w:t>
      </w:r>
      <w:r>
        <w:t xml:space="preserve"> (typed by a two-level taxonomy), </w:t>
      </w:r>
      <w:r>
        <w:rPr>
          <w:rStyle w:val="CodeChar"/>
        </w:rPr>
        <w:t xml:space="preserve">Recommendation</w:t>
      </w:r>
      <w:r>
        <w:t xml:space="preserve">, </w:t>
      </w:r>
      <w:r>
        <w:rPr>
          <w:rStyle w:val="CodeChar"/>
        </w:rPr>
        <w:t xml:space="preserve">Passage</w:t>
      </w:r>
      <w:r>
        <w:t xml:space="preserve">. Edges: </w:t>
      </w:r>
      <w:r>
        <w:rPr>
          <w:rStyle w:val="CodeChar"/>
        </w:rPr>
        <w:t xml:space="preserve">(CausalFactor)-[CONTRIBUTED_TO {role}]-&gt;(Event)</w:t>
      </w:r>
      <w:r>
        <w:t xml:space="preserve">, where role is root, contributing or proximate, </w:t>
      </w:r>
      <w:r>
        <w:rPr>
          <w:i/>
        </w:rPr>
        <w:t xml:space="preserve">as stated by the board</w:t>
      </w:r>
      <w:r>
        <w:t xml:space="preserve">; </w:t>
      </w:r>
      <w:r>
        <w:rPr>
          <w:rStyle w:val="CodeChar"/>
        </w:rPr>
        <w:t xml:space="preserve">(Recommendation)-[ADDRESSES]-&gt;(CausalFactor)</w:t>
      </w:r>
      <w:r>
        <w:t xml:space="preserve">; </w:t>
      </w:r>
      <w:r>
        <w:rPr>
          <w:rStyle w:val="CodeChar"/>
        </w:rPr>
        <w:t xml:space="preserve">(edge)-[EVIDENCED_BY]-&gt;(Passage)</w:t>
      </w:r>
      <w:r>
        <w:t xml:space="preserve">.</w:t>
      </w:r>
    </w:p>
    <w:p>
      <w:pPr/>
      <w:r>
        <w:t xml:space="preserve">The taxonomy has L1 classes such as technical design, hardware/material, software, environment, operations/human, organisational/process, verification and validation, and interface/communication. Below them sit about 20–30 L2 factors. It is adapted from established safety taxonomies (HFACS [27] for human and organisational tiers; Leveson's STAMP control-flaw view [28]) and subsystem categories used in failure studies [24]. It is </w:t>
      </w:r>
      <w:r>
        <w:rPr>
          <w:b/>
        </w:rPr>
        <w:t xml:space="preserve">frozen before test labels are seen</w:t>
      </w:r>
      <w:r>
        <w:t xml:space="preserve">, and the final version needs supervisor sign-off.</w:t>
      </w:r>
    </w:p>
    <w:p>
      <w:pPr>
        <w:pStyle w:val="Heading3"/>
      </w:pPr>
      <w:r>
        <w:t xml:space="preserve">M4. Evidence-anchored extraction — [Proposed]</w:t>
      </w:r>
    </w:p>
    <w:p>
      <w:pPr>
        <w:pStyle w:val="ListParagraph"/>
        <w:numPr>
          <w:ilvl w:val="0"/>
          <w:numId w:val="7"/>
        </w:numPr>
      </w:pPr>
      <w:r>
        <w:t xml:space="preserve">An open 7–8B LLM extracts JSON records from each </w:t>
      </w:r>
      <w:r>
        <w:rPr>
          <w:i/>
        </w:rPr>
        <w:t xml:space="preserve">Analysis/Causes</w:t>
      </w:r>
      <w:r>
        <w:t xml:space="preserve"> section, with JSON-schema-constrained decoding at temperature 0. Each record holds factor text, L2 label, role, subsystem, phase, and a </w:t>
      </w:r>
      <w:r>
        <w:rPr>
          <w:b/>
        </w:rPr>
        <w:t xml:space="preserve">verbatim supporting quote</w:t>
      </w:r>
      <w:r>
        <w:t xml:space="preserve">.</w:t>
      </w:r>
    </w:p>
    <w:p>
      <w:pPr>
        <w:pStyle w:val="ListParagraph"/>
        <w:numPr>
          <w:ilvl w:val="0"/>
          <w:numId w:val="7"/>
        </w:numPr>
      </w:pPr>
      <w:r>
        <w:rPr>
          <w:b/>
        </w:rPr>
        <w:t xml:space="preserve">Span check (deterministic).</w:t>
      </w:r>
      <w:r>
        <w:t xml:space="preserve"> The quote must match the source passage at normalised similarity ≥ 0.9. The page and offsets are attached, and records with no match are rejected.</w:t>
      </w:r>
    </w:p>
    <w:p>
      <w:pPr>
        <w:pStyle w:val="ListParagraph"/>
        <w:numPr>
          <w:ilvl w:val="0"/>
          <w:numId w:val="7"/>
        </w:numPr>
      </w:pPr>
      <w:r>
        <w:rPr>
          <w:b/>
        </w:rPr>
        <w:t xml:space="preserve">Entailment check.</w:t>
      </w:r>
      <w:r>
        <w:t xml:space="preserve"> An NLI cross-encoder must judge that the quote entails a templated statement of the record (e.g. "X contributed to the loss of M"). The threshold is tuned on dev data only.</w:t>
      </w:r>
    </w:p>
    <w:p>
      <w:pPr>
        <w:pStyle w:val="ListParagraph"/>
        <w:numPr>
          <w:ilvl w:val="0"/>
          <w:numId w:val="7"/>
        </w:numPr>
      </w:pPr>
      <w:r>
        <w:rPr>
          <w:b/>
        </w:rPr>
        <w:t xml:space="preserve">Canonicalisation.</w:t>
      </w:r>
      <w:r>
        <w:t xml:space="preserve"> Factors are mapped to L2 by embedding nearest-neighbour plus LLM tie-break, and subsystems are linked to the controlled list. Nodes are merged by canonical ID, never by raw string. This removes the template-name collisions found in the audit.</w:t>
      </w:r>
    </w:p>
    <w:p>
      <w:pPr/>
      <w:r>
        <w:t xml:space="preserve">The current gazetteer NER, fixed to be case-insensitive, is kept as a rules baseline. Unverified LLM extraction is kept as an ablation.</w:t>
      </w:r>
    </w:p>
    <w:p>
      <w:pPr>
        <w:pStyle w:val="Heading3"/>
      </w:pPr>
      <w:r>
        <w:t xml:space="preserve">M5. Graph-augmented hybrid retrieval — [Adapted from [1] + Proposed graph channel]</w:t>
      </w:r>
    </w:p>
    <w:p>
      <w:pPr/>
      <w:r>
        <w:t xml:space="preserve">Five rankings are fused by RRF [13] with k = 60, tuned on dev: BM25 and dense (bge-m3 [15]) over </w:t>
      </w:r>
      <w:r>
        <w:rPr>
          <w:i/>
        </w:rPr>
        <w:t xml:space="preserve">Causes</w:t>
      </w:r>
      <w:r>
        <w:t xml:space="preserve"> fields, the same two over all fields, and one graph ranking. The graph channel links query mentions to missions, factors and subsystems. It then expands to passages that evidence factors shared with the linked missions, weighting each factor by its rarity across missions:</w:t>
      </w:r>
    </w:p>
    <w:p>
      <w:pPr>
        <w:pStyle w:val="Code"/>
      </w:pPr>
      <w:bookmarkStart w:id="1" w:name="bongo_lang_latex_1"/>
      <w:bookmarkEnd w:id="1"/>
      <w:r>
        <w:t xml:space="preserve">\mathrm{RRF}(p)=\sum_{r\in R}\frac{1}{k+\mathrm{rank}_r(p)},\qquad</w:t>
        <w:br/>
        <w:t xml:space="preserve">\mathrm{analogy}(m_i,m_j)=\frac{\sum_{f\in F_i\cap F_j}\mathrm{idf}(f)}{\sum_{f\in F_i\cup F_j}\mathrm{idf}(f)}</w:t>
      </w:r>
    </w:p>
    <w:p>
      <w:pPr/>
      <w:r>
        <w:t xml:space="preserve">Here F_i is the set of verified L2 factors of mission m_i, and idf(f) = log(N / n_f) over N missions. Analogy queries rank missions by a combination of this weighted Jaccard score and the best passage-level dense similarity. The weight is tuned on dev missions only.</w:t>
      </w:r>
    </w:p>
    <w:p>
      <w:pPr>
        <w:pStyle w:val="Heading3"/>
      </w:pPr>
      <w:r>
        <w:t xml:space="preserve">M6. Citation-constrained generation with abstention — [Adapted]</w:t>
      </w:r>
    </w:p>
    <w:p>
      <w:pPr/>
      <w:r>
        <w:t xml:space="preserve">The same generator, prompt template and context budget (e.g. 8 passages) are used for every system. The prompt requires a </w:t>
      </w:r>
      <w:r>
        <w:rPr>
          <w:rStyle w:val="CodeChar"/>
        </w:rPr>
        <w:t xml:space="preserve">[doc:page]</w:t>
      </w:r>
      <w:r>
        <w:t xml:space="preserve"> citation on every claim and an explicit "not supported by the corpus" answer when the evidence is insufficient. Citations are checked after generation: does the cited passage exist, and does it entail the claim?</w:t>
      </w:r>
    </w:p>
    <w:p>
      <w:pPr>
        <w:pStyle w:val="Heading2"/>
      </w:pPr>
      <w:r>
        <w:t xml:space="preserve">10. Improved model architecture and framework</w:t>
      </w:r>
    </w:p>
    <w:p>
      <w:pPr/>
      <w:r>
        <w:drawing>
          <wp:inline distT="0" distB="0" distL="0" distR="0">
            <wp:extent cx="5486400" cy="4237264"/>
            <wp:docPr id="1" name="image1" descr="MissionMind proposed architecture · offline indexing, online query, evaluation"/>
            <a:graphic xmlns:a="http://schemas.openxmlformats.org/drawingml/2006/main">
              <a:graphicData uri="http://schemas.openxmlformats.org/drawingml/2006/picture">
                <pic:pic xmlns:pic="http://schemas.openxmlformats.org/drawingml/2006/picture">
                  <pic:nvPicPr>
                    <pic:cNvPr id="1" name="image1" descr="MissionMind proposed architecture · offline indexing, online query, evaluation"/>
                    <pic:cNvPicPr/>
                  </pic:nvPicPr>
                  <pic:blipFill>
                    <a:blip r:embed="rId3"/>
                    <a:stretch>
                      <a:fillRect/>
                    </a:stretch>
                  </pic:blipFill>
                  <pic:spPr>
                    <a:xfrm>
                      <a:off x="0" y="0"/>
                      <a:ext cx="5486400" cy="4237264"/>
                    </a:xfrm>
                    <a:prstGeom prst="rect">
                      <a:avLst/>
                    </a:prstGeom>
                  </pic:spPr>
                </pic:pic>
              </a:graphicData>
            </a:graphic>
          </wp:inline>
        </w:drawing>
      </w:r>
    </w:p>
    <w:p>
      <w:pPr/>
      <w:r>
        <w:t xml:space="preserve">MissionMind proposed architecture · offline indexing, online query, evaluation</w:t>
      </w:r>
    </w:p>
    <w:p>
      <w:pPr/>
      <w:r>
        <w:t xml:space="preserve">The graph enters the answer only through the fusion step and only as cited passages, so a graph error can lower rank quality but cannot inject an uncited claim. Blue components are the ones whose value the experiments must prove (RQ1–RQ3); removing each one is an ablation in Section 13.</w:t>
      </w:r>
    </w:p>
    <w:p>
      <w:pPr>
        <w:pStyle w:val="Heading2"/>
      </w:pPr>
      <w:r>
        <w:t xml:space="preserve">11. Detailed workflow and component interactions</w:t>
      </w:r>
    </w:p>
    <w:p>
      <w:pPr/>
      <w:r>
        <w:t xml:space="preserve">The system runs in two phases. An offline indexing phase writes every artefact to versioned files and Neo4j. An online query phase only reads them, so experiments are repeatable from a frozen index.</w:t>
      </w:r>
    </w:p>
    <w:p>
      <w:pPr/>
      <w:r>
        <w:rPr>
          <w:b/>
        </w:rPr>
        <w:t xml:space="preserve">Offline indexing (run once per corpus version)</w:t>
      </w:r>
    </w:p>
    <w:p>
      <w:pPr>
        <w:pStyle w:val="ListParagraph"/>
        <w:numPr>
          <w:ilvl w:val="0"/>
          <w:numId w:val="8"/>
        </w:numPr>
      </w:pPr>
      <w:r>
        <w:rPr>
          <w:rStyle w:val="CodeChar"/>
        </w:rPr>
        <w:t xml:space="preserve">manifest.yaml</w:t>
      </w:r>
      <w:r>
        <w:t xml:space="preserve"> → fetch and checksum PDFs. A run stops if any checksum differs from the manifest.</w:t>
      </w:r>
    </w:p>
    <w:p>
      <w:pPr>
        <w:pStyle w:val="ListParagraph"/>
        <w:numPr>
          <w:ilvl w:val="0"/>
          <w:numId w:val="8"/>
        </w:numPr>
      </w:pPr>
      <w:r>
        <w:t xml:space="preserve">Parser → </w:t>
      </w:r>
      <w:r>
        <w:rPr>
          <w:rStyle w:val="CodeChar"/>
        </w:rPr>
        <w:t xml:space="preserve">passages.jsonl</w:t>
      </w:r>
      <w:r>
        <w:t xml:space="preserve"> (passage id, doc, page, offsets, section path, pseudo-field, text). An OCR quality report is written alongside.</w:t>
      </w:r>
    </w:p>
    <w:p>
      <w:pPr>
        <w:pStyle w:val="ListParagraph"/>
        <w:numPr>
          <w:ilvl w:val="0"/>
          <w:numId w:val="8"/>
        </w:numPr>
      </w:pPr>
      <w:r>
        <w:t xml:space="preserve">Indexers → BM25 index and bge-m3 vectors per field (Neo4j vector index or FAISS; both read the same </w:t>
      </w:r>
      <w:r>
        <w:rPr>
          <w:rStyle w:val="CodeChar"/>
        </w:rPr>
        <w:t xml:space="preserve">passages.jsonl</w:t>
      </w:r>
      <w:r>
        <w:t xml:space="preserve">).</w:t>
      </w:r>
    </w:p>
    <w:p>
      <w:pPr>
        <w:pStyle w:val="ListParagraph"/>
        <w:numPr>
          <w:ilvl w:val="0"/>
          <w:numId w:val="8"/>
        </w:numPr>
      </w:pPr>
      <w:r>
        <w:t xml:space="preserve">Extractor → </w:t>
      </w:r>
      <w:r>
        <w:rPr>
          <w:rStyle w:val="CodeChar"/>
        </w:rPr>
        <w:t xml:space="preserve">candidates.jsonl</w:t>
      </w:r>
      <w:r>
        <w:t xml:space="preserve"> (raw LLM records, prompt hash, model tag) → verifier → </w:t>
      </w:r>
      <w:r>
        <w:rPr>
          <w:rStyle w:val="CodeChar"/>
        </w:rPr>
        <w:t xml:space="preserve">verified.jsonl</w:t>
      </w:r>
      <w:r>
        <w:t xml:space="preserve"> plus </w:t>
      </w:r>
      <w:r>
        <w:rPr>
          <w:rStyle w:val="CodeChar"/>
        </w:rPr>
        <w:t xml:space="preserve">rejected.jsonl</w:t>
      </w:r>
      <w:r>
        <w:t xml:space="preserve"> with the rejection reason.</w:t>
      </w:r>
    </w:p>
    <w:p>
      <w:pPr>
        <w:pStyle w:val="ListParagraph"/>
        <w:numPr>
          <w:ilvl w:val="0"/>
          <w:numId w:val="8"/>
        </w:numPr>
      </w:pPr>
      <w:r>
        <w:t xml:space="preserve">Canonicaliser → graph load: </w:t>
      </w:r>
      <w:r>
        <w:rPr>
          <w:rStyle w:val="CodeChar"/>
        </w:rPr>
        <w:t xml:space="preserve">UNWIND</w:t>
      </w:r>
      <w:r>
        <w:t xml:space="preserve"> batch writes of Mission, Event, CausalFactor, Subsystem, Phase, Recommendation and Passage nodes. Every edge carries its evidence passage id.</w:t>
      </w:r>
    </w:p>
    <w:p>
      <w:pPr>
        <w:pStyle w:val="ListParagraph"/>
        <w:numPr>
          <w:ilvl w:val="0"/>
          <w:numId w:val="8"/>
        </w:numPr>
      </w:pPr>
      <w:r>
        <w:t xml:space="preserve">Analogy pre-computation → mission × mission factor-overlap matrix.</w:t>
      </w:r>
    </w:p>
    <w:p>
      <w:pPr/>
      <w:r>
        <w:rPr>
          <w:b/>
        </w:rPr>
        <w:t xml:space="preserve">Online query</w:t>
      </w:r>
    </w:p>
    <w:p>
      <w:pPr>
        <w:pStyle w:val="ListParagraph"/>
        <w:numPr>
          <w:ilvl w:val="0"/>
          <w:numId w:val="9"/>
        </w:numPr>
      </w:pPr>
      <w:r>
        <w:t xml:space="preserve">Query router (rules + LLM): assigns a type — single-mission factual or causal, cross-mission comparison, analogy/aggregation, or out-of-scope.</w:t>
      </w:r>
    </w:p>
    <w:p>
      <w:pPr>
        <w:pStyle w:val="ListParagraph"/>
        <w:numPr>
          <w:ilvl w:val="0"/>
          <w:numId w:val="9"/>
        </w:numPr>
      </w:pPr>
      <w:r>
        <w:t xml:space="preserve">Entity linker: maps mentions to missions, factors and subsystems in the graph.</w:t>
      </w:r>
    </w:p>
    <w:p>
      <w:pPr>
        <w:pStyle w:val="ListParagraph"/>
        <w:numPr>
          <w:ilvl w:val="0"/>
          <w:numId w:val="9"/>
        </w:numPr>
      </w:pPr>
      <w:r>
        <w:t xml:space="preserve">Retrieval: five rankings computed in parallel → RRF fusion → top-k passages. For analogy queries, a ranked mission list is also returned.</w:t>
      </w:r>
    </w:p>
    <w:p>
      <w:pPr>
        <w:pStyle w:val="ListParagraph"/>
        <w:numPr>
          <w:ilvl w:val="0"/>
          <w:numId w:val="9"/>
        </w:numPr>
      </w:pPr>
      <w:r>
        <w:t xml:space="preserve">Context builder: passages are ordered by fused score and labelled </w:t>
      </w:r>
      <w:r>
        <w:rPr>
          <w:rStyle w:val="CodeChar"/>
        </w:rPr>
        <w:t xml:space="preserve">[doc:page | field]</w:t>
      </w:r>
      <w:r>
        <w:t xml:space="preserve">. For graph hits, a one-line fact ("factor F shared by M1, M2; evidence p. x, y") is added, always paired with its passage.</w:t>
      </w:r>
    </w:p>
    <w:p>
      <w:pPr>
        <w:pStyle w:val="ListParagraph"/>
        <w:numPr>
          <w:ilvl w:val="0"/>
          <w:numId w:val="9"/>
        </w:numPr>
      </w:pPr>
      <w:r>
        <w:t xml:space="preserve">Generator → answer with citations, or an abstention.</w:t>
      </w:r>
    </w:p>
    <w:p>
      <w:pPr>
        <w:pStyle w:val="ListParagraph"/>
        <w:numPr>
          <w:ilvl w:val="0"/>
          <w:numId w:val="9"/>
        </w:numPr>
      </w:pPr>
      <w:r>
        <w:t xml:space="preserve">Citation verifier: each claim's citation is checked by NLI. Unsupported claims are flagged in the API response.</w:t>
      </w:r>
    </w:p>
    <w:p>
      <w:pPr>
        <w:pStyle w:val="ListParagraph"/>
        <w:numPr>
          <w:ilvl w:val="0"/>
          <w:numId w:val="9"/>
        </w:numPr>
      </w:pPr>
      <w:r>
        <w:t xml:space="preserve">Logger: query, router type, retrieved ids, prompt hash, model tag, answer and verification flags go to </w:t>
      </w:r>
      <w:r>
        <w:rPr>
          <w:rStyle w:val="CodeChar"/>
        </w:rPr>
        <w:t xml:space="preserve">runs/&lt;run_id&gt;/</w:t>
      </w:r>
      <w:r>
        <w:t xml:space="preserve">, which the evaluation reads directly.</w:t>
      </w:r>
    </w:p>
    <w:p>
      <w:pPr/>
      <w:r>
        <w:t xml:space="preserve">Where the current code is reused: PyMuPDF and OCR fallback (step 2), the Neo4j connector (step 5), the FastAPI shell (online steps), and the metric functions once re-tested.</w:t>
      </w:r>
    </w:p>
    <w:p>
      <w:pPr>
        <w:pStyle w:val="Heading2"/>
      </w:pPr>
      <w:r>
        <w:t xml:space="preserve">12. Dataset, tools, technologies and experimental requirements</w:t>
      </w:r>
    </w:p>
    <w:p>
      <w:pPr>
        <w:pStyle w:val="Heading3"/>
      </w:pPr>
      <w:r>
        <w:t xml:space="preserve">12.1 Corpus</w:t>
      </w:r>
    </w:p>
    <w:p>
      <w:pPr/>
      <w:r>
        <w:rPr>
          <w:b/>
        </w:rPr>
        <w:t xml:space="preserve">Inclusion rules.</w:t>
      </w:r>
      <w:r>
        <w:t xml:space="preserve"> An official investigation, inquiry-board or failure-analysis document (full report or official public summary) for a spaceflight loss or major anomaly; publicly accessible; English or official English translation; causal findings stated. Journal articles about a mission are excluded as primary sources.</w:t>
      </w:r>
    </w:p>
    <w:p>
      <w:pPr/>
      <w:r>
        <w:rPr>
          <w:b/>
        </w:rPr>
        <w:t xml:space="preserve">Already on disk and valid (4):</w:t>
      </w:r>
      <w:r>
        <w:t xml:space="preserve"> Challenger (Rogers Commission Vol. 1, 1986), Columbia (CAIB Vol. I, 2003), Mars Climate Orbiter (MIB Phase I, 1999), Ariane 5 Flight 501 (Inquiry Board, 1996).</w:t>
      </w:r>
    </w:p>
    <w:p>
      <w:pPr/>
      <w:r>
        <w:rPr>
          <w:b/>
        </w:rPr>
        <w:t xml:space="preserve">To replace (1):</w:t>
      </w:r>
      <w:r>
        <w:t xml:space="preserve"> ExoMars Schiaparelli → ESA </w:t>
      </w:r>
      <w:r>
        <w:rPr>
          <w:i/>
        </w:rPr>
        <w:t xml:space="preserve">Schiaparelli Anomaly Inquiry</w:t>
      </w:r>
      <w:r>
        <w:t xml:space="preserve"> (DG-I/2017/546/TTN, 2017).</w:t>
      </w:r>
    </w:p>
    <w:p>
      <w:pPr/>
      <w:r>
        <w:rPr>
          <w:b/>
        </w:rPr>
        <w:t xml:space="preserve">Candidates to verify in Stage 2.</w:t>
      </w:r>
      <w:r>
        <w:t xml:space="preserve"> Availability and licence are </w:t>
      </w:r>
      <w:r>
        <w:rPr>
          <w:i/>
        </w:rPr>
        <w:t xml:space="preserve">not yet checked</w:t>
      </w:r>
      <w:r>
        <w:t xml:space="preserve"> for any of these. The list is a search plan, not a claim:</w:t>
      </w:r>
    </w:p>
    <w:p>
      <w:pPr>
        <w:pStyle w:val="ListParagraph"/>
        <w:numPr>
          <w:ilvl w:val="0"/>
          <w:numId w:val="10"/>
        </w:numPr>
      </w:pPr>
      <w:r>
        <w:t xml:space="preserve">NASA: Mars Polar Lander (JPL Special Review Board, 2000), Genesis MIB, CONTOUR MIB, DART MIB, WIRE, NOAA-N Prime, Orbiting Carbon Observatory, Glory, Mars Observer, Lewis, Apollo 13 Review Board, Apollo 204 Review Board</w:t>
      </w:r>
    </w:p>
    <w:p>
      <w:pPr>
        <w:pStyle w:val="ListParagraph"/>
        <w:numPr>
          <w:ilvl w:val="0"/>
          <w:numId w:val="10"/>
        </w:numPr>
      </w:pPr>
      <w:r>
        <w:t xml:space="preserve">ESA and partners: SOHO mission interruption (ESA/NASA, 1998), Beagle 2 Commission of Inquiry, Vega VV15 and VV17 independent inquiry summaries</w:t>
      </w:r>
    </w:p>
    <w:p>
      <w:pPr>
        <w:pStyle w:val="ListParagraph"/>
        <w:numPr>
          <w:ilvl w:val="0"/>
          <w:numId w:val="10"/>
        </w:numPr>
      </w:pPr>
      <w:r>
        <w:t xml:space="preserve">JAXA: Hitomi (ASTRO-H) anomaly investigation report</w:t>
      </w:r>
    </w:p>
    <w:p>
      <w:pPr>
        <w:pStyle w:val="ListParagraph"/>
        <w:numPr>
          <w:ilvl w:val="0"/>
          <w:numId w:val="10"/>
        </w:numPr>
      </w:pPr>
      <w:r>
        <w:t xml:space="preserve">ISRO: GSLV-F10 Failure Analysis Committee public statement; other official public statements where available</w:t>
      </w:r>
    </w:p>
    <w:p>
      <w:pPr>
        <w:pStyle w:val="ListParagraph"/>
        <w:numPr>
          <w:ilvl w:val="0"/>
          <w:numId w:val="10"/>
        </w:numPr>
      </w:pPr>
      <w:r>
        <w:t xml:space="preserve">Distractors: the two ISRO annual reports already on disk</w:t>
      </w:r>
    </w:p>
    <w:p>
      <w:pPr/>
      <w:r>
        <w:t xml:space="preserve">Target: 25–35 missions, at least 3 agencies. Expected reality: NASA-heavy. The agency distribution will be reported, and no cross-agency claim will exceed it.</w:t>
      </w:r>
    </w:p>
    <w:p>
      <w:pPr>
        <w:pStyle w:val="Heading3"/>
      </w:pPr>
      <w:r>
        <w:t xml:space="preserve">12.2 Human-annotated benchmark (planned; none exists yet)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Set</w:t>
            </w:r>
          </w:p>
        </w:tc>
        <w:tc>
          <w:tcPr>
            <w:tcW w:w="2340" w:type="dxa"/>
            <w:shd w:val="clear" w:color="auto" w:fill="F2F2F2"/>
          </w:tcPr>
          <w:p>
            <w:pPr/>
            <w:r>
              <w:t xml:space="preserve">Content</w:t>
            </w:r>
          </w:p>
        </w:tc>
        <w:tc>
          <w:tcPr>
            <w:tcW w:w="2340" w:type="dxa"/>
            <w:shd w:val="clear" w:color="auto" w:fill="F2F2F2"/>
          </w:tcPr>
          <w:p>
            <w:pPr/>
            <w:r>
              <w:t xml:space="preserve">Size (target)</w:t>
            </w:r>
          </w:p>
        </w:tc>
        <w:tc>
          <w:tcPr>
            <w:tcW w:w="2340" w:type="dxa"/>
            <w:shd w:val="clear" w:color="auto" w:fill="F2F2F2"/>
          </w:tcPr>
          <w:p>
            <w:pPr/>
            <w:r>
              <w:t xml:space="preserve">Second annotator</w:t>
            </w:r>
          </w:p>
        </w:tc>
      </w:tr>
      <w:tr>
        <w:tc>
          <w:tcPr>
            <w:tcW w:w="2340" w:type="dxa"/>
          </w:tcPr>
          <w:p>
            <w:pPr/>
            <w:r>
              <w:t xml:space="preserve">D1 Extraction gold</w:t>
            </w:r>
          </w:p>
        </w:tc>
        <w:tc>
          <w:tcPr>
            <w:tcW w:w="2340" w:type="dxa"/>
          </w:tcPr>
          <w:p>
            <w:pPr/>
            <w:r>
              <w:t xml:space="preserve">Passages stratified by pseudo-field and mission, labelled with L2 factors, role, subsystem, phase</w:t>
            </w:r>
          </w:p>
        </w:tc>
        <w:tc>
          <w:tcPr>
            <w:tcW w:w="2340" w:type="dxa"/>
          </w:tcPr>
          <w:p>
            <w:pPr/>
            <w:r>
              <w:t xml:space="preserve">~350 passages</w:t>
            </w:r>
          </w:p>
        </w:tc>
        <w:tc>
          <w:tcPr>
            <w:tcW w:w="2340" w:type="dxa"/>
          </w:tcPr>
          <w:p>
            <w:pPr/>
            <w:r>
              <w:t xml:space="preserve">≥ 25%</w:t>
            </w:r>
          </w:p>
        </w:tc>
      </w:tr>
      <w:tr>
        <w:tc>
          <w:tcPr>
            <w:tcW w:w="2340" w:type="dxa"/>
          </w:tcPr>
          <w:p>
            <w:pPr/>
            <w:r>
              <w:t xml:space="preserve">D2 Analogy relevance</w:t>
            </w:r>
          </w:p>
        </w:tc>
        <w:tc>
          <w:tcPr>
            <w:tcW w:w="2340" w:type="dxa"/>
          </w:tcPr>
          <w:p>
            <w:pPr/>
            <w:r>
              <w:t xml:space="preserve">Every mission pair graded 0/1/2 for shared causal mechanism, from 1-page mission cards</w:t>
            </w:r>
          </w:p>
        </w:tc>
        <w:tc>
          <w:tcPr>
            <w:tcW w:w="2340" w:type="dxa"/>
          </w:tcPr>
          <w:p>
            <w:pPr/>
            <w:r>
              <w:t xml:space="preserve">300–600 pairs (25–35 missions)</w:t>
            </w:r>
          </w:p>
        </w:tc>
        <w:tc>
          <w:tcPr>
            <w:tcW w:w="2340" w:type="dxa"/>
          </w:tcPr>
          <w:p>
            <w:pPr/>
            <w:r>
              <w:t xml:space="preserve">≥ 25%</w:t>
            </w:r>
          </w:p>
        </w:tc>
      </w:tr>
      <w:tr>
        <w:tc>
          <w:tcPr>
            <w:tcW w:w="2340" w:type="dxa"/>
          </w:tcPr>
          <w:p>
            <w:pPr/>
            <w:r>
              <w:t xml:space="preserve">D3 QA set</w:t>
            </w:r>
          </w:p>
        </w:tc>
        <w:tc>
          <w:tcPr>
            <w:tcW w:w="2340" w:type="dxa"/>
          </w:tcPr>
          <w:p>
            <w:pPr/>
            <w:r>
              <w:t xml:space="preserve">~150 questions: single-mission factual (30), single-mission causal (30), cross-mission comparison (30), analogy/aggregation (40), unanswerable (20); each with key points and evidence pages</w:t>
            </w:r>
          </w:p>
        </w:tc>
        <w:tc>
          <w:tcPr>
            <w:tcW w:w="2340" w:type="dxa"/>
          </w:tcPr>
          <w:p>
            <w:pPr/>
            <w:r>
              <w:t xml:space="preserve">~150</w:t>
            </w:r>
          </w:p>
        </w:tc>
        <w:tc>
          <w:tcPr>
            <w:tcW w:w="2340" w:type="dxa"/>
          </w:tcPr>
          <w:p>
            <w:pPr/>
            <w:r>
              <w:t xml:space="preserve">Review of all; ≥ 25% re-answered</w:t>
            </w:r>
          </w:p>
        </w:tc>
      </w:tr>
    </w:tbl>
    <w:p>
      <w:pPr/>
      <w:r>
        <w:t xml:space="preserve">Dev/test split: about 30% dev (tuning, threshold selection) and 70% test (touched once). Analogy tuning uses dev missions only. Annotation guidelines are written before labelling and revised at most once after the pilot round.</w:t>
      </w:r>
    </w:p>
    <w:p>
      <w:pPr>
        <w:pStyle w:val="Heading3"/>
      </w:pPr>
      <w:r>
        <w:t xml:space="preserve">12.3 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Tool (open, local)</w:t>
            </w:r>
          </w:p>
        </w:tc>
        <w:tc>
          <w:tcPr>
            <w:tcW w:w="3120" w:type="dxa"/>
            <w:shd w:val="clear" w:color="auto" w:fill="F2F2F2"/>
          </w:tcPr>
          <w:p>
            <w:pPr/>
            <w:r>
              <w:t xml:space="preserve">Status</w:t>
            </w:r>
          </w:p>
        </w:tc>
      </w:tr>
      <w:tr>
        <w:tc>
          <w:tcPr>
            <w:tcW w:w="3120" w:type="dxa"/>
          </w:tcPr>
          <w:p>
            <w:pPr/>
            <w:r>
              <w:t xml:space="preserve">PDF / OCR</w:t>
            </w:r>
          </w:p>
        </w:tc>
        <w:tc>
          <w:tcPr>
            <w:tcW w:w="3120" w:type="dxa"/>
          </w:tcPr>
          <w:p>
            <w:pPr/>
            <w:r>
              <w:t xml:space="preserve">PyMuPDF, Tesseract via pytesseract</w:t>
            </w:r>
          </w:p>
        </w:tc>
        <w:tc>
          <w:tcPr>
            <w:tcW w:w="3120" w:type="dxa"/>
          </w:tcPr>
          <w:p>
            <w:pPr/>
            <w:r>
              <w:t xml:space="preserve">Reused</w:t>
            </w:r>
          </w:p>
        </w:tc>
      </w:tr>
      <w:tr>
        <w:tc>
          <w:tcPr>
            <w:tcW w:w="3120" w:type="dxa"/>
          </w:tcPr>
          <w:p>
            <w:pPr/>
            <w:r>
              <w:t xml:space="preserve">Lexical retrieval</w:t>
            </w:r>
          </w:p>
        </w:tc>
        <w:tc>
          <w:tcPr>
            <w:tcW w:w="3120" w:type="dxa"/>
          </w:tcPr>
          <w:p>
            <w:pPr/>
            <w:r>
              <w:t xml:space="preserve">BM25 (</w:t>
            </w:r>
            <w:r>
              <w:rPr>
                <w:rStyle w:val="CodeChar"/>
              </w:rPr>
              <w:t xml:space="preserve">rank_bm25</w:t>
            </w:r>
            <w:r>
              <w:t xml:space="preserve"> or Pyserini)</w:t>
            </w:r>
          </w:p>
        </w:tc>
        <w:tc>
          <w:tcPr>
            <w:tcW w:w="3120" w:type="dxa"/>
          </w:tcPr>
          <w:p>
            <w:pPr/>
            <w:r>
              <w:t xml:space="preserve">New</w:t>
            </w:r>
          </w:p>
        </w:tc>
      </w:tr>
      <w:tr>
        <w:tc>
          <w:tcPr>
            <w:tcW w:w="3120" w:type="dxa"/>
          </w:tcPr>
          <w:p>
            <w:pPr/>
            <w:r>
              <w:t xml:space="preserve">Dense retrieval</w:t>
            </w:r>
          </w:p>
        </w:tc>
        <w:tc>
          <w:tcPr>
            <w:tcW w:w="3120" w:type="dxa"/>
          </w:tcPr>
          <w:p>
            <w:pPr/>
            <w:r>
              <w:t xml:space="preserve">bge-m3 [15]; MiniLM [16] and E5 [31] as ablations</w:t>
            </w:r>
          </w:p>
        </w:tc>
        <w:tc>
          <w:tcPr>
            <w:tcW w:w="3120" w:type="dxa"/>
          </w:tcPr>
          <w:p>
            <w:pPr/>
            <w:r>
              <w:t xml:space="preserve">New</w:t>
            </w:r>
          </w:p>
        </w:tc>
      </w:tr>
      <w:tr>
        <w:tc>
          <w:tcPr>
            <w:tcW w:w="3120" w:type="dxa"/>
          </w:tcPr>
          <w:p>
            <w:pPr/>
            <w:r>
              <w:t xml:space="preserve">Graph store</w:t>
            </w:r>
          </w:p>
        </w:tc>
        <w:tc>
          <w:tcPr>
            <w:tcW w:w="3120" w:type="dxa"/>
          </w:tcPr>
          <w:p>
            <w:pPr/>
            <w:r>
              <w:t xml:space="preserve">Neo4j 5 Community (Docker)</w:t>
            </w:r>
          </w:p>
        </w:tc>
        <w:tc>
          <w:tcPr>
            <w:tcW w:w="3120" w:type="dxa"/>
          </w:tcPr>
          <w:p>
            <w:pPr/>
            <w:r>
              <w:t xml:space="preserve">Reused</w:t>
            </w:r>
          </w:p>
        </w:tc>
      </w:tr>
      <w:tr>
        <w:tc>
          <w:tcPr>
            <w:tcW w:w="3120" w:type="dxa"/>
          </w:tcPr>
          <w:p>
            <w:pPr/>
            <w:r>
              <w:t xml:space="preserve">LLMs</w:t>
            </w:r>
          </w:p>
        </w:tc>
        <w:tc>
          <w:tcPr>
            <w:tcW w:w="3120" w:type="dxa"/>
          </w:tcPr>
          <w:p>
            <w:pPr/>
            <w:r>
              <w:t xml:space="preserve">Llama-3.1-8B-Instruct and Qwen2.5-7B-Instruct, 4-bit, via Ollama, JSON-schema output</w:t>
            </w:r>
          </w:p>
        </w:tc>
        <w:tc>
          <w:tcPr>
            <w:tcW w:w="3120" w:type="dxa"/>
          </w:tcPr>
          <w:p>
            <w:pPr/>
            <w:r>
              <w:t xml:space="preserve">Partly reused</w:t>
            </w:r>
          </w:p>
        </w:tc>
      </w:tr>
      <w:tr>
        <w:tc>
          <w:tcPr>
            <w:tcW w:w="3120" w:type="dxa"/>
          </w:tcPr>
          <w:p>
            <w:pPr/>
            <w:r>
              <w:t xml:space="preserve">Verification</w:t>
            </w:r>
          </w:p>
        </w:tc>
        <w:tc>
          <w:tcPr>
            <w:tcW w:w="3120" w:type="dxa"/>
          </w:tcPr>
          <w:p>
            <w:pPr/>
            <w:r>
              <w:t xml:space="preserve">NLI cross-encoder (DeBERTa-v3 class; exact model chosen on dev)</w:t>
            </w:r>
          </w:p>
        </w:tc>
        <w:tc>
          <w:tcPr>
            <w:tcW w:w="3120" w:type="dxa"/>
          </w:tcPr>
          <w:p>
            <w:pPr/>
            <w:r>
              <w:t xml:space="preserve">New</w:t>
            </w:r>
          </w:p>
        </w:tc>
      </w:tr>
      <w:tr>
        <w:tc>
          <w:tcPr>
            <w:tcW w:w="3120" w:type="dxa"/>
          </w:tcPr>
          <w:p>
            <w:pPr/>
            <w:r>
              <w:t xml:space="preserve">GraphRAG baseline</w:t>
            </w:r>
          </w:p>
        </w:tc>
        <w:tc>
          <w:tcPr>
            <w:tcW w:w="3120" w:type="dxa"/>
          </w:tcPr>
          <w:p>
            <w:pPr/>
            <w:r>
              <w:t xml:space="preserve">LightRAG [8] (primary); Microsoft GraphRAG [7] on a subset if compute allows</w:t>
            </w:r>
          </w:p>
        </w:tc>
        <w:tc>
          <w:tcPr>
            <w:tcW w:w="3120" w:type="dxa"/>
          </w:tcPr>
          <w:p>
            <w:pPr/>
            <w:r>
              <w:t xml:space="preserve">New</w:t>
            </w:r>
          </w:p>
        </w:tc>
      </w:tr>
      <w:tr>
        <w:tc>
          <w:tcPr>
            <w:tcW w:w="3120" w:type="dxa"/>
          </w:tcPr>
          <w:p>
            <w:pPr/>
            <w:r>
              <w:t xml:space="preserve">Evaluation</w:t>
            </w:r>
          </w:p>
        </w:tc>
        <w:tc>
          <w:tcPr>
            <w:tcW w:w="3120" w:type="dxa"/>
          </w:tcPr>
          <w:p>
            <w:pPr/>
            <w:r>
              <w:t xml:space="preserve">Own metric code + RAGAS [17] for comparison; SciPy for statistics</w:t>
            </w:r>
          </w:p>
        </w:tc>
        <w:tc>
          <w:tcPr>
            <w:tcW w:w="3120" w:type="dxa"/>
          </w:tcPr>
          <w:p>
            <w:pPr/>
            <w:r>
              <w:t xml:space="preserve">Partly reused</w:t>
            </w:r>
          </w:p>
        </w:tc>
      </w:tr>
      <w:tr>
        <w:tc>
          <w:tcPr>
            <w:tcW w:w="3120" w:type="dxa"/>
          </w:tcPr>
          <w:p>
            <w:pPr/>
            <w:r>
              <w:t xml:space="preserve">Annotation</w:t>
            </w:r>
          </w:p>
        </w:tc>
        <w:tc>
          <w:tcPr>
            <w:tcW w:w="3120" w:type="dxa"/>
          </w:tcPr>
          <w:p>
            <w:pPr/>
            <w:r>
              <w:t xml:space="preserve">Label Studio or a spreadsheet with a frozen schema</w:t>
            </w:r>
          </w:p>
        </w:tc>
        <w:tc>
          <w:tcPr>
            <w:tcW w:w="3120" w:type="dxa"/>
          </w:tcPr>
          <w:p>
            <w:pPr/>
            <w:r>
              <w:t xml:space="preserve">New</w:t>
            </w:r>
          </w:p>
        </w:tc>
      </w:tr>
      <w:tr>
        <w:tc>
          <w:tcPr>
            <w:tcW w:w="3120" w:type="dxa"/>
          </w:tcPr>
          <w:p>
            <w:pPr/>
            <w:r>
              <w:t xml:space="preserve">Reproducibility</w:t>
            </w:r>
          </w:p>
        </w:tc>
        <w:tc>
          <w:tcPr>
            <w:tcW w:w="3120" w:type="dxa"/>
          </w:tcPr>
          <w:p>
            <w:pPr/>
            <w:r>
              <w:rPr>
                <w:rStyle w:val="CodeChar"/>
              </w:rPr>
              <w:t xml:space="preserve">pyproject.toml</w:t>
            </w:r>
            <w:r>
              <w:t xml:space="preserve"> + lock file, YAML configs, fixed seeds, run logs, pytest</w:t>
            </w:r>
          </w:p>
        </w:tc>
        <w:tc>
          <w:tcPr>
            <w:tcW w:w="3120" w:type="dxa"/>
          </w:tcPr>
          <w:p>
            <w:pPr/>
            <w:r>
              <w:t xml:space="preserve">New</w:t>
            </w:r>
          </w:p>
        </w:tc>
      </w:tr>
    </w:tbl>
    <w:p>
      <w:pPr>
        <w:pStyle w:val="Heading2"/>
      </w:pPr>
      <w:r>
        <w:t xml:space="preserve">13. Baselines and comparative evaluation strategy</w:t>
      </w:r>
    </w:p>
    <w:p>
      <w:pPr/>
      <w:r>
        <w:t xml:space="preserve">The key comparison is P against B3, the base paper's method reimplemented on our corpus. Every other baseline exists to locate where gains or losses come from.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System</w:t>
            </w:r>
          </w:p>
        </w:tc>
        <w:tc>
          <w:tcPr>
            <w:tcW w:w="3120" w:type="dxa"/>
            <w:shd w:val="clear" w:color="auto" w:fill="F2F2F2"/>
          </w:tcPr>
          <w:p>
            <w:pPr/>
            <w:r>
              <w:t xml:space="preserve">Purpose</w:t>
            </w:r>
          </w:p>
        </w:tc>
      </w:tr>
      <w:tr>
        <w:tc>
          <w:tcPr>
            <w:tcW w:w="3120" w:type="dxa"/>
          </w:tcPr>
          <w:p>
            <w:pPr/>
            <w:r>
              <w:t xml:space="preserve">B0</w:t>
            </w:r>
          </w:p>
        </w:tc>
        <w:tc>
          <w:tcPr>
            <w:tcW w:w="3120" w:type="dxa"/>
          </w:tcPr>
          <w:p>
            <w:pPr/>
            <w:r>
              <w:t xml:space="preserve">LLM only, no retrieval</w:t>
            </w:r>
          </w:p>
        </w:tc>
        <w:tc>
          <w:tcPr>
            <w:tcW w:w="3120" w:type="dxa"/>
          </w:tcPr>
          <w:p>
            <w:pPr/>
            <w:r>
              <w:t xml:space="preserve">Measures parametric knowledge; contamination check on famous accidents</w:t>
            </w:r>
          </w:p>
        </w:tc>
      </w:tr>
      <w:tr>
        <w:tc>
          <w:tcPr>
            <w:tcW w:w="3120" w:type="dxa"/>
          </w:tcPr>
          <w:p>
            <w:pPr/>
            <w:r>
              <w:t xml:space="preserve">B1</w:t>
            </w:r>
          </w:p>
        </w:tc>
        <w:tc>
          <w:tcPr>
            <w:tcW w:w="3120" w:type="dxa"/>
          </w:tcPr>
          <w:p>
            <w:pPr/>
            <w:r>
              <w:t xml:space="preserve">BM25 over passages</w:t>
            </w:r>
          </w:p>
        </w:tc>
        <w:tc>
          <w:tcPr>
            <w:tcW w:w="3120" w:type="dxa"/>
          </w:tcPr>
          <w:p>
            <w:pPr/>
            <w:r>
              <w:t xml:space="preserve">Lexical floor</w:t>
            </w:r>
          </w:p>
        </w:tc>
      </w:tr>
      <w:tr>
        <w:tc>
          <w:tcPr>
            <w:tcW w:w="3120" w:type="dxa"/>
          </w:tcPr>
          <w:p>
            <w:pPr/>
            <w:r>
              <w:t xml:space="preserve">B2</w:t>
            </w:r>
          </w:p>
        </w:tc>
        <w:tc>
          <w:tcPr>
            <w:tcW w:w="3120" w:type="dxa"/>
          </w:tcPr>
          <w:p>
            <w:pPr/>
            <w:r>
              <w:t xml:space="preserve">Dense (bge-m3) over passages</w:t>
            </w:r>
          </w:p>
        </w:tc>
        <w:tc>
          <w:tcPr>
            <w:tcW w:w="3120" w:type="dxa"/>
          </w:tcPr>
          <w:p>
            <w:pPr/>
            <w:r>
              <w:t xml:space="preserve">Standard vector RAG</w:t>
            </w:r>
          </w:p>
        </w:tc>
      </w:tr>
      <w:tr>
        <w:tc>
          <w:tcPr>
            <w:tcW w:w="3120" w:type="dxa"/>
          </w:tcPr>
          <w:p>
            <w:pPr/>
            <w:r>
              <w:t xml:space="preserve">B3</w:t>
            </w:r>
          </w:p>
        </w:tc>
        <w:tc>
          <w:tcPr>
            <w:tcW w:w="3120" w:type="dxa"/>
          </w:tcPr>
          <w:p>
            <w:pPr/>
            <w:r>
              <w:t xml:space="preserve">Multi-field BM25 + dense with RRF [1]</w:t>
            </w:r>
          </w:p>
        </w:tc>
        <w:tc>
          <w:tcPr>
            <w:tcW w:w="3120" w:type="dxa"/>
          </w:tcPr>
          <w:p>
            <w:pPr/>
            <w:r>
              <w:rPr>
                <w:b/>
              </w:rPr>
              <w:t xml:space="preserve">Base paper method</w:t>
            </w:r>
            <w:r>
              <w:t xml:space="preserve"> (strongest non-graph baseline)</w:t>
            </w:r>
          </w:p>
        </w:tc>
      </w:tr>
      <w:tr>
        <w:tc>
          <w:tcPr>
            <w:tcW w:w="3120" w:type="dxa"/>
          </w:tcPr>
          <w:p>
            <w:pPr/>
            <w:r>
              <w:t xml:space="preserve">B4</w:t>
            </w:r>
          </w:p>
        </w:tc>
        <w:tc>
          <w:tcPr>
            <w:tcW w:w="3120" w:type="dxa"/>
          </w:tcPr>
          <w:p>
            <w:pPr/>
            <w:r>
              <w:t xml:space="preserve">Current MissionMind (repaired: vector top-k + unverified graph facts)</w:t>
            </w:r>
          </w:p>
        </w:tc>
        <w:tc>
          <w:tcPr>
            <w:tcW w:w="3120" w:type="dxa"/>
          </w:tcPr>
          <w:p>
            <w:pPr/>
            <w:r>
              <w:t xml:space="preserve">Shows what the redesign changes</w:t>
            </w:r>
          </w:p>
        </w:tc>
      </w:tr>
      <w:tr>
        <w:tc>
          <w:tcPr>
            <w:tcW w:w="3120" w:type="dxa"/>
          </w:tcPr>
          <w:p>
            <w:pPr/>
            <w:r>
              <w:t xml:space="preserve">B5</w:t>
            </w:r>
          </w:p>
        </w:tc>
        <w:tc>
          <w:tcPr>
            <w:tcW w:w="3120" w:type="dxa"/>
          </w:tcPr>
          <w:p>
            <w:pPr/>
            <w:r>
              <w:t xml:space="preserve">LightRAG [8] (Microsoft GraphRAG [7] on a subset if feasible)</w:t>
            </w:r>
          </w:p>
        </w:tc>
        <w:tc>
          <w:tcPr>
            <w:tcW w:w="3120" w:type="dxa"/>
          </w:tcPr>
          <w:p>
            <w:pPr/>
            <w:r>
              <w:t xml:space="preserve">Published GraphRAG reference</w:t>
            </w:r>
          </w:p>
        </w:tc>
      </w:tr>
      <w:tr>
        <w:tc>
          <w:tcPr>
            <w:tcW w:w="3120" w:type="dxa"/>
          </w:tcPr>
          <w:p>
            <w:pPr/>
            <w:r>
              <w:rPr>
                <w:b/>
              </w:rPr>
              <w:t xml:space="preserve">P</w:t>
            </w:r>
          </w:p>
        </w:tc>
        <w:tc>
          <w:tcPr>
            <w:tcW w:w="3120" w:type="dxa"/>
          </w:tcPr>
          <w:p>
            <w:pPr/>
            <w:r>
              <w:t xml:space="preserve">B3 + verified causal-factor graph channel + citation-constrained generation</w:t>
            </w:r>
          </w:p>
        </w:tc>
        <w:tc>
          <w:tcPr>
            <w:tcW w:w="3120" w:type="dxa"/>
          </w:tcPr>
          <w:p>
            <w:pPr/>
            <w:r>
              <w:t xml:space="preserve">Proposed</w:t>
            </w:r>
          </w:p>
        </w:tc>
      </w:tr>
    </w:tbl>
    <w:p>
      <w:pPr/>
      <w:r>
        <w:rPr>
          <w:b/>
        </w:rPr>
        <w:t xml:space="preserve">Extraction comparisons (RQ1):</w:t>
      </w:r>
      <w:r>
        <w:t xml:space="preserve"> case-insensitive gazetteer NER · LLM unverified · LLM + span check · LLM + span + NLI (P).</w:t>
      </w:r>
    </w:p>
    <w:p>
      <w:pPr/>
      <w:r>
        <w:rPr>
          <w:b/>
        </w:rPr>
        <w:t xml:space="preserve">Ablations of P:</w:t>
      </w:r>
      <w:r>
        <w:t xml:space="preserve"> − graph channel (= B3 + M6) · − verification (unverified graph) · − canonicalisation (raw-string nodes) · − fields (all text as one field) · graph channel only · idf weighting off · embedder swap (MiniLM / E5 / bge-m3) · generator swap (Llama-3.1-8B / Qwen2.5-7B).</w:t>
      </w:r>
    </w:p>
    <w:p>
      <w:pPr/>
      <w:r>
        <w:rPr>
          <w:b/>
        </w:rPr>
        <w:t xml:space="preserve">Fairness controls:</w:t>
      </w:r>
    </w:p>
    <w:p>
      <w:pPr>
        <w:pStyle w:val="ListParagraph"/>
        <w:numPr>
          <w:ilvl w:val="0"/>
          <w:numId w:val="11"/>
        </w:numPr>
      </w:pPr>
      <w:r>
        <w:t xml:space="preserve">Identical corpus version, passages, generator, decoding settings, prompt template and context budget across systems. Only the retrieved content differs.</w:t>
      </w:r>
    </w:p>
    <w:p>
      <w:pPr>
        <w:pStyle w:val="ListParagraph"/>
        <w:numPr>
          <w:ilvl w:val="0"/>
          <w:numId w:val="11"/>
        </w:numPr>
      </w:pPr>
      <w:r>
        <w:t xml:space="preserve">Hyperparameters (RRF k, thresholds, analogy weight) are tuned on dev for </w:t>
      </w:r>
      <w:r>
        <w:rPr>
          <w:i/>
        </w:rPr>
        <w:t xml:space="preserve">every</w:t>
      </w:r>
      <w:r>
        <w:t xml:space="preserve"> system with the same search budget, not just for P.</w:t>
      </w:r>
    </w:p>
    <w:p>
      <w:pPr>
        <w:pStyle w:val="ListParagraph"/>
        <w:numPr>
          <w:ilvl w:val="0"/>
          <w:numId w:val="11"/>
        </w:numPr>
      </w:pPr>
      <w:r>
        <w:t xml:space="preserve">B5 is run with its documented default settings plus the same generator. Any deviation is reported.</w:t>
      </w:r>
    </w:p>
    <w:p>
      <w:pPr>
        <w:pStyle w:val="ListParagraph"/>
        <w:numPr>
          <w:ilvl w:val="0"/>
          <w:numId w:val="11"/>
        </w:numPr>
      </w:pPr>
      <w:r>
        <w:t xml:space="preserve">Test questions are written from reports, before any system output is seen.</w:t>
      </w:r>
    </w:p>
    <w:p>
      <w:pPr/>
      <w:r>
        <w:rPr>
          <w:b/>
        </w:rPr>
        <w:t xml:space="preserve">Contamination check.</w:t>
      </w:r>
      <w:r>
        <w:t xml:space="preserve"> B0 accuracy is reported per mission. If B0 does well on famous missions, results are also reported on the less-documented subset, and unanswerable questions test whether systems answer from memory.</w:t>
      </w:r>
    </w:p>
    <w:p>
      <w:pPr>
        <w:pStyle w:val="Heading2"/>
      </w:pPr>
      <w:r>
        <w:t xml:space="preserve">14. Evaluation metrics and validation methodology</w:t>
      </w:r>
    </w:p>
    <w:p>
      <w:pPr/>
      <w:r>
        <w:t xml:space="preserve">Every headline metric is computed against human labels. Proxy metrics are reported only beside them, and their agreement with humans is itself measured (RQ4).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Metric</w:t>
            </w:r>
          </w:p>
        </w:tc>
        <w:tc>
          <w:tcPr>
            <w:tcW w:w="2340" w:type="dxa"/>
            <w:shd w:val="clear" w:color="auto" w:fill="F2F2F2"/>
          </w:tcPr>
          <w:p>
            <w:pPr/>
            <w:r>
              <w:t xml:space="preserve">Gold</w:t>
            </w:r>
          </w:p>
        </w:tc>
        <w:tc>
          <w:tcPr>
            <w:tcW w:w="2340" w:type="dxa"/>
            <w:shd w:val="clear" w:color="auto" w:fill="F2F2F2"/>
          </w:tcPr>
          <w:p>
            <w:pPr/>
            <w:r>
              <w:t xml:space="preserve">RQ</w:t>
            </w:r>
          </w:p>
        </w:tc>
      </w:tr>
      <w:tr>
        <w:tc>
          <w:tcPr>
            <w:tcW w:w="2340" w:type="dxa"/>
          </w:tcPr>
          <w:p>
            <w:pPr/>
            <w:r>
              <w:t xml:space="preserve">Annotation reliability</w:t>
            </w:r>
          </w:p>
        </w:tc>
        <w:tc>
          <w:tcPr>
            <w:tcW w:w="2340" w:type="dxa"/>
          </w:tcPr>
          <w:p>
            <w:pPr/>
            <w:r>
              <w:t xml:space="preserve">Cohen's κ (categorical), Krippendorff's α (graded), % agreement</w:t>
            </w:r>
          </w:p>
        </w:tc>
        <w:tc>
          <w:tcPr>
            <w:tcW w:w="2340" w:type="dxa"/>
          </w:tcPr>
          <w:p>
            <w:pPr/>
            <w:r>
              <w:t xml:space="preserve">Double-labelled 25%</w:t>
            </w:r>
          </w:p>
        </w:tc>
        <w:tc>
          <w:tcPr>
            <w:tcW w:w="2340" w:type="dxa"/>
          </w:tcPr>
          <w:p>
            <w:pPr/>
            <w:r>
              <w:t xml:space="preserve">All</w:t>
            </w:r>
          </w:p>
        </w:tc>
      </w:tr>
      <w:tr>
        <w:tc>
          <w:tcPr>
            <w:tcW w:w="2340" w:type="dxa"/>
          </w:tcPr>
          <w:p>
            <w:pPr/>
            <w:r>
              <w:t xml:space="preserve">Parsing</w:t>
            </w:r>
          </w:p>
        </w:tc>
        <w:tc>
          <w:tcPr>
            <w:tcW w:w="2340" w:type="dxa"/>
          </w:tcPr>
          <w:p>
            <w:pPr/>
            <w:r>
              <w:t xml:space="preserve">Pseudo-field accuracy; OCR character error rate on sampled pages</w:t>
            </w:r>
          </w:p>
        </w:tc>
        <w:tc>
          <w:tcPr>
            <w:tcW w:w="2340" w:type="dxa"/>
          </w:tcPr>
          <w:p>
            <w:pPr/>
            <w:r>
              <w:t xml:space="preserve">100 sections; ~20 pages</w:t>
            </w:r>
          </w:p>
        </w:tc>
        <w:tc>
          <w:tcPr>
            <w:tcW w:w="2340" w:type="dxa"/>
          </w:tcPr>
          <w:p>
            <w:pPr/>
            <w:r>
              <w:t xml:space="preserve">—</w:t>
            </w:r>
          </w:p>
        </w:tc>
      </w:tr>
      <w:tr>
        <w:tc>
          <w:tcPr>
            <w:tcW w:w="2340" w:type="dxa"/>
          </w:tcPr>
          <w:p>
            <w:pPr/>
            <w:r>
              <w:t xml:space="preserve">Extraction</w:t>
            </w:r>
          </w:p>
        </w:tc>
        <w:tc>
          <w:tcPr>
            <w:tcW w:w="2340" w:type="dxa"/>
          </w:tcPr>
          <w:p>
            <w:pPr/>
            <w:r>
              <w:t xml:space="preserve">Micro and macro P/R/F1 at L1 and L2; role accuracy; evidence-span validity rate; % of edges rejected by each check</w:t>
            </w:r>
          </w:p>
        </w:tc>
        <w:tc>
          <w:tcPr>
            <w:tcW w:w="2340" w:type="dxa"/>
          </w:tcPr>
          <w:p>
            <w:pPr/>
            <w:r>
              <w:t xml:space="preserve">D1</w:t>
            </w:r>
          </w:p>
        </w:tc>
        <w:tc>
          <w:tcPr>
            <w:tcW w:w="2340" w:type="dxa"/>
          </w:tcPr>
          <w:p>
            <w:pPr/>
            <w:r>
              <w:t xml:space="preserve">RQ1</w:t>
            </w:r>
          </w:p>
        </w:tc>
      </w:tr>
      <w:tr>
        <w:tc>
          <w:tcPr>
            <w:tcW w:w="2340" w:type="dxa"/>
          </w:tcPr>
          <w:p>
            <w:pPr/>
            <w:r>
              <w:t xml:space="preserve">Passage retrieval</w:t>
            </w:r>
          </w:p>
        </w:tc>
        <w:tc>
          <w:tcPr>
            <w:tcW w:w="2340" w:type="dxa"/>
          </w:tcPr>
          <w:p>
            <w:pPr/>
            <w:r>
              <w:t xml:space="preserve">Recall@k (k = 5, 10, 20), nDCG@10, MRR</w:t>
            </w:r>
          </w:p>
        </w:tc>
        <w:tc>
          <w:tcPr>
            <w:tcW w:w="2340" w:type="dxa"/>
          </w:tcPr>
          <w:p>
            <w:pPr/>
            <w:r>
              <w:t xml:space="preserve">D3 evidence pages</w:t>
            </w:r>
          </w:p>
        </w:tc>
        <w:tc>
          <w:tcPr>
            <w:tcW w:w="2340" w:type="dxa"/>
          </w:tcPr>
          <w:p>
            <w:pPr/>
            <w:r>
              <w:t xml:space="preserve">RQ3</w:t>
            </w:r>
          </w:p>
        </w:tc>
      </w:tr>
      <w:tr>
        <w:tc>
          <w:tcPr>
            <w:tcW w:w="2340" w:type="dxa"/>
          </w:tcPr>
          <w:p>
            <w:pPr/>
            <w:r>
              <w:t xml:space="preserve">Analogy retrieval</w:t>
            </w:r>
          </w:p>
        </w:tc>
        <w:tc>
          <w:tcPr>
            <w:tcW w:w="2340" w:type="dxa"/>
          </w:tcPr>
          <w:p>
            <w:pPr/>
            <w:r>
              <w:t xml:space="preserve">Mission-level nDCG@5, P@3, MAP</w:t>
            </w:r>
          </w:p>
        </w:tc>
        <w:tc>
          <w:tcPr>
            <w:tcW w:w="2340" w:type="dxa"/>
          </w:tcPr>
          <w:p>
            <w:pPr/>
            <w:r>
              <w:t xml:space="preserve">D2 graded pairs</w:t>
            </w:r>
          </w:p>
        </w:tc>
        <w:tc>
          <w:tcPr>
            <w:tcW w:w="2340" w:type="dxa"/>
          </w:tcPr>
          <w:p>
            <w:pPr/>
            <w:r>
              <w:t xml:space="preserve">RQ2</w:t>
            </w:r>
          </w:p>
        </w:tc>
      </w:tr>
      <w:tr>
        <w:tc>
          <w:tcPr>
            <w:tcW w:w="2340" w:type="dxa"/>
          </w:tcPr>
          <w:p>
            <w:pPr/>
            <w:r>
              <w:t xml:space="preserve">Answer quality</w:t>
            </w:r>
          </w:p>
        </w:tc>
        <w:tc>
          <w:tcPr>
            <w:tcW w:w="2340" w:type="dxa"/>
          </w:tcPr>
          <w:p>
            <w:pPr/>
            <w:r>
              <w:t xml:space="preserve">Key-point recall (human-scored on test); claim-level support rate in the style of FActScore [19]</w:t>
            </w:r>
          </w:p>
        </w:tc>
        <w:tc>
          <w:tcPr>
            <w:tcW w:w="2340" w:type="dxa"/>
          </w:tcPr>
          <w:p>
            <w:pPr/>
            <w:r>
              <w:t xml:space="preserve">D3 key points + corpus</w:t>
            </w:r>
          </w:p>
        </w:tc>
        <w:tc>
          <w:tcPr>
            <w:tcW w:w="2340" w:type="dxa"/>
          </w:tcPr>
          <w:p>
            <w:pPr/>
            <w:r>
              <w:t xml:space="preserve">RQ3</w:t>
            </w:r>
          </w:p>
        </w:tc>
      </w:tr>
      <w:tr>
        <w:tc>
          <w:tcPr>
            <w:tcW w:w="2340" w:type="dxa"/>
          </w:tcPr>
          <w:p>
            <w:pPr/>
            <w:r>
              <w:t xml:space="preserve">Citations</w:t>
            </w:r>
          </w:p>
        </w:tc>
        <w:tc>
          <w:tcPr>
            <w:tcW w:w="2340" w:type="dxa"/>
          </w:tcPr>
          <w:p>
            <w:pPr/>
            <w:r>
              <w:t xml:space="preserve">Citation precision (cited passage entails claim); citation recall (claims with a valid citation)</w:t>
            </w:r>
          </w:p>
        </w:tc>
        <w:tc>
          <w:tcPr>
            <w:tcW w:w="2340" w:type="dxa"/>
          </w:tcPr>
          <w:p>
            <w:pPr/>
            <w:r>
              <w:t xml:space="preserve">NLI + human check on a sample</w:t>
            </w:r>
          </w:p>
        </w:tc>
        <w:tc>
          <w:tcPr>
            <w:tcW w:w="2340" w:type="dxa"/>
          </w:tcPr>
          <w:p>
            <w:pPr/>
            <w:r>
              <w:t xml:space="preserve">RQ3</w:t>
            </w:r>
          </w:p>
        </w:tc>
      </w:tr>
      <w:tr>
        <w:tc>
          <w:tcPr>
            <w:tcW w:w="2340" w:type="dxa"/>
          </w:tcPr>
          <w:p>
            <w:pPr/>
            <w:r>
              <w:t xml:space="preserve">Abstention</w:t>
            </w:r>
          </w:p>
        </w:tc>
        <w:tc>
          <w:tcPr>
            <w:tcW w:w="2340" w:type="dxa"/>
          </w:tcPr>
          <w:p>
            <w:pPr/>
            <w:r>
              <w:t xml:space="preserve">Correct-abstention rate on unanswerable items; false-abstention rate on answerable ones</w:t>
            </w:r>
          </w:p>
        </w:tc>
        <w:tc>
          <w:tcPr>
            <w:tcW w:w="2340" w:type="dxa"/>
          </w:tcPr>
          <w:p>
            <w:pPr/>
            <w:r>
              <w:t xml:space="preserve">D3 category 5</w:t>
            </w:r>
          </w:p>
        </w:tc>
        <w:tc>
          <w:tcPr>
            <w:tcW w:w="2340" w:type="dxa"/>
          </w:tcPr>
          <w:p>
            <w:pPr/>
            <w:r>
              <w:t xml:space="preserve">RQ3</w:t>
            </w:r>
          </w:p>
        </w:tc>
      </w:tr>
      <w:tr>
        <w:tc>
          <w:tcPr>
            <w:tcW w:w="2340" w:type="dxa"/>
          </w:tcPr>
          <w:p>
            <w:pPr/>
            <w:r>
              <w:t xml:space="preserve">Judge validity</w:t>
            </w:r>
          </w:p>
        </w:tc>
        <w:tc>
          <w:tcPr>
            <w:tcW w:w="2340" w:type="dxa"/>
          </w:tcPr>
          <w:p>
            <w:pPr/>
            <w:r>
              <w:t xml:space="preserve">Spearman ρ and κ between LLM judge and human ratings on ≥ 25% of answers; judge model from a different family than the generator</w:t>
            </w:r>
          </w:p>
        </w:tc>
        <w:tc>
          <w:tcPr>
            <w:tcW w:w="2340" w:type="dxa"/>
          </w:tcPr>
          <w:p>
            <w:pPr/>
            <w:r>
              <w:t xml:space="preserve">Human ratings</w:t>
            </w:r>
          </w:p>
        </w:tc>
        <w:tc>
          <w:tcPr>
            <w:tcW w:w="2340" w:type="dxa"/>
          </w:tcPr>
          <w:p>
            <w:pPr/>
            <w:r>
              <w:t xml:space="preserve">RQ4</w:t>
            </w:r>
          </w:p>
        </w:tc>
      </w:tr>
      <w:tr>
        <w:tc>
          <w:tcPr>
            <w:tcW w:w="2340" w:type="dxa"/>
          </w:tcPr>
          <w:p>
            <w:pPr/>
            <w:r>
              <w:t xml:space="preserve">Proxy validity</w:t>
            </w:r>
          </w:p>
        </w:tc>
        <w:tc>
          <w:tcPr>
            <w:tcW w:w="2340" w:type="dxa"/>
          </w:tcPr>
          <w:p>
            <w:pPr/>
            <w:r>
              <w:t xml:space="preserve">Spearman ρ between a metadata proxy (as in [1]) and human analogy grades</w:t>
            </w:r>
          </w:p>
        </w:tc>
        <w:tc>
          <w:tcPr>
            <w:tcW w:w="2340" w:type="dxa"/>
          </w:tcPr>
          <w:p>
            <w:pPr/>
            <w:r>
              <w:t xml:space="preserve">D2</w:t>
            </w:r>
          </w:p>
        </w:tc>
        <w:tc>
          <w:tcPr>
            <w:tcW w:w="2340" w:type="dxa"/>
          </w:tcPr>
          <w:p>
            <w:pPr/>
            <w:r>
              <w:t xml:space="preserve">RQ4</w:t>
            </w:r>
          </w:p>
        </w:tc>
      </w:tr>
      <w:tr>
        <w:tc>
          <w:tcPr>
            <w:tcW w:w="2340" w:type="dxa"/>
          </w:tcPr>
          <w:p>
            <w:pPr/>
            <w:r>
              <w:t xml:space="preserve">Cost</w:t>
            </w:r>
          </w:p>
        </w:tc>
        <w:tc>
          <w:tcPr>
            <w:tcW w:w="2340" w:type="dxa"/>
          </w:tcPr>
          <w:p>
            <w:pPr/>
            <w:r>
              <w:t xml:space="preserve">Indexing time, query latency, LLM calls, peak VRAM</w:t>
            </w:r>
          </w:p>
        </w:tc>
        <w:tc>
          <w:tcPr>
            <w:tcW w:w="2340" w:type="dxa"/>
          </w:tcPr>
          <w:p>
            <w:pPr/>
            <w:r>
              <w:t xml:space="preserve">Logs</w:t>
            </w:r>
          </w:p>
        </w:tc>
        <w:tc>
          <w:tcPr>
            <w:tcW w:w="2340" w:type="dxa"/>
          </w:tcPr>
          <w:p>
            <w:pPr/>
            <w:r>
              <w:t xml:space="preserve">—</w:t>
            </w:r>
          </w:p>
        </w:tc>
      </w:tr>
    </w:tbl>
    <w:p>
      <w:pPr/>
      <w:r>
        <w:rPr>
          <w:b/>
        </w:rPr>
        <w:t xml:space="preserve">Statistical protocol (fixed before the test set is opened)</w:t>
      </w:r>
    </w:p>
    <w:p>
      <w:pPr>
        <w:pStyle w:val="ListParagraph"/>
        <w:numPr>
          <w:ilvl w:val="0"/>
          <w:numId w:val="12"/>
        </w:numPr>
      </w:pPr>
      <w:r>
        <w:t xml:space="preserve">Primary comparison: P vs B3. Primary metrics: analogy nDCG@5 and key-point recall. Everything else is secondary.</w:t>
      </w:r>
    </w:p>
    <w:p>
      <w:pPr>
        <w:pStyle w:val="ListParagraph"/>
        <w:numPr>
          <w:ilvl w:val="0"/>
          <w:numId w:val="12"/>
        </w:numPr>
      </w:pPr>
      <w:r>
        <w:t xml:space="preserve">Paired bootstrap with 10,000 resamples over questions (or mission queries) for 95% CIs of differences [23]. A paired permutation test gives p-values, with Holm–Bonferroni correction across secondary metrics and categories.</w:t>
      </w:r>
    </w:p>
    <w:p>
      <w:pPr>
        <w:pStyle w:val="ListParagraph"/>
        <w:numPr>
          <w:ilvl w:val="0"/>
          <w:numId w:val="12"/>
        </w:numPr>
      </w:pPr>
      <w:r>
        <w:t xml:space="preserve">Effect sizes are reported alongside p-values. With about 105 test questions, small differences will not be detectable; a power note will be reported rather than over-claiming.</w:t>
      </w:r>
    </w:p>
    <w:p>
      <w:pPr>
        <w:pStyle w:val="ListParagraph"/>
        <w:numPr>
          <w:ilvl w:val="0"/>
          <w:numId w:val="12"/>
        </w:numPr>
      </w:pPr>
      <w:r>
        <w:t xml:space="preserve">Generation is repeated with 3 seeds (sampled decoding for robustness runs; temperature 0 for the main run), and the variance is reported.</w:t>
      </w:r>
    </w:p>
    <w:p>
      <w:pPr>
        <w:pStyle w:val="ListParagraph"/>
        <w:numPr>
          <w:ilvl w:val="0"/>
          <w:numId w:val="12"/>
        </w:numPr>
      </w:pPr>
      <w:r>
        <w:t xml:space="preserve">Every number in the paper is regenerated from logged runs by one script. No hand-copied results.</w:t>
      </w:r>
    </w:p>
    <w:p>
      <w:pPr>
        <w:pStyle w:val="Heading2"/>
      </w:pPr>
      <w:r>
        <w:t xml:space="preserve">15. Proposed contributions and qualified novelty claims</w:t>
      </w:r>
    </w:p>
    <w:p>
      <w:pPr/>
      <w:r>
        <w:t xml:space="preserve">There are four contributions. Each is phrased the way it may be claimed in a paper </w:t>
      </w:r>
      <w:r>
        <w:rPr>
          <w:i/>
        </w:rPr>
        <w:t xml:space="preserve">if and only if</w:t>
      </w:r>
      <w:r>
        <w:t xml:space="preserve"> the evidence in the right-hand column materialises.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Contribution</w:t>
            </w:r>
          </w:p>
        </w:tc>
        <w:tc>
          <w:tcPr>
            <w:tcW w:w="2340" w:type="dxa"/>
            <w:shd w:val="clear" w:color="auto" w:fill="F2F2F2"/>
          </w:tcPr>
          <w:p>
            <w:pPr/>
            <w:r>
              <w:t xml:space="preserve">Novelty level</w:t>
            </w:r>
          </w:p>
        </w:tc>
        <w:tc>
          <w:tcPr>
            <w:tcW w:w="2340" w:type="dxa"/>
            <w:shd w:val="clear" w:color="auto" w:fill="F2F2F2"/>
          </w:tcPr>
          <w:p>
            <w:pPr/>
            <w:r>
              <w:t xml:space="preserve">Claim allowed only if</w:t>
            </w:r>
          </w:p>
        </w:tc>
      </w:tr>
      <w:tr>
        <w:tc>
          <w:tcPr>
            <w:tcW w:w="2340" w:type="dxa"/>
          </w:tcPr>
          <w:p>
            <w:pPr/>
            <w:r>
              <w:t xml:space="preserve">C1</w:t>
            </w:r>
          </w:p>
        </w:tc>
        <w:tc>
          <w:tcPr>
            <w:tcW w:w="2340" w:type="dxa"/>
          </w:tcPr>
          <w:p>
            <w:pPr/>
            <w:r>
              <w:t xml:space="preserve">A reproducible, provenance-preserving corpus and a human-annotated benchmark for spaceflight mishap analysis (causal factors, cross-mission analogy grades, categorised QA with unanswerables)</w:t>
            </w:r>
          </w:p>
        </w:tc>
        <w:tc>
          <w:tcPr>
            <w:tcW w:w="2340" w:type="dxa"/>
          </w:tcPr>
          <w:p>
            <w:pPr/>
            <w:r>
              <w:t xml:space="preserve">New resource in this domain; built with established annotation practice</w:t>
            </w:r>
          </w:p>
        </w:tc>
        <w:tc>
          <w:tcPr>
            <w:tcW w:w="2340" w:type="dxa"/>
          </w:tcPr>
          <w:p>
            <w:pPr/>
            <w:r>
              <w:t xml:space="preserve">≥ 25 missions released or reconstructible from the manifest; agreement statistics reported, with κ ≥ 0.6 targeted and lower values reported honestly</w:t>
            </w:r>
          </w:p>
        </w:tc>
      </w:tr>
      <w:tr>
        <w:tc>
          <w:tcPr>
            <w:tcW w:w="2340" w:type="dxa"/>
          </w:tcPr>
          <w:p>
            <w:pPr/>
            <w:r>
              <w:t xml:space="preserve">C2</w:t>
            </w:r>
          </w:p>
        </w:tc>
        <w:tc>
          <w:tcPr>
            <w:tcW w:w="2340" w:type="dxa"/>
          </w:tcPr>
          <w:p>
            <w:pPr/>
            <w:r>
              <w:t xml:space="preserve">Evidence-anchored causal-factor graph construction (schema-constrained LLM extraction + span and entailment verification + taxonomy canonicalisation)</w:t>
            </w:r>
          </w:p>
        </w:tc>
        <w:tc>
          <w:tcPr>
            <w:tcW w:w="2340" w:type="dxa"/>
          </w:tcPr>
          <w:p>
            <w:pPr/>
            <w:r>
              <w:t xml:space="preserve">Proposed combination of known parts; not a new algorithm</w:t>
            </w:r>
          </w:p>
        </w:tc>
        <w:tc>
          <w:tcPr>
            <w:tcW w:w="2340" w:type="dxa"/>
          </w:tcPr>
          <w:p>
            <w:pPr/>
            <w:r>
              <w:t xml:space="preserve">RQ1 shows a precision gain over unverified extraction with its recall cost quantified</w:t>
            </w:r>
          </w:p>
        </w:tc>
      </w:tr>
      <w:tr>
        <w:tc>
          <w:tcPr>
            <w:tcW w:w="2340" w:type="dxa"/>
          </w:tcPr>
          <w:p>
            <w:pPr/>
            <w:r>
              <w:t xml:space="preserve">C3</w:t>
            </w:r>
          </w:p>
        </w:tc>
        <w:tc>
          <w:tcPr>
            <w:tcW w:w="2340" w:type="dxa"/>
          </w:tcPr>
          <w:p>
            <w:pPr/>
            <w:r>
              <w:t xml:space="preserve">Graph-augmented multi-field hybrid retrieval, i.e. a graph channel fused into the base paper's method, with idf-weighted factor overlap for mission analogy</w:t>
            </w:r>
          </w:p>
        </w:tc>
        <w:tc>
          <w:tcPr>
            <w:tcW w:w="2340" w:type="dxa"/>
          </w:tcPr>
          <w:p>
            <w:pPr/>
            <w:r>
              <w:t xml:space="preserve">Adapted extension, answering future work stated in [1]</w:t>
            </w:r>
          </w:p>
        </w:tc>
        <w:tc>
          <w:tcPr>
            <w:tcW w:w="2340" w:type="dxa"/>
          </w:tcPr>
          <w:p>
            <w:pPr/>
            <w:r>
              <w:t xml:space="preserve">RQ2/RQ3 show a significant gain over B3 on at least one pre-registered primary metric or category. If not, the claim becomes a negative result</w:t>
            </w:r>
          </w:p>
        </w:tc>
      </w:tr>
      <w:tr>
        <w:tc>
          <w:tcPr>
            <w:tcW w:w="2340" w:type="dxa"/>
          </w:tcPr>
          <w:p>
            <w:pPr/>
            <w:r>
              <w:t xml:space="preserve">C4</w:t>
            </w:r>
          </w:p>
        </w:tc>
        <w:tc>
          <w:tcPr>
            <w:tcW w:w="2340" w:type="dxa"/>
          </w:tcPr>
          <w:p>
            <w:pPr/>
            <w:r>
              <w:t xml:space="preserve">An empirical study of when graphs help, and of proxy and LLM-judge validity, in a small-corpus safety domain</w:t>
            </w:r>
          </w:p>
        </w:tc>
        <w:tc>
          <w:tcPr>
            <w:tcW w:w="2340" w:type="dxa"/>
          </w:tcPr>
          <w:p>
            <w:pPr/>
            <w:r>
              <w:t xml:space="preserve">Empirical finding</w:t>
            </w:r>
          </w:p>
        </w:tc>
        <w:tc>
          <w:tcPr>
            <w:tcW w:w="2340" w:type="dxa"/>
          </w:tcPr>
          <w:p>
            <w:pPr/>
            <w:r>
              <w:t xml:space="preserve">Per-category analysis and RQ4 correlations reported with CIs</w:t>
            </w:r>
          </w:p>
        </w:tc>
      </w:tr>
    </w:tbl>
    <w:p>
      <w:pPr/>
      <w:r>
        <w:rPr>
          <w:b/>
        </w:rPr>
        <w:t xml:space="preserve">Will not be claimed:</w:t>
      </w:r>
      <w:r>
        <w:t xml:space="preserve"> "hallucination-free", "deterministic", "automatic causal discovery", "cross-agency generality" beyond the agencies represented, or any superiority over systems not actually run.</w:t>
      </w:r>
    </w:p>
    <w:p>
      <w:pPr>
        <w:pStyle w:val="Heading2"/>
      </w:pPr>
      <w:r>
        <w:t xml:space="preserve">16. Expected outcomes (hypotheses, not results)</w:t>
      </w:r>
    </w:p>
    <w:p>
      <w:pPr/>
      <w:r>
        <w:t xml:space="preserve">Nothing below has been observed. Each item is a falsifiable hypothesis with the outcome that would refute it, so the paper can report either direction.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Hypothesis</w:t>
            </w:r>
          </w:p>
        </w:tc>
        <w:tc>
          <w:tcPr>
            <w:tcW w:w="2340" w:type="dxa"/>
            <w:shd w:val="clear" w:color="auto" w:fill="F2F2F2"/>
          </w:tcPr>
          <w:p>
            <w:pPr/>
            <w:r>
              <w:t xml:space="preserve">Rationale</w:t>
            </w:r>
          </w:p>
        </w:tc>
        <w:tc>
          <w:tcPr>
            <w:tcW w:w="2340" w:type="dxa"/>
            <w:shd w:val="clear" w:color="auto" w:fill="F2F2F2"/>
          </w:tcPr>
          <w:p>
            <w:pPr/>
            <w:r>
              <w:t xml:space="preserve">Refuted if</w:t>
            </w:r>
          </w:p>
        </w:tc>
      </w:tr>
      <w:tr>
        <w:tc>
          <w:tcPr>
            <w:tcW w:w="2340" w:type="dxa"/>
          </w:tcPr>
          <w:p>
            <w:pPr/>
            <w:r>
              <w:t xml:space="preserve">H1</w:t>
            </w:r>
          </w:p>
        </w:tc>
        <w:tc>
          <w:tcPr>
            <w:tcW w:w="2340" w:type="dxa"/>
          </w:tcPr>
          <w:p>
            <w:pPr/>
            <w:r>
              <w:t xml:space="preserve">Verification raises extraction precision over unverified LLM extraction, at a measurable recall cost</w:t>
            </w:r>
          </w:p>
        </w:tc>
        <w:tc>
          <w:tcPr>
            <w:tcW w:w="2340" w:type="dxa"/>
          </w:tcPr>
          <w:p>
            <w:pPr/>
            <w:r>
              <w:t xml:space="preserve">Rejected records are those whose quote is absent or non-entailing</w:t>
            </w:r>
          </w:p>
        </w:tc>
        <w:tc>
          <w:tcPr>
            <w:tcW w:w="2340" w:type="dxa"/>
          </w:tcPr>
          <w:p>
            <w:pPr/>
            <w:r>
              <w:t xml:space="preserve">No significant precision difference on D1 test</w:t>
            </w:r>
          </w:p>
        </w:tc>
      </w:tr>
      <w:tr>
        <w:tc>
          <w:tcPr>
            <w:tcW w:w="2340" w:type="dxa"/>
          </w:tcPr>
          <w:p>
            <w:pPr/>
            <w:r>
              <w:t xml:space="preserve">H2</w:t>
            </w:r>
          </w:p>
        </w:tc>
        <w:tc>
          <w:tcPr>
            <w:tcW w:w="2340" w:type="dxa"/>
          </w:tcPr>
          <w:p>
            <w:pPr/>
            <w:r>
              <w:t xml:space="preserve">P outperforms B3 on mission-level analogy nDCG@5</w:t>
            </w:r>
          </w:p>
        </w:tc>
        <w:tc>
          <w:tcPr>
            <w:tcW w:w="2340" w:type="dxa"/>
          </w:tcPr>
          <w:p>
            <w:pPr/>
            <w:r>
              <w:t xml:space="preserve">Shared typed factors encode causal similarity that lexical and dense text similarity miss</w:t>
            </w:r>
          </w:p>
        </w:tc>
        <w:tc>
          <w:tcPr>
            <w:tcW w:w="2340" w:type="dxa"/>
          </w:tcPr>
          <w:p>
            <w:pPr/>
            <w:r>
              <w:t xml:space="preserve">95% CI of (P − B3) includes 0</w:t>
            </w:r>
          </w:p>
        </w:tc>
      </w:tr>
      <w:tr>
        <w:tc>
          <w:tcPr>
            <w:tcW w:w="2340" w:type="dxa"/>
          </w:tcPr>
          <w:p>
            <w:pPr/>
            <w:r>
              <w:t xml:space="preserve">H3</w:t>
            </w:r>
          </w:p>
        </w:tc>
        <w:tc>
          <w:tcPr>
            <w:tcW w:w="2340" w:type="dxa"/>
          </w:tcPr>
          <w:p>
            <w:pPr/>
            <w:r>
              <w:t xml:space="preserve">Graph gains concentrate in the cross-mission and analogy/aggregation categories, with little or no gain on single-mission factual questions</w:t>
            </w:r>
          </w:p>
        </w:tc>
        <w:tc>
          <w:tcPr>
            <w:tcW w:w="2340" w:type="dxa"/>
          </w:tcPr>
          <w:p>
            <w:pPr/>
            <w:r>
              <w:t xml:space="preserve">Single-mission facts sit in one passage that hybrid retrieval already finds</w:t>
            </w:r>
          </w:p>
        </w:tc>
        <w:tc>
          <w:tcPr>
            <w:tcW w:w="2340" w:type="dxa"/>
          </w:tcPr>
          <w:p>
            <w:pPr/>
            <w:r>
              <w:t xml:space="preserve">Gains are uniform or absent across categories</w:t>
            </w:r>
          </w:p>
        </w:tc>
      </w:tr>
      <w:tr>
        <w:tc>
          <w:tcPr>
            <w:tcW w:w="2340" w:type="dxa"/>
          </w:tcPr>
          <w:p>
            <w:pPr/>
            <w:r>
              <w:t xml:space="preserve">H4</w:t>
            </w:r>
          </w:p>
        </w:tc>
        <w:tc>
          <w:tcPr>
            <w:tcW w:w="2340" w:type="dxa"/>
          </w:tcPr>
          <w:p>
            <w:pPr/>
            <w:r>
              <w:t xml:space="preserve">Citation-constrained generation with abstention reduces unsupported claims relative to B2 and B4</w:t>
            </w:r>
          </w:p>
        </w:tc>
        <w:tc>
          <w:tcPr>
            <w:tcW w:w="2340" w:type="dxa"/>
          </w:tcPr>
          <w:p>
            <w:pPr/>
            <w:r>
              <w:t xml:space="preserve">The prompt and post-hoc check penalise uncited claims</w:t>
            </w:r>
          </w:p>
        </w:tc>
        <w:tc>
          <w:tcPr>
            <w:tcW w:w="2340" w:type="dxa"/>
          </w:tcPr>
          <w:p>
            <w:pPr/>
            <w:r>
              <w:t xml:space="preserve">Claim support rate not higher</w:t>
            </w:r>
          </w:p>
        </w:tc>
      </w:tr>
      <w:tr>
        <w:tc>
          <w:tcPr>
            <w:tcW w:w="2340" w:type="dxa"/>
          </w:tcPr>
          <w:p>
            <w:pPr/>
            <w:r>
              <w:t xml:space="preserve">H5</w:t>
            </w:r>
          </w:p>
        </w:tc>
        <w:tc>
          <w:tcPr>
            <w:tcW w:w="2340" w:type="dxa"/>
          </w:tcPr>
          <w:p>
            <w:pPr/>
            <w:r>
              <w:t xml:space="preserve">The metadata proxy correlates only moderately with human analogy grades, and the LLM judge agrees imperfectly with humans</w:t>
            </w:r>
          </w:p>
        </w:tc>
        <w:tc>
          <w:tcPr>
            <w:tcW w:w="2340" w:type="dxa"/>
          </w:tcPr>
          <w:p>
            <w:pPr/>
            <w:r>
              <w:t xml:space="preserve">Proxies capture topical, not causal, similarity</w:t>
            </w:r>
          </w:p>
        </w:tc>
        <w:tc>
          <w:tcPr>
            <w:tcW w:w="2340" w:type="dxa"/>
          </w:tcPr>
          <w:p>
            <w:pPr/>
            <w:r>
              <w:t xml:space="preserve">Correlations are high, which would itself be useful evidence for [1]'s approach</w:t>
            </w:r>
          </w:p>
        </w:tc>
      </w:tr>
      <w:tr>
        <w:tc>
          <w:tcPr>
            <w:tcW w:w="2340" w:type="dxa"/>
          </w:tcPr>
          <w:p>
            <w:pPr/>
            <w:r>
              <w:t xml:space="preserve">H6</w:t>
            </w:r>
          </w:p>
        </w:tc>
        <w:tc>
          <w:tcPr>
            <w:tcW w:w="2340" w:type="dxa"/>
          </w:tcPr>
          <w:p>
            <w:pPr/>
            <w:r>
              <w:t xml:space="preserve">B0 scores well on famous missions and poorly on the rest</w:t>
            </w:r>
          </w:p>
        </w:tc>
        <w:tc>
          <w:tcPr>
            <w:tcW w:w="2340" w:type="dxa"/>
          </w:tcPr>
          <w:p>
            <w:pPr/>
            <w:r>
              <w:t xml:space="preserve">Pre-training exposure</w:t>
            </w:r>
          </w:p>
        </w:tc>
        <w:tc>
          <w:tcPr>
            <w:tcW w:w="2340" w:type="dxa"/>
          </w:tcPr>
          <w:p>
            <w:pPr/>
            <w:r>
              <w:t xml:space="preserve">No per-mission difference</w:t>
            </w:r>
          </w:p>
        </w:tc>
      </w:tr>
    </w:tbl>
    <w:p>
      <w:pPr/>
      <w:r>
        <w:rPr>
          <w:b/>
        </w:rPr>
        <w:t xml:space="preserve">Deliverables expected regardless of outcome:</w:t>
      </w:r>
      <w:r>
        <w:t xml:space="preserve"> the corpus manifest and parsing code; annotation guidelines and labels (subject to source licences); a reproducible experiment pipeline; a paper reporting results with CIs; and a working demo (query → cited answer → evidence graph view).</w:t>
      </w:r>
    </w:p>
    <w:p>
      <w:pPr>
        <w:pStyle w:val="Heading2"/>
      </w:pPr>
      <w:r>
        <w:t xml:space="preserve">17. Limitations, risks and mitigation strategies</w:t>
      </w:r>
    </w:p>
    <w:p>
      <w:pPr/>
      <w:r>
        <w:t xml:space="preserve">The largest risks are corpus size and annotation reliability. Both limit what can be claimed rather than whether the project can finish.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Risk / limitation</w:t>
            </w:r>
          </w:p>
        </w:tc>
        <w:tc>
          <w:tcPr>
            <w:tcW w:w="1872" w:type="dxa"/>
            <w:shd w:val="clear" w:color="auto" w:fill="F2F2F2"/>
          </w:tcPr>
          <w:p>
            <w:pPr/>
            <w:r>
              <w:t xml:space="preserve">Likelihood</w:t>
            </w:r>
          </w:p>
        </w:tc>
        <w:tc>
          <w:tcPr>
            <w:tcW w:w="1872" w:type="dxa"/>
            <w:shd w:val="clear" w:color="auto" w:fill="F2F2F2"/>
          </w:tcPr>
          <w:p>
            <w:pPr/>
            <w:r>
              <w:t xml:space="preserve">Impact</w:t>
            </w:r>
          </w:p>
        </w:tc>
        <w:tc>
          <w:tcPr>
            <w:tcW w:w="1872" w:type="dxa"/>
            <w:shd w:val="clear" w:color="auto" w:fill="F2F2F2"/>
          </w:tcPr>
          <w:p>
            <w:pPr/>
            <w:r>
              <w:t xml:space="preserve">Mitigation</w:t>
            </w:r>
          </w:p>
        </w:tc>
        <w:tc>
          <w:tcPr>
            <w:tcW w:w="1872" w:type="dxa"/>
            <w:shd w:val="clear" w:color="auto" w:fill="F2F2F2"/>
          </w:tcPr>
          <w:p>
            <w:pPr/>
            <w:r>
              <w:t xml:space="preserve">Fallback</w:t>
            </w:r>
          </w:p>
        </w:tc>
      </w:tr>
      <w:tr>
        <w:tc>
          <w:tcPr>
            <w:tcW w:w="1872" w:type="dxa"/>
          </w:tcPr>
          <w:p>
            <w:pPr/>
            <w:r>
              <w:t xml:space="preserve">Fewer than 25 public reports with usable causal findings</w:t>
            </w:r>
          </w:p>
        </w:tc>
        <w:tc>
          <w:tcPr>
            <w:tcW w:w="1872" w:type="dxa"/>
          </w:tcPr>
          <w:p>
            <w:pPr/>
            <w:r>
              <w:t xml:space="preserve">Medium</w:t>
            </w:r>
          </w:p>
        </w:tc>
        <w:tc>
          <w:tcPr>
            <w:tcW w:w="1872" w:type="dxa"/>
          </w:tcPr>
          <w:p>
            <w:pPr/>
            <w:r>
              <w:t xml:space="preserve">High</w:t>
            </w:r>
          </w:p>
        </w:tc>
        <w:tc>
          <w:tcPr>
            <w:tcW w:w="1872" w:type="dxa"/>
          </w:tcPr>
          <w:p>
            <w:pPr/>
            <w:r>
              <w:t xml:space="preserve">Accept official public summaries; widen to major anomalies, not only losses</w:t>
            </w:r>
          </w:p>
        </w:tc>
        <w:tc>
          <w:tcPr>
            <w:tcW w:w="1872" w:type="dxa"/>
          </w:tcPr>
          <w:p>
            <w:pPr/>
            <w:r>
              <w:t xml:space="preserve">Report on the achieved N; frame as a pilot benchmark</w:t>
            </w:r>
          </w:p>
        </w:tc>
      </w:tr>
      <w:tr>
        <w:tc>
          <w:tcPr>
            <w:tcW w:w="1872" w:type="dxa"/>
          </w:tcPr>
          <w:p>
            <w:pPr/>
            <w:r>
              <w:t xml:space="preserve">No second annotator</w:t>
            </w:r>
          </w:p>
        </w:tc>
        <w:tc>
          <w:tcPr>
            <w:tcW w:w="1872" w:type="dxa"/>
          </w:tcPr>
          <w:p>
            <w:pPr/>
            <w:r>
              <w:t xml:space="preserve">Medium</w:t>
            </w:r>
          </w:p>
        </w:tc>
        <w:tc>
          <w:tcPr>
            <w:tcW w:w="1872" w:type="dxa"/>
          </w:tcPr>
          <w:p>
            <w:pPr/>
            <w:r>
              <w:t xml:space="preserve">High</w:t>
            </w:r>
          </w:p>
        </w:tc>
        <w:tc>
          <w:tcPr>
            <w:tcW w:w="1872" w:type="dxa"/>
          </w:tcPr>
          <w:p>
            <w:pPr/>
            <w:r>
              <w:t xml:space="preserve">Recruit a peer or the supervisor early (Stage 3 gate)</w:t>
            </w:r>
          </w:p>
        </w:tc>
        <w:tc>
          <w:tcPr>
            <w:tcW w:w="1872" w:type="dxa"/>
          </w:tcPr>
          <w:p>
            <w:pPr/>
            <w:r>
              <w:t xml:space="preserve">Self-agreement re-labelling after ≥ 2 weeks, clearly labelled as weaker evidence</w:t>
            </w:r>
          </w:p>
        </w:tc>
      </w:tr>
      <w:tr>
        <w:tc>
          <w:tcPr>
            <w:tcW w:w="1872" w:type="dxa"/>
          </w:tcPr>
          <w:p>
            <w:pPr/>
            <w:r>
              <w:t xml:space="preserve">Low inter-annotator agreement (κ &lt; 0.6)</w:t>
            </w:r>
          </w:p>
        </w:tc>
        <w:tc>
          <w:tcPr>
            <w:tcW w:w="1872" w:type="dxa"/>
          </w:tcPr>
          <w:p>
            <w:pPr/>
            <w:r>
              <w:t xml:space="preserve">Medium</w:t>
            </w:r>
          </w:p>
        </w:tc>
        <w:tc>
          <w:tcPr>
            <w:tcW w:w="1872" w:type="dxa"/>
          </w:tcPr>
          <w:p>
            <w:pPr/>
            <w:r>
              <w:t xml:space="preserve">Medium</w:t>
            </w:r>
          </w:p>
        </w:tc>
        <w:tc>
          <w:tcPr>
            <w:tcW w:w="1872" w:type="dxa"/>
          </w:tcPr>
          <w:p>
            <w:pPr/>
            <w:r>
              <w:t xml:space="preserve">Pilot round, guideline revision, L1 fallback for unreliable L2 classes</w:t>
            </w:r>
          </w:p>
        </w:tc>
        <w:tc>
          <w:tcPr>
            <w:tcW w:w="1872" w:type="dxa"/>
          </w:tcPr>
          <w:p>
            <w:pPr/>
            <w:r>
              <w:t xml:space="preserve">Report at L1 only</w:t>
            </w:r>
          </w:p>
        </w:tc>
      </w:tr>
      <w:tr>
        <w:tc>
          <w:tcPr>
            <w:tcW w:w="1872" w:type="dxa"/>
          </w:tcPr>
          <w:p>
            <w:pPr/>
            <w:r>
              <w:t xml:space="preserve">Verification discards too many true facts (recall collapse)</w:t>
            </w:r>
          </w:p>
        </w:tc>
        <w:tc>
          <w:tcPr>
            <w:tcW w:w="1872" w:type="dxa"/>
          </w:tcPr>
          <w:p>
            <w:pPr/>
            <w:r>
              <w:t xml:space="preserve">Medium</w:t>
            </w:r>
          </w:p>
        </w:tc>
        <w:tc>
          <w:tcPr>
            <w:tcW w:w="1872" w:type="dxa"/>
          </w:tcPr>
          <w:p>
            <w:pPr/>
            <w:r>
              <w:t xml:space="preserve">Medium</w:t>
            </w:r>
          </w:p>
        </w:tc>
        <w:tc>
          <w:tcPr>
            <w:tcW w:w="1872" w:type="dxa"/>
          </w:tcPr>
          <w:p>
            <w:pPr/>
            <w:r>
              <w:t xml:space="preserve">Tune thresholds on dev; report the precision–recall curve</w:t>
            </w:r>
          </w:p>
        </w:tc>
        <w:tc>
          <w:tcPr>
            <w:tcW w:w="1872" w:type="dxa"/>
          </w:tcPr>
          <w:p>
            <w:pPr/>
            <w:r>
              <w:t xml:space="preserve">Use span check only</w:t>
            </w:r>
          </w:p>
        </w:tc>
      </w:tr>
      <w:tr>
        <w:tc>
          <w:tcPr>
            <w:tcW w:w="1872" w:type="dxa"/>
          </w:tcPr>
          <w:p>
            <w:pPr/>
            <w:r>
              <w:t xml:space="preserve">Graph gives no gain over B3</w:t>
            </w:r>
          </w:p>
        </w:tc>
        <w:tc>
          <w:tcPr>
            <w:tcW w:w="1872" w:type="dxa"/>
          </w:tcPr>
          <w:p>
            <w:pPr/>
            <w:r>
              <w:t xml:space="preserve">Medium</w:t>
            </w:r>
          </w:p>
        </w:tc>
        <w:tc>
          <w:tcPr>
            <w:tcW w:w="1872" w:type="dxa"/>
          </w:tcPr>
          <w:p>
            <w:pPr/>
            <w:r>
              <w:t xml:space="preserve">Medium</w:t>
            </w:r>
          </w:p>
        </w:tc>
        <w:tc>
          <w:tcPr>
            <w:tcW w:w="1872" w:type="dxa"/>
          </w:tcPr>
          <w:p>
            <w:pPr/>
            <w:r>
              <w:t xml:space="preserve">Pre-registered per-category analysis</w:t>
            </w:r>
          </w:p>
        </w:tc>
        <w:tc>
          <w:tcPr>
            <w:tcW w:w="1872" w:type="dxa"/>
          </w:tcPr>
          <w:p>
            <w:pPr/>
            <w:r>
              <w:t xml:space="preserve">Publish as a negative or conditional finding (C4)</w:t>
            </w:r>
          </w:p>
        </w:tc>
      </w:tr>
      <w:tr>
        <w:tc>
          <w:tcPr>
            <w:tcW w:w="1872" w:type="dxa"/>
          </w:tcPr>
          <w:p>
            <w:pPr/>
            <w:r>
              <w:t xml:space="preserve">LLM pre-training contamination on famous accidents</w:t>
            </w:r>
          </w:p>
        </w:tc>
        <w:tc>
          <w:tcPr>
            <w:tcW w:w="1872" w:type="dxa"/>
          </w:tcPr>
          <w:p>
            <w:pPr/>
            <w:r>
              <w:t xml:space="preserve">High</w:t>
            </w:r>
          </w:p>
        </w:tc>
        <w:tc>
          <w:tcPr>
            <w:tcW w:w="1872" w:type="dxa"/>
          </w:tcPr>
          <w:p>
            <w:pPr/>
            <w:r>
              <w:t xml:space="preserve">Medium</w:t>
            </w:r>
          </w:p>
        </w:tc>
        <w:tc>
          <w:tcPr>
            <w:tcW w:w="1872" w:type="dxa"/>
          </w:tcPr>
          <w:p>
            <w:pPr/>
            <w:r>
              <w:t xml:space="preserve">B0 per-mission check; unanswerable set; less-known missions</w:t>
            </w:r>
          </w:p>
        </w:tc>
        <w:tc>
          <w:tcPr>
            <w:tcW w:w="1872" w:type="dxa"/>
          </w:tcPr>
          <w:p>
            <w:pPr/>
            <w:r>
              <w:t xml:space="preserve">Report results on the low-contamination subset</w:t>
            </w:r>
          </w:p>
        </w:tc>
      </w:tr>
      <w:tr>
        <w:tc>
          <w:tcPr>
            <w:tcW w:w="1872" w:type="dxa"/>
          </w:tcPr>
          <w:p>
            <w:pPr/>
            <w:r>
              <w:t xml:space="preserve">OCR noise in older scans (e.g. Challenger)</w:t>
            </w:r>
          </w:p>
        </w:tc>
        <w:tc>
          <w:tcPr>
            <w:tcW w:w="1872" w:type="dxa"/>
          </w:tcPr>
          <w:p>
            <w:pPr/>
            <w:r>
              <w:t xml:space="preserve">High</w:t>
            </w:r>
          </w:p>
        </w:tc>
        <w:tc>
          <w:tcPr>
            <w:tcW w:w="1872" w:type="dxa"/>
          </w:tcPr>
          <w:p>
            <w:pPr/>
            <w:r>
              <w:t xml:space="preserve">Medium</w:t>
            </w:r>
          </w:p>
        </w:tc>
        <w:tc>
          <w:tcPr>
            <w:tcW w:w="1872" w:type="dxa"/>
          </w:tcPr>
          <w:p>
            <w:pPr/>
            <w:r>
              <w:t xml:space="preserve">Measure CER; re-OCR at 300 dpi; flag pages</w:t>
            </w:r>
          </w:p>
        </w:tc>
        <w:tc>
          <w:tcPr>
            <w:tcW w:w="1872" w:type="dxa"/>
          </w:tcPr>
          <w:p>
            <w:pPr/>
            <w:r>
              <w:t xml:space="preserve">Exclude flagged pages and report it</w:t>
            </w:r>
          </w:p>
        </w:tc>
      </w:tr>
      <w:tr>
        <w:tc>
          <w:tcPr>
            <w:tcW w:w="1872" w:type="dxa"/>
          </w:tcPr>
          <w:p>
            <w:pPr/>
            <w:r>
              <w:t xml:space="preserve">8 GB GPU limits model size and speed</w:t>
            </w:r>
          </w:p>
        </w:tc>
        <w:tc>
          <w:tcPr>
            <w:tcW w:w="1872" w:type="dxa"/>
          </w:tcPr>
          <w:p>
            <w:pPr/>
            <w:r>
              <w:t xml:space="preserve">High</w:t>
            </w:r>
          </w:p>
        </w:tc>
        <w:tc>
          <w:tcPr>
            <w:tcW w:w="1872" w:type="dxa"/>
          </w:tcPr>
          <w:p>
            <w:pPr/>
            <w:r>
              <w:t xml:space="preserve">Low–Medium</w:t>
            </w:r>
          </w:p>
        </w:tc>
        <w:tc>
          <w:tcPr>
            <w:tcW w:w="1872" w:type="dxa"/>
          </w:tcPr>
          <w:p>
            <w:pPr/>
            <w:r>
              <w:t xml:space="preserve">4-bit 7–8B models; batch offline; cache</w:t>
            </w:r>
          </w:p>
        </w:tc>
        <w:tc>
          <w:tcPr>
            <w:tcW w:w="1872" w:type="dxa"/>
          </w:tcPr>
          <w:p>
            <w:pPr/>
            <w:r>
              <w:t xml:space="preserve">Smaller corpus slice for the GraphRAG baseline</w:t>
            </w:r>
          </w:p>
        </w:tc>
      </w:tr>
      <w:tr>
        <w:tc>
          <w:tcPr>
            <w:tcW w:w="1872" w:type="dxa"/>
          </w:tcPr>
          <w:p>
            <w:pPr/>
            <w:r>
              <w:t xml:space="preserve">Source licences restrict redistribution</w:t>
            </w:r>
          </w:p>
        </w:tc>
        <w:tc>
          <w:tcPr>
            <w:tcW w:w="1872" w:type="dxa"/>
          </w:tcPr>
          <w:p>
            <w:pPr/>
            <w:r>
              <w:t xml:space="preserve">Medium</w:t>
            </w:r>
          </w:p>
        </w:tc>
        <w:tc>
          <w:tcPr>
            <w:tcW w:w="1872" w:type="dxa"/>
          </w:tcPr>
          <w:p>
            <w:pPr/>
            <w:r>
              <w:t xml:space="preserve">Low</w:t>
            </w:r>
          </w:p>
        </w:tc>
        <w:tc>
          <w:tcPr>
            <w:tcW w:w="1872" w:type="dxa"/>
          </w:tcPr>
          <w:p>
            <w:pPr/>
            <w:r>
              <w:t xml:space="preserve">Release manifest + scripts, not PDFs, where needed</w:t>
            </w:r>
          </w:p>
        </w:tc>
        <w:tc>
          <w:tcPr>
            <w:tcW w:w="1872" w:type="dxa"/>
          </w:tcPr>
          <w:p>
            <w:pPr/>
            <w:r>
              <w:t xml:space="preserve">Release labels with offsets only</w:t>
            </w:r>
          </w:p>
        </w:tc>
      </w:tr>
      <w:tr>
        <w:tc>
          <w:tcPr>
            <w:tcW w:w="1872" w:type="dxa"/>
          </w:tcPr>
          <w:p>
            <w:pPr/>
            <w:r>
              <w:t xml:space="preserve">Agency imbalance (NASA-heavy; ISRO reports not public)</w:t>
            </w:r>
          </w:p>
        </w:tc>
        <w:tc>
          <w:tcPr>
            <w:tcW w:w="1872" w:type="dxa"/>
          </w:tcPr>
          <w:p>
            <w:pPr/>
            <w:r>
              <w:t xml:space="preserve">High</w:t>
            </w:r>
          </w:p>
        </w:tc>
        <w:tc>
          <w:tcPr>
            <w:tcW w:w="1872" w:type="dxa"/>
          </w:tcPr>
          <w:p>
            <w:pPr/>
            <w:r>
              <w:t xml:space="preserve">Medium</w:t>
            </w:r>
          </w:p>
        </w:tc>
        <w:tc>
          <w:tcPr>
            <w:tcW w:w="1872" w:type="dxa"/>
          </w:tcPr>
          <w:p>
            <w:pPr/>
            <w:r>
              <w:t xml:space="preserve">State it; no cross-agency generalisation claims</w:t>
            </w:r>
          </w:p>
        </w:tc>
        <w:tc>
          <w:tcPr>
            <w:tcW w:w="1872" w:type="dxa"/>
          </w:tcPr>
          <w:p>
            <w:pPr/>
            <w:r>
              <w:t xml:space="preserve">—</w:t>
            </w:r>
          </w:p>
        </w:tc>
      </w:tr>
      <w:tr>
        <w:tc>
          <w:tcPr>
            <w:tcW w:w="1872" w:type="dxa"/>
          </w:tcPr>
          <w:p>
            <w:pPr/>
            <w:r>
              <w:t xml:space="preserve">Small test set gives low statistical power</w:t>
            </w:r>
          </w:p>
        </w:tc>
        <w:tc>
          <w:tcPr>
            <w:tcW w:w="1872" w:type="dxa"/>
          </w:tcPr>
          <w:p>
            <w:pPr/>
            <w:r>
              <w:t xml:space="preserve">High</w:t>
            </w:r>
          </w:p>
        </w:tc>
        <w:tc>
          <w:tcPr>
            <w:tcW w:w="1872" w:type="dxa"/>
          </w:tcPr>
          <w:p>
            <w:pPr/>
            <w:r>
              <w:t xml:space="preserve">Medium</w:t>
            </w:r>
          </w:p>
        </w:tc>
        <w:tc>
          <w:tcPr>
            <w:tcW w:w="1872" w:type="dxa"/>
          </w:tcPr>
          <w:p>
            <w:pPr/>
            <w:r>
              <w:t xml:space="preserve">Paired tests, CIs, effect sizes; primary metrics fixed in advance</w:t>
            </w:r>
          </w:p>
        </w:tc>
        <w:tc>
          <w:tcPr>
            <w:tcW w:w="1872" w:type="dxa"/>
          </w:tcPr>
          <w:p>
            <w:pPr/>
            <w:r>
              <w:t xml:space="preserve">Report as directional evidence</w:t>
            </w:r>
          </w:p>
        </w:tc>
      </w:tr>
    </w:tbl>
    <w:p>
      <w:pPr/>
      <w:r>
        <w:t xml:space="preserve">Threats to validity are reported in the paper under internal (tuning leakage, single-site annotation), external (one domain, NASA-heavy) and construct (do analogy grades capture "causal similarity"?) headings.</w:t>
      </w:r>
    </w:p>
    <w:p>
      <w:pPr>
        <w:pStyle w:val="Heading2"/>
      </w:pPr>
      <w:r>
        <w:t xml:space="preserve">18. Future-work directions</w:t>
      </w:r>
    </w:p>
    <w:p>
      <w:pPr/>
      <w:r>
        <w:t xml:space="preserve">The base paper's two stated directions split cleanly. Graph-based reasoning is taken into scope now. Integrating formal regulations has no direct spaceflight analogue in this project, but standards-linked recommendations are a natural successor.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Direction</w:t>
            </w:r>
          </w:p>
        </w:tc>
        <w:tc>
          <w:tcPr>
            <w:tcW w:w="2340" w:type="dxa"/>
            <w:shd w:val="clear" w:color="auto" w:fill="F2F2F2"/>
          </w:tcPr>
          <w:p>
            <w:pPr/>
            <w:r>
              <w:t xml:space="preserve">Source</w:t>
            </w:r>
          </w:p>
        </w:tc>
        <w:tc>
          <w:tcPr>
            <w:tcW w:w="2340" w:type="dxa"/>
            <w:shd w:val="clear" w:color="auto" w:fill="F2F2F2"/>
          </w:tcPr>
          <w:p>
            <w:pPr/>
            <w:r>
              <w:t xml:space="preserve">Fit</w:t>
            </w:r>
          </w:p>
        </w:tc>
        <w:tc>
          <w:tcPr>
            <w:tcW w:w="2340" w:type="dxa"/>
            <w:shd w:val="clear" w:color="auto" w:fill="F2F2F2"/>
          </w:tcPr>
          <w:p>
            <w:pPr/>
            <w:r>
              <w:t xml:space="preserve">Scope</w:t>
            </w:r>
          </w:p>
        </w:tc>
      </w:tr>
      <w:tr>
        <w:tc>
          <w:tcPr>
            <w:tcW w:w="2340" w:type="dxa"/>
          </w:tcPr>
          <w:p>
            <w:pPr/>
            <w:r>
              <w:t xml:space="preserve">Graph-based reasoning over precedents</w:t>
            </w:r>
          </w:p>
        </w:tc>
        <w:tc>
          <w:tcPr>
            <w:tcW w:w="2340" w:type="dxa"/>
          </w:tcPr>
          <w:p>
            <w:pPr/>
            <w:r>
              <w:t xml:space="preserve">[1] future work</w:t>
            </w:r>
          </w:p>
        </w:tc>
        <w:tc>
          <w:tcPr>
            <w:tcW w:w="2340" w:type="dxa"/>
          </w:tcPr>
          <w:p>
            <w:pPr/>
            <w:r>
              <w:t xml:space="preserve">Core of C3</w:t>
            </w:r>
          </w:p>
        </w:tc>
        <w:tc>
          <w:tcPr>
            <w:tcW w:w="2340" w:type="dxa"/>
          </w:tcPr>
          <w:p>
            <w:pPr/>
            <w:r>
              <w:rPr>
                <w:b/>
              </w:rPr>
              <w:t xml:space="preserve">In scope</w:t>
            </w:r>
          </w:p>
        </w:tc>
      </w:tr>
      <w:tr>
        <w:tc>
          <w:tcPr>
            <w:tcW w:w="2340" w:type="dxa"/>
          </w:tcPr>
          <w:p>
            <w:pPr/>
            <w:r>
              <w:t xml:space="preserve">Uncertainty-aware evaluation</w:t>
            </w:r>
          </w:p>
        </w:tc>
        <w:tc>
          <w:tcPr>
            <w:tcW w:w="2340" w:type="dxa"/>
          </w:tcPr>
          <w:p>
            <w:pPr/>
            <w:r>
              <w:t xml:space="preserve">[1] discussion</w:t>
            </w:r>
          </w:p>
        </w:tc>
        <w:tc>
          <w:tcPr>
            <w:tcW w:w="2340" w:type="dxa"/>
          </w:tcPr>
          <w:p>
            <w:pPr/>
            <w:r>
              <w:t xml:space="preserve">Abstention and selective accuracy only</w:t>
            </w:r>
          </w:p>
        </w:tc>
        <w:tc>
          <w:tcPr>
            <w:tcW w:w="2340" w:type="dxa"/>
          </w:tcPr>
          <w:p>
            <w:pPr/>
            <w:r>
              <w:rPr>
                <w:b/>
              </w:rPr>
              <w:t xml:space="preserve">Partly in scope</w:t>
            </w:r>
          </w:p>
        </w:tc>
      </w:tr>
      <w:tr>
        <w:tc>
          <w:tcPr>
            <w:tcW w:w="2340" w:type="dxa"/>
          </w:tcPr>
          <w:p>
            <w:pPr/>
            <w:r>
              <w:t xml:space="preserve">Better relationship extraction; hybrid retrieval</w:t>
            </w:r>
          </w:p>
        </w:tc>
        <w:tc>
          <w:tcPr>
            <w:tcW w:w="2340" w:type="dxa"/>
          </w:tcPr>
          <w:p>
            <w:pPr/>
            <w:r>
              <w:t xml:space="preserve">arXiv 2604.13101 (aviation GraphRAG preprint; venue unconfirmed)</w:t>
            </w:r>
          </w:p>
        </w:tc>
        <w:tc>
          <w:tcPr>
            <w:tcW w:w="2340" w:type="dxa"/>
          </w:tcPr>
          <w:p>
            <w:pPr/>
            <w:r>
              <w:t xml:space="preserve">Addressed by M4 and M5</w:t>
            </w:r>
          </w:p>
        </w:tc>
        <w:tc>
          <w:tcPr>
            <w:tcW w:w="2340" w:type="dxa"/>
          </w:tcPr>
          <w:p>
            <w:pPr/>
            <w:r>
              <w:rPr>
                <w:b/>
              </w:rPr>
              <w:t xml:space="preserve">In scope</w:t>
            </w:r>
          </w:p>
        </w:tc>
      </w:tr>
      <w:tr>
        <w:tc>
          <w:tcPr>
            <w:tcW w:w="2340" w:type="dxa"/>
          </w:tcPr>
          <w:p>
            <w:pPr/>
            <w:r>
              <w:t xml:space="preserve">Linking factors to standards and requirements (e.g. NASA or ECSS standards), the analogue of [1]'s COLREGs idea</w:t>
            </w:r>
          </w:p>
        </w:tc>
        <w:tc>
          <w:tcPr>
            <w:tcW w:w="2340" w:type="dxa"/>
          </w:tcPr>
          <w:p>
            <w:pPr/>
            <w:r>
              <w:t xml:space="preserve">[1] future work, adapted</w:t>
            </w:r>
          </w:p>
        </w:tc>
        <w:tc>
          <w:tcPr>
            <w:tcW w:w="2340" w:type="dxa"/>
          </w:tcPr>
          <w:p>
            <w:pPr/>
            <w:r>
              <w:t xml:space="preserve">Recommendation → standard edges</w:t>
            </w:r>
          </w:p>
        </w:tc>
        <w:tc>
          <w:tcPr>
            <w:tcW w:w="2340" w:type="dxa"/>
          </w:tcPr>
          <w:p>
            <w:pPr/>
            <w:r>
              <w:t xml:space="preserve">Future</w:t>
            </w:r>
          </w:p>
        </w:tc>
      </w:tr>
      <w:tr>
        <w:tc>
          <w:tcPr>
            <w:tcW w:w="2340" w:type="dxa"/>
          </w:tcPr>
          <w:p>
            <w:pPr/>
            <w:r>
              <w:t xml:space="preserve">Second domain (NTSB aviation or NASA lessons-learned records) to test generalisation</w:t>
            </w:r>
          </w:p>
        </w:tc>
        <w:tc>
          <w:tcPr>
            <w:tcW w:w="2340" w:type="dxa"/>
          </w:tcPr>
          <w:p>
            <w:pPr/>
            <w:r>
              <w:t xml:space="preserve">Reviewer expectation for a journal</w:t>
            </w:r>
          </w:p>
        </w:tc>
        <w:tc>
          <w:tcPr>
            <w:tcW w:w="2340" w:type="dxa"/>
          </w:tcPr>
          <w:p>
            <w:pPr/>
            <w:r>
              <w:t xml:space="preserve">Needed for an IEEE Access-level extension</w:t>
            </w:r>
          </w:p>
        </w:tc>
        <w:tc>
          <w:tcPr>
            <w:tcW w:w="2340" w:type="dxa"/>
          </w:tcPr>
          <w:p>
            <w:pPr/>
            <w:r>
              <w:t xml:space="preserve">Future</w:t>
            </w:r>
          </w:p>
        </w:tc>
      </w:tr>
      <w:tr>
        <w:tc>
          <w:tcPr>
            <w:tcW w:w="2340" w:type="dxa"/>
          </w:tcPr>
          <w:p>
            <w:pPr/>
            <w:r>
              <w:t xml:space="preserve">Fine-tuned domain extractor (e.g. continued pretraining of a SafeAeroBERT-style encoder [26])</w:t>
            </w:r>
          </w:p>
        </w:tc>
        <w:tc>
          <w:tcPr>
            <w:tcW w:w="2340" w:type="dxa"/>
          </w:tcPr>
          <w:p>
            <w:pPr/>
            <w:r>
              <w:t xml:space="preserve">[25], [26]</w:t>
            </w:r>
          </w:p>
        </w:tc>
        <w:tc>
          <w:tcPr>
            <w:tcW w:w="2340" w:type="dxa"/>
          </w:tcPr>
          <w:p>
            <w:pPr/>
            <w:r>
              <w:t xml:space="preserve">Requires more labels than D1</w:t>
            </w:r>
          </w:p>
        </w:tc>
        <w:tc>
          <w:tcPr>
            <w:tcW w:w="2340" w:type="dxa"/>
          </w:tcPr>
          <w:p>
            <w:pPr/>
            <w:r>
              <w:t xml:space="preserve">Future</w:t>
            </w:r>
          </w:p>
        </w:tc>
      </w:tr>
      <w:tr>
        <w:tc>
          <w:tcPr>
            <w:tcW w:w="2340" w:type="dxa"/>
          </w:tcPr>
          <w:p>
            <w:pPr/>
            <w:r>
              <w:t xml:space="preserve">STAMP/CAST control-structure generation from reports</w:t>
            </w:r>
          </w:p>
        </w:tc>
        <w:tc>
          <w:tcPr>
            <w:tcW w:w="2340" w:type="dxa"/>
          </w:tcPr>
          <w:p>
            <w:pPr/>
            <w:r>
              <w:t xml:space="preserve">[28]</w:t>
            </w:r>
          </w:p>
        </w:tc>
        <w:tc>
          <w:tcPr>
            <w:tcW w:w="2340" w:type="dxa"/>
          </w:tcPr>
          <w:p>
            <w:pPr/>
            <w:r>
              <w:t xml:space="preserve">Research-grade; hard to evaluate</w:t>
            </w:r>
          </w:p>
        </w:tc>
        <w:tc>
          <w:tcPr>
            <w:tcW w:w="2340" w:type="dxa"/>
          </w:tcPr>
          <w:p>
            <w:pPr/>
            <w:r>
              <w:t xml:space="preserve">Future</w:t>
            </w:r>
          </w:p>
        </w:tc>
      </w:tr>
      <w:tr>
        <w:tc>
          <w:tcPr>
            <w:tcW w:w="2340" w:type="dxa"/>
          </w:tcPr>
          <w:p>
            <w:pPr/>
            <w:r>
              <w:t xml:space="preserve">Multimodal evidence (figures, tables, telemetry plots)</w:t>
            </w:r>
          </w:p>
        </w:tc>
        <w:tc>
          <w:tcPr>
            <w:tcW w:w="2340" w:type="dxa"/>
          </w:tcPr>
          <w:p>
            <w:pPr/>
            <w:r>
              <w:t xml:space="preserve">2604.13101 limitation</w:t>
            </w:r>
          </w:p>
        </w:tc>
        <w:tc>
          <w:tcPr>
            <w:tcW w:w="2340" w:type="dxa"/>
          </w:tcPr>
          <w:p>
            <w:pPr/>
            <w:r>
              <w:t xml:space="preserve">High value, high cost</w:t>
            </w:r>
          </w:p>
        </w:tc>
        <w:tc>
          <w:tcPr>
            <w:tcW w:w="2340" w:type="dxa"/>
          </w:tcPr>
          <w:p>
            <w:pPr/>
            <w:r>
              <w:t xml:space="preserve">Future</w:t>
            </w:r>
          </w:p>
        </w:tc>
      </w:tr>
      <w:tr>
        <w:tc>
          <w:tcPr>
            <w:tcW w:w="2340" w:type="dxa"/>
          </w:tcPr>
          <w:p>
            <w:pPr/>
            <w:r>
              <w:t xml:space="preserve">User study with practising investigators</w:t>
            </w:r>
          </w:p>
        </w:tc>
        <w:tc>
          <w:tcPr>
            <w:tcW w:w="2340" w:type="dxa"/>
          </w:tcPr>
          <w:p>
            <w:pPr/>
            <w:r>
              <w:t xml:space="preserve">Construct validity</w:t>
            </w:r>
          </w:p>
        </w:tc>
        <w:tc>
          <w:tcPr>
            <w:tcW w:w="2340" w:type="dxa"/>
          </w:tcPr>
          <w:p>
            <w:pPr/>
            <w:r>
              <w:t xml:space="preserve">Needs institutional access</w:t>
            </w:r>
          </w:p>
        </w:tc>
        <w:tc>
          <w:tcPr>
            <w:tcW w:w="2340" w:type="dxa"/>
          </w:tcPr>
          <w:p>
            <w:pPr/>
            <w:r>
              <w:t xml:space="preserve">Future</w:t>
            </w:r>
          </w:p>
        </w:tc>
      </w:tr>
      <w:tr>
        <w:tc>
          <w:tcPr>
            <w:tcW w:w="2340" w:type="dxa"/>
          </w:tcPr>
          <w:p>
            <w:pPr/>
            <w:r>
              <w:t xml:space="preserve">Robustness to corpus poisoning in shared-relation graphs</w:t>
            </w:r>
          </w:p>
        </w:tc>
        <w:tc>
          <w:tcPr>
            <w:tcW w:w="2340" w:type="dxa"/>
          </w:tcPr>
          <w:p>
            <w:pPr/>
            <w:r>
              <w:t xml:space="preserve">GraphRAG Under Fire [4]</w:t>
            </w:r>
          </w:p>
        </w:tc>
        <w:tc>
          <w:tcPr>
            <w:tcW w:w="2340" w:type="dxa"/>
          </w:tcPr>
          <w:p>
            <w:pPr/>
            <w:r>
              <w:t xml:space="preserve">Security angle for deployed systems</w:t>
            </w:r>
          </w:p>
        </w:tc>
        <w:tc>
          <w:tcPr>
            <w:tcW w:w="2340" w:type="dxa"/>
          </w:tcPr>
          <w:p>
            <w:pPr/>
            <w:r>
              <w:t xml:space="preserve">Future</w:t>
            </w:r>
          </w:p>
        </w:tc>
      </w:tr>
    </w:tbl>
    <w:p>
      <w:pPr>
        <w:pStyle w:val="Heading2"/>
      </w:pPr>
      <w:r>
        <w:t xml:space="preserve">19. Stage-wise implementation roadmap</w:t>
      </w:r>
    </w:p>
    <w:p>
      <w:pPr/>
      <w:r>
        <w:drawing>
          <wp:inline distT="0" distB="0" distL="0" distR="0">
            <wp:extent cx="5486400" cy="2735035"/>
            <wp:docPr id="2" name="image2" descr="Stage plan · planning estimate, weeks after proposal approval"/>
            <a:graphic xmlns:a="http://schemas.openxmlformats.org/drawingml/2006/main">
              <a:graphicData uri="http://schemas.openxmlformats.org/drawingml/2006/picture">
                <pic:pic xmlns:pic="http://schemas.openxmlformats.org/drawingml/2006/picture">
                  <pic:nvPicPr>
                    <pic:cNvPr id="2" name="image2" descr="Stage plan · planning estimate, weeks after proposal approval"/>
                    <pic:cNvPicPr/>
                  </pic:nvPicPr>
                  <pic:blipFill>
                    <a:blip r:embed="rId4"/>
                    <a:stretch>
                      <a:fillRect/>
                    </a:stretch>
                  </pic:blipFill>
                  <pic:spPr>
                    <a:xfrm>
                      <a:off x="0" y="0"/>
                      <a:ext cx="5486400" cy="2735035"/>
                    </a:xfrm>
                    <a:prstGeom prst="rect">
                      <a:avLst/>
                    </a:prstGeom>
                  </pic:spPr>
                </pic:pic>
              </a:graphicData>
            </a:graphic>
          </wp:inline>
        </w:drawing>
      </w:r>
    </w:p>
    <w:p>
      <w:pPr/>
      <w:r>
        <w:t xml:space="preserve">Stage plan · planning estimate, weeks after proposal approval</w:t>
      </w:r>
    </w:p>
    <w:p>
      <w:pPr/>
      <w:r>
        <w:t xml:space="preserve">Only one stage is active at a time for decisions. Overlap is limited to preparation work, such as writing the annotation guideline during S2. Each gate produces a short stage report (what was done, acceptance check, unresolved issues), and the next stage starts only after your explicit approval.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Objective and key tasks</w:t>
            </w:r>
          </w:p>
        </w:tc>
        <w:tc>
          <w:tcPr>
            <w:tcW w:w="1872" w:type="dxa"/>
            <w:shd w:val="clear" w:color="auto" w:fill="F2F2F2"/>
          </w:tcPr>
          <w:p>
            <w:pPr/>
            <w:r>
              <w:t xml:space="preserve">Deliverables</w:t>
            </w:r>
          </w:p>
        </w:tc>
        <w:tc>
          <w:tcPr>
            <w:tcW w:w="1872" w:type="dxa"/>
            <w:shd w:val="clear" w:color="auto" w:fill="F2F2F2"/>
          </w:tcPr>
          <w:p>
            <w:pPr/>
            <w:r>
              <w:t xml:space="preserve">Acceptance criteria (checked at gate)</w:t>
            </w:r>
          </w:p>
        </w:tc>
        <w:tc>
          <w:tcPr>
            <w:tcW w:w="1872" w:type="dxa"/>
            <w:shd w:val="clear" w:color="auto" w:fill="F2F2F2"/>
          </w:tcPr>
          <w:p>
            <w:pPr/>
            <w:r>
              <w:t xml:space="preserve">Main risk → corrective action</w:t>
            </w:r>
          </w:p>
        </w:tc>
      </w:tr>
      <w:tr>
        <w:tc>
          <w:tcPr>
            <w:tcW w:w="1872" w:type="dxa"/>
          </w:tcPr>
          <w:p>
            <w:pPr/>
            <w:r>
              <w:t xml:space="preserve">S1 Repair + baseline</w:t>
            </w:r>
          </w:p>
        </w:tc>
        <w:tc>
          <w:tcPr>
            <w:tcW w:w="1872" w:type="dxa"/>
          </w:tcPr>
          <w:p>
            <w:pPr/>
            <w:r>
              <w:t xml:space="preserve">Restore </w:t>
            </w:r>
            <w:r>
              <w:rPr>
                <w:rStyle w:val="CodeChar"/>
              </w:rPr>
              <w:t xml:space="preserve">GraphRAGRetriever</w:t>
            </w:r>
            <w:r>
              <w:t xml:space="preserve">; fix </w:t>
            </w:r>
            <w:r>
              <w:rPr>
                <w:rStyle w:val="CodeChar"/>
              </w:rPr>
              <w:t xml:space="preserve">run_eval.py</w:t>
            </w:r>
            <w:r>
              <w:t xml:space="preserve">; package (</w:t>
            </w:r>
            <w:r>
              <w:rPr>
                <w:rStyle w:val="CodeChar"/>
              </w:rPr>
              <w:t xml:space="preserve">pyproject</w:t>
            </w:r>
            <w:r>
              <w:t xml:space="preserve">, lock file); env-only secrets; config + seeds; pytest; one end-to-end run on the current corpus; measure LLM throughput</w:t>
            </w:r>
          </w:p>
        </w:tc>
        <w:tc>
          <w:tcPr>
            <w:tcW w:w="1872" w:type="dxa"/>
          </w:tcPr>
          <w:p>
            <w:pPr/>
            <w:r>
              <w:t xml:space="preserve">Working pipeline; run log; measured B4 cost figures</w:t>
            </w:r>
          </w:p>
        </w:tc>
        <w:tc>
          <w:tcPr>
            <w:tcW w:w="1872" w:type="dxa"/>
          </w:tcPr>
          <w:p>
            <w:pPr/>
            <w:r>
              <w:t xml:space="preserve">One command rebuilds the index and answers a query; tests pass; run artefacts saved; throughput replaces the Section 20 estimates</w:t>
            </w:r>
          </w:p>
        </w:tc>
        <w:tc>
          <w:tcPr>
            <w:tcW w:w="1872" w:type="dxa"/>
          </w:tcPr>
          <w:p>
            <w:pPr/>
            <w:r>
              <w:t xml:space="preserve">Neo4j/Ollama environment issues → Docker compose file</w:t>
            </w:r>
          </w:p>
        </w:tc>
      </w:tr>
      <w:tr>
        <w:tc>
          <w:tcPr>
            <w:tcW w:w="1872" w:type="dxa"/>
          </w:tcPr>
          <w:p>
            <w:pPr/>
            <w:r>
              <w:t xml:space="preserve">S2 Corpus + parsing</w:t>
            </w:r>
          </w:p>
        </w:tc>
        <w:tc>
          <w:tcPr>
            <w:tcW w:w="1872" w:type="dxa"/>
          </w:tcPr>
          <w:p>
            <w:pPr/>
            <w:r>
              <w:t xml:space="preserve">Verify candidate reports; manifest with SHA-256; NFKC; page-aware, section-aware parsing; pseudo-fields; OCR CER sampling</w:t>
            </w:r>
          </w:p>
        </w:tc>
        <w:tc>
          <w:tcPr>
            <w:tcW w:w="1872" w:type="dxa"/>
          </w:tcPr>
          <w:p>
            <w:pPr/>
            <w:r>
              <w:rPr>
                <w:rStyle w:val="CodeChar"/>
              </w:rPr>
              <w:t xml:space="preserve">manifest.yaml</w:t>
            </w:r>
            <w:r>
              <w:t xml:space="preserve">; </w:t>
            </w:r>
            <w:r>
              <w:rPr>
                <w:rStyle w:val="CodeChar"/>
              </w:rPr>
              <w:t xml:space="preserve">passages.jsonl</w:t>
            </w:r>
            <w:r>
              <w:t xml:space="preserve">; parsing report</w:t>
            </w:r>
          </w:p>
        </w:tc>
        <w:tc>
          <w:tcPr>
            <w:tcW w:w="1872" w:type="dxa"/>
          </w:tcPr>
          <w:p>
            <w:pPr/>
            <w:r>
              <w:t xml:space="preserve">≥ 25 missions (or a documented shortfall); pseudo-field accuracy ≥ 90% on a 100-section sample; every passage has doc+page</w:t>
            </w:r>
          </w:p>
        </w:tc>
        <w:tc>
          <w:tcPr>
            <w:tcW w:w="1872" w:type="dxa"/>
          </w:tcPr>
          <w:p>
            <w:pPr/>
            <w:r>
              <w:t xml:space="preserve">Too few reports → include official summaries; reduce scope claim</w:t>
            </w:r>
          </w:p>
        </w:tc>
      </w:tr>
      <w:tr>
        <w:tc>
          <w:tcPr>
            <w:tcW w:w="1872" w:type="dxa"/>
          </w:tcPr>
          <w:p>
            <w:pPr/>
            <w:r>
              <w:t xml:space="preserve">S3 Taxonomy + annotation</w:t>
            </w:r>
          </w:p>
        </w:tc>
        <w:tc>
          <w:tcPr>
            <w:tcW w:w="1872" w:type="dxa"/>
          </w:tcPr>
          <w:p>
            <w:pPr/>
            <w:r>
              <w:t xml:space="preserve">Freeze schema/taxonomy (supervisor sign-off); write guidelines; pilot; label D1–D3; second annotator on ≥ 25%</w:t>
            </w:r>
          </w:p>
        </w:tc>
        <w:tc>
          <w:tcPr>
            <w:tcW w:w="1872" w:type="dxa"/>
          </w:tcPr>
          <w:p>
            <w:pPr/>
            <w:r>
              <w:t xml:space="preserve">Guidelines; D1, D2, D3; agreement report; dev/test split</w:t>
            </w:r>
          </w:p>
        </w:tc>
        <w:tc>
          <w:tcPr>
            <w:tcW w:w="1872" w:type="dxa"/>
          </w:tcPr>
          <w:p>
            <w:pPr/>
            <w:r>
              <w:t xml:space="preserve">κ/α reported for all sets (target ≥ 0.6); test set frozen and hashed before S4 tuning</w:t>
            </w:r>
          </w:p>
        </w:tc>
        <w:tc>
          <w:tcPr>
            <w:tcW w:w="1872" w:type="dxa"/>
          </w:tcPr>
          <w:p>
            <w:pPr/>
            <w:r>
              <w:t xml:space="preserve">Low agreement → one guideline revision; fall back to L1</w:t>
            </w:r>
          </w:p>
        </w:tc>
      </w:tr>
      <w:tr>
        <w:tc>
          <w:tcPr>
            <w:tcW w:w="1872" w:type="dxa"/>
          </w:tcPr>
          <w:p>
            <w:pPr/>
            <w:r>
              <w:t xml:space="preserve">S4 Verified extraction + KG</w:t>
            </w:r>
          </w:p>
        </w:tc>
        <w:tc>
          <w:tcPr>
            <w:tcW w:w="1872" w:type="dxa"/>
          </w:tcPr>
          <w:p>
            <w:pPr/>
            <w:r>
              <w:t xml:space="preserve">Schema-constrained extraction; span check; NLI check; canonicaliser; graph load</w:t>
            </w:r>
          </w:p>
        </w:tc>
        <w:tc>
          <w:tcPr>
            <w:tcW w:w="1872" w:type="dxa"/>
          </w:tcPr>
          <w:p>
            <w:pPr/>
            <w:r>
              <w:rPr>
                <w:rStyle w:val="CodeChar"/>
              </w:rPr>
              <w:t xml:space="preserve">verified.jsonl</w:t>
            </w:r>
            <w:r>
              <w:t xml:space="preserve">, </w:t>
            </w:r>
            <w:r>
              <w:rPr>
                <w:rStyle w:val="CodeChar"/>
              </w:rPr>
              <w:t xml:space="preserve">rejected.jsonl</w:t>
            </w:r>
            <w:r>
              <w:t xml:space="preserve">; Neo4j graph; RQ1 dev results</w:t>
            </w:r>
          </w:p>
        </w:tc>
        <w:tc>
          <w:tcPr>
            <w:tcW w:w="1872" w:type="dxa"/>
          </w:tcPr>
          <w:p>
            <w:pPr/>
            <w:r>
              <w:t xml:space="preserve">Every edge has a resolvable evidence span; RQ1 measured on dev with all four extractor variants</w:t>
            </w:r>
          </w:p>
        </w:tc>
        <w:tc>
          <w:tcPr>
            <w:tcW w:w="1872" w:type="dxa"/>
          </w:tcPr>
          <w:p>
            <w:pPr/>
            <w:r>
              <w:t xml:space="preserve">Recall collapse → tune thresholds on dev; span-only variant</w:t>
            </w:r>
          </w:p>
        </w:tc>
      </w:tr>
      <w:tr>
        <w:tc>
          <w:tcPr>
            <w:tcW w:w="1872" w:type="dxa"/>
          </w:tcPr>
          <w:p>
            <w:pPr/>
            <w:r>
              <w:t xml:space="preserve">S5 Retrieval + baselines</w:t>
            </w:r>
          </w:p>
        </w:tc>
        <w:tc>
          <w:tcPr>
            <w:tcW w:w="1872" w:type="dxa"/>
          </w:tcPr>
          <w:p>
            <w:pPr/>
            <w:r>
              <w:t xml:space="preserve">Implement B0–B5 and P; router; citation-constrained generation; citation verifier; logging</w:t>
            </w:r>
          </w:p>
        </w:tc>
        <w:tc>
          <w:tcPr>
            <w:tcW w:w="1872" w:type="dxa"/>
          </w:tcPr>
          <w:p>
            <w:pPr/>
            <w:r>
              <w:t xml:space="preserve">All systems runnable from config; dev results</w:t>
            </w:r>
          </w:p>
        </w:tc>
        <w:tc>
          <w:tcPr>
            <w:tcW w:w="1872" w:type="dxa"/>
          </w:tcPr>
          <w:p>
            <w:pPr/>
            <w:r>
              <w:t xml:space="preserve">Fairness controls in Section 13 verified by config diff; all systems tuned on dev with equal budget</w:t>
            </w:r>
          </w:p>
        </w:tc>
        <w:tc>
          <w:tcPr>
            <w:tcW w:w="1872" w:type="dxa"/>
          </w:tcPr>
          <w:p>
            <w:pPr/>
            <w:r>
              <w:t xml:space="preserve">LightRAG cost → subset run, reported as such</w:t>
            </w:r>
          </w:p>
        </w:tc>
      </w:tr>
      <w:tr>
        <w:tc>
          <w:tcPr>
            <w:tcW w:w="1872" w:type="dxa"/>
          </w:tcPr>
          <w:p>
            <w:pPr/>
            <w:r>
              <w:t xml:space="preserve">S6 Experiments + statistics</w:t>
            </w:r>
          </w:p>
        </w:tc>
        <w:tc>
          <w:tcPr>
            <w:tcW w:w="1872" w:type="dxa"/>
          </w:tcPr>
          <w:p>
            <w:pPr/>
            <w:r>
              <w:t xml:space="preserve">Single test-set run; ablations; bootstrap/permutation tests; judge and proxy validation; error analysis</w:t>
            </w:r>
          </w:p>
        </w:tc>
        <w:tc>
          <w:tcPr>
            <w:tcW w:w="1872" w:type="dxa"/>
          </w:tcPr>
          <w:p>
            <w:pPr/>
            <w:r>
              <w:t xml:space="preserve">Results tables regenerated from logs; analysis notebook</w:t>
            </w:r>
          </w:p>
        </w:tc>
        <w:tc>
          <w:tcPr>
            <w:tcW w:w="1872" w:type="dxa"/>
          </w:tcPr>
          <w:p>
            <w:pPr/>
            <w:r>
              <w:t xml:space="preserve">Pre-registered primary comparisons reported with CIs, whatever the direction; no post-hoc metric switching</w:t>
            </w:r>
          </w:p>
        </w:tc>
        <w:tc>
          <w:tcPr>
            <w:tcW w:w="1872" w:type="dxa"/>
          </w:tcPr>
          <w:p>
            <w:pPr/>
            <w:r>
              <w:t xml:space="preserve">Null result → report as C4 finding</w:t>
            </w:r>
          </w:p>
        </w:tc>
      </w:tr>
      <w:tr>
        <w:tc>
          <w:tcPr>
            <w:tcW w:w="1872" w:type="dxa"/>
          </w:tcPr>
          <w:p>
            <w:pPr/>
            <w:r>
              <w:t xml:space="preserve">S7 Paper + release</w:t>
            </w:r>
          </w:p>
        </w:tc>
        <w:tc>
          <w:tcPr>
            <w:tcW w:w="1872" w:type="dxa"/>
          </w:tcPr>
          <w:p>
            <w:pPr/>
            <w:r>
              <w:t xml:space="preserve">Venue choice; IEEE template draft; threats to validity; artefact packaging; demo</w:t>
            </w:r>
          </w:p>
        </w:tc>
        <w:tc>
          <w:tcPr>
            <w:tcW w:w="1872" w:type="dxa"/>
          </w:tcPr>
          <w:p>
            <w:pPr/>
            <w:r>
              <w:t xml:space="preserve">Paper draft; repository release; demo</w:t>
            </w:r>
          </w:p>
        </w:tc>
        <w:tc>
          <w:tcPr>
            <w:tcW w:w="1872" w:type="dxa"/>
          </w:tcPr>
          <w:p>
            <w:pPr/>
            <w:r>
              <w:t xml:space="preserve">Every number in the paper traced to a logged run; claims match Section 15 conditions; supervisor review</w:t>
            </w:r>
          </w:p>
        </w:tc>
        <w:tc>
          <w:tcPr>
            <w:tcW w:w="1872" w:type="dxa"/>
          </w:tcPr>
          <w:p>
            <w:pPr/>
            <w:r>
              <w:t xml:space="preserve">Page limit → move detail to an appendix or repository</w:t>
            </w:r>
          </w:p>
        </w:tc>
      </w:tr>
    </w:tbl>
    <w:p>
      <w:pPr>
        <w:pStyle w:val="Heading2"/>
      </w:pPr>
      <w:r>
        <w:t xml:space="preserve">20. Estimated computational resources and requirements</w:t>
      </w:r>
    </w:p>
    <w:p>
      <w:pPr/>
      <w:r>
        <w:t xml:space="preserve">The whole study is planned to fit the existing laptop: an RTX 4060 Laptop GPU with 8 GB VRAM, CUDA available (verified). It needs no paid API, which also makes it reproducible. All figures below are </w:t>
      </w:r>
      <w:r>
        <w:rPr>
          <w:b/>
        </w:rPr>
        <w:t xml:space="preserve">planning estimates, not measurements</w:t>
      </w:r>
      <w:r>
        <w:t xml:space="preserve">. Stage 1 replaces them with measured throughput.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Estimate</w:t>
            </w:r>
          </w:p>
        </w:tc>
        <w:tc>
          <w:tcPr>
            <w:tcW w:w="3120" w:type="dxa"/>
            <w:shd w:val="clear" w:color="auto" w:fill="F2F2F2"/>
          </w:tcPr>
          <w:p>
            <w:pPr/>
            <w:r>
              <w:t xml:space="preserve">Basis (assumption)</w:t>
            </w:r>
          </w:p>
        </w:tc>
      </w:tr>
      <w:tr>
        <w:tc>
          <w:tcPr>
            <w:tcW w:w="3120" w:type="dxa"/>
          </w:tcPr>
          <w:p>
            <w:pPr/>
            <w:r>
              <w:t xml:space="preserve">Corpus size</w:t>
            </w:r>
          </w:p>
        </w:tc>
        <w:tc>
          <w:tcPr>
            <w:tcW w:w="3120" w:type="dxa"/>
          </w:tcPr>
          <w:p>
            <w:pPr/>
            <w:r>
              <w:t xml:space="preserve">~0.8–1.5 M words (25–35 reports)</w:t>
            </w:r>
          </w:p>
        </w:tc>
        <w:tc>
          <w:tcPr>
            <w:tcW w:w="3120" w:type="dxa"/>
          </w:tcPr>
          <w:p>
            <w:pPr/>
            <w:r>
              <w:t xml:space="preserve">Current 5 failure reports = 326k words; the remaining reports are mostly shorter</w:t>
            </w:r>
          </w:p>
        </w:tc>
      </w:tr>
      <w:tr>
        <w:tc>
          <w:tcPr>
            <w:tcW w:w="3120" w:type="dxa"/>
          </w:tcPr>
          <w:p>
            <w:pPr/>
            <w:r>
              <w:t xml:space="preserve">Passages</w:t>
            </w:r>
          </w:p>
        </w:tc>
        <w:tc>
          <w:tcPr>
            <w:tcW w:w="3120" w:type="dxa"/>
          </w:tcPr>
          <w:p>
            <w:pPr/>
            <w:r>
              <w:t xml:space="preserve">~4,000–7,000</w:t>
            </w:r>
          </w:p>
        </w:tc>
        <w:tc>
          <w:tcPr>
            <w:tcW w:w="3120" w:type="dxa"/>
          </w:tcPr>
          <w:p>
            <w:pPr/>
            <w:r>
              <w:t xml:space="preserve">200–300-token passages</w:t>
            </w:r>
          </w:p>
        </w:tc>
      </w:tr>
      <w:tr>
        <w:tc>
          <w:tcPr>
            <w:tcW w:w="3120" w:type="dxa"/>
          </w:tcPr>
          <w:p>
            <w:pPr/>
            <w:r>
              <w:t xml:space="preserve">Embedding (bge-m3, fp16)</w:t>
            </w:r>
          </w:p>
        </w:tc>
        <w:tc>
          <w:tcPr>
            <w:tcW w:w="3120" w:type="dxa"/>
          </w:tcPr>
          <w:p>
            <w:pPr/>
            <w:r>
              <w:t xml:space="preserve">&lt; 1 h per corpus version</w:t>
            </w:r>
          </w:p>
        </w:tc>
        <w:tc>
          <w:tcPr>
            <w:tcW w:w="3120" w:type="dxa"/>
          </w:tcPr>
          <w:p>
            <w:pPr/>
            <w:r>
              <w:t xml:space="preserve">~2.3 GB VRAM; batched</w:t>
            </w:r>
          </w:p>
        </w:tc>
      </w:tr>
      <w:tr>
        <w:tc>
          <w:tcPr>
            <w:tcW w:w="3120" w:type="dxa"/>
          </w:tcPr>
          <w:p>
            <w:pPr/>
            <w:r>
              <w:t xml:space="preserve">LLM extraction (7–8B, 4-bit, ~5 GB VRAM)</w:t>
            </w:r>
          </w:p>
        </w:tc>
        <w:tc>
          <w:tcPr>
            <w:tcW w:w="3120" w:type="dxa"/>
          </w:tcPr>
          <w:p>
            <w:pPr/>
            <w:r>
              <w:t xml:space="preserve">~5–15 GPU-hours per full pass</w:t>
            </w:r>
          </w:p>
        </w:tc>
        <w:tc>
          <w:tcPr>
            <w:tcW w:w="3120" w:type="dxa"/>
          </w:tcPr>
          <w:p>
            <w:pPr/>
            <w:r>
              <w:t xml:space="preserve">Only Analysis/Causes sections (~30–40% of passages); ~200 output tokens each</w:t>
            </w:r>
          </w:p>
        </w:tc>
      </w:tr>
      <w:tr>
        <w:tc>
          <w:tcPr>
            <w:tcW w:w="3120" w:type="dxa"/>
          </w:tcPr>
          <w:p>
            <w:pPr/>
            <w:r>
              <w:t xml:space="preserve">NLI verification</w:t>
            </w:r>
          </w:p>
        </w:tc>
        <w:tc>
          <w:tcPr>
            <w:tcW w:w="3120" w:type="dxa"/>
          </w:tcPr>
          <w:p>
            <w:pPr/>
            <w:r>
              <w:t xml:space="preserve">&lt; 1 h</w:t>
            </w:r>
          </w:p>
        </w:tc>
        <w:tc>
          <w:tcPr>
            <w:tcW w:w="3120" w:type="dxa"/>
          </w:tcPr>
          <w:p>
            <w:pPr/>
            <w:r>
              <w:t xml:space="preserve">Cross-encoder over candidate records</w:t>
            </w:r>
          </w:p>
        </w:tc>
      </w:tr>
      <w:tr>
        <w:tc>
          <w:tcPr>
            <w:tcW w:w="3120" w:type="dxa"/>
          </w:tcPr>
          <w:p>
            <w:pPr/>
            <w:r>
              <w:t xml:space="preserve">LightRAG / GraphRAG indexing</w:t>
            </w:r>
          </w:p>
        </w:tc>
        <w:tc>
          <w:tcPr>
            <w:tcW w:w="3120" w:type="dxa"/>
          </w:tcPr>
          <w:p>
            <w:pPr/>
            <w:r>
              <w:t xml:space="preserve">~5–20 GPU-hours, the largest uncertainty</w:t>
            </w:r>
          </w:p>
        </w:tc>
        <w:tc>
          <w:tcPr>
            <w:tcW w:w="3120" w:type="dxa"/>
          </w:tcPr>
          <w:p>
            <w:pPr/>
            <w:r>
              <w:t xml:space="preserve">LLM-heavy indexing; run on a subset if needed</w:t>
            </w:r>
          </w:p>
        </w:tc>
      </w:tr>
      <w:tr>
        <w:tc>
          <w:tcPr>
            <w:tcW w:w="3120" w:type="dxa"/>
          </w:tcPr>
          <w:p>
            <w:pPr/>
            <w:r>
              <w:t xml:space="preserve">Answer generation</w:t>
            </w:r>
          </w:p>
        </w:tc>
        <w:tc>
          <w:tcPr>
            <w:tcW w:w="3120" w:type="dxa"/>
          </w:tcPr>
          <w:p>
            <w:pPr/>
            <w:r>
              <w:t xml:space="preserve">~7 systems × ~150 questions × 3 seeds ≈ 3,150 calls, ~5–10 h</w:t>
            </w:r>
          </w:p>
        </w:tc>
        <w:tc>
          <w:tcPr>
            <w:tcW w:w="3120" w:type="dxa"/>
          </w:tcPr>
          <w:p>
            <w:pPr/>
            <w:r>
              <w:t xml:space="preserve">Plus ablations of similar size</w:t>
            </w:r>
          </w:p>
        </w:tc>
      </w:tr>
      <w:tr>
        <w:tc>
          <w:tcPr>
            <w:tcW w:w="3120" w:type="dxa"/>
          </w:tcPr>
          <w:p>
            <w:pPr/>
            <w:r>
              <w:t xml:space="preserve">Judge (different family, e.g. Qwen2.5-7B if Llama generates)</w:t>
            </w:r>
          </w:p>
        </w:tc>
        <w:tc>
          <w:tcPr>
            <w:tcW w:w="3120" w:type="dxa"/>
          </w:tcPr>
          <w:p>
            <w:pPr/>
            <w:r>
              <w:t xml:space="preserve">~2–4 h</w:t>
            </w:r>
          </w:p>
        </w:tc>
        <w:tc>
          <w:tcPr>
            <w:tcW w:w="3120" w:type="dxa"/>
          </w:tcPr>
          <w:p>
            <w:pPr/>
            <w:r>
              <w:t xml:space="preserve">One call per answer</w:t>
            </w:r>
          </w:p>
        </w:tc>
      </w:tr>
      <w:tr>
        <w:tc>
          <w:tcPr>
            <w:tcW w:w="3120" w:type="dxa"/>
          </w:tcPr>
          <w:p>
            <w:pPr/>
            <w:r>
              <w:t xml:space="preserve">Storage</w:t>
            </w:r>
          </w:p>
        </w:tc>
        <w:tc>
          <w:tcPr>
            <w:tcW w:w="3120" w:type="dxa"/>
          </w:tcPr>
          <w:p>
            <w:pPr/>
            <w:r>
              <w:t xml:space="preserve">&lt; 5 GB</w:t>
            </w:r>
          </w:p>
        </w:tc>
        <w:tc>
          <w:tcPr>
            <w:tcW w:w="3120" w:type="dxa"/>
          </w:tcPr>
          <w:p>
            <w:pPr/>
            <w:r>
              <w:t xml:space="preserve">PDFs ~0.3–0.5 GB; indices; logs</w:t>
            </w:r>
          </w:p>
        </w:tc>
      </w:tr>
      <w:tr>
        <w:tc>
          <w:tcPr>
            <w:tcW w:w="3120" w:type="dxa"/>
          </w:tcPr>
          <w:p>
            <w:pPr/>
            <w:r>
              <w:t xml:space="preserve">RAM</w:t>
            </w:r>
          </w:p>
        </w:tc>
        <w:tc>
          <w:tcPr>
            <w:tcW w:w="3120" w:type="dxa"/>
          </w:tcPr>
          <w:p>
            <w:pPr/>
            <w:r>
              <w:t xml:space="preserve">≥ 16 GB recommended</w:t>
            </w:r>
          </w:p>
        </w:tc>
        <w:tc>
          <w:tcPr>
            <w:tcW w:w="3120" w:type="dxa"/>
          </w:tcPr>
          <w:p>
            <w:pPr/>
            <w:r>
              <w:t xml:space="preserve">Neo4j + models; not yet verified on this machine</w:t>
            </w:r>
          </w:p>
        </w:tc>
      </w:tr>
    </w:tbl>
    <w:p>
      <w:pPr/>
      <w:r>
        <w:rPr>
          <w:b/>
        </w:rPr>
        <w:t xml:space="preserve">Human effort (the real bottleneck)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Estimate</w:t>
            </w:r>
          </w:p>
        </w:tc>
      </w:tr>
      <w:tr>
        <w:tc>
          <w:tcPr>
            <w:tcW w:w="4680" w:type="dxa"/>
          </w:tcPr>
          <w:p>
            <w:pPr/>
            <w:r>
              <w:t xml:space="preserve">Corpus search, verification, manifest</w:t>
            </w:r>
          </w:p>
        </w:tc>
        <w:tc>
          <w:tcPr>
            <w:tcW w:w="4680" w:type="dxa"/>
          </w:tcPr>
          <w:p>
            <w:pPr/>
            <w:r>
              <w:t xml:space="preserve">15–20 h</w:t>
            </w:r>
          </w:p>
        </w:tc>
      </w:tr>
      <w:tr>
        <w:tc>
          <w:tcPr>
            <w:tcW w:w="4680" w:type="dxa"/>
          </w:tcPr>
          <w:p>
            <w:pPr/>
            <w:r>
              <w:t xml:space="preserve">Mission cards (1 page each) for D2</w:t>
            </w:r>
          </w:p>
        </w:tc>
        <w:tc>
          <w:tcPr>
            <w:tcW w:w="4680" w:type="dxa"/>
          </w:tcPr>
          <w:p>
            <w:pPr/>
            <w:r>
              <w:t xml:space="preserve">15–20 h</w:t>
            </w:r>
          </w:p>
        </w:tc>
      </w:tr>
      <w:tr>
        <w:tc>
          <w:tcPr>
            <w:tcW w:w="4680" w:type="dxa"/>
          </w:tcPr>
          <w:p>
            <w:pPr/>
            <w:r>
              <w:t xml:space="preserve">D1 extraction gold (~350 passages × ~2 min)</w:t>
            </w:r>
          </w:p>
        </w:tc>
        <w:tc>
          <w:tcPr>
            <w:tcW w:w="4680" w:type="dxa"/>
          </w:tcPr>
          <w:p>
            <w:pPr/>
            <w:r>
              <w:t xml:space="preserve">~12 h + pilot</w:t>
            </w:r>
          </w:p>
        </w:tc>
      </w:tr>
      <w:tr>
        <w:tc>
          <w:tcPr>
            <w:tcW w:w="4680" w:type="dxa"/>
          </w:tcPr>
          <w:p>
            <w:pPr/>
            <w:r>
              <w:t xml:space="preserve">D2 analogy grades (300–600 pairs × ~1 min)</w:t>
            </w:r>
          </w:p>
        </w:tc>
        <w:tc>
          <w:tcPr>
            <w:tcW w:w="4680" w:type="dxa"/>
          </w:tcPr>
          <w:p>
            <w:pPr/>
            <w:r>
              <w:t xml:space="preserve">5–10 h</w:t>
            </w:r>
          </w:p>
        </w:tc>
      </w:tr>
      <w:tr>
        <w:tc>
          <w:tcPr>
            <w:tcW w:w="4680" w:type="dxa"/>
          </w:tcPr>
          <w:p>
            <w:pPr/>
            <w:r>
              <w:t xml:space="preserve">D3 questions, key points, evidence (~150 × ~10 min)</w:t>
            </w:r>
          </w:p>
        </w:tc>
        <w:tc>
          <w:tcPr>
            <w:tcW w:w="4680" w:type="dxa"/>
          </w:tcPr>
          <w:p>
            <w:pPr/>
            <w:r>
              <w:t xml:space="preserve">~25 h</w:t>
            </w:r>
          </w:p>
        </w:tc>
      </w:tr>
      <w:tr>
        <w:tc>
          <w:tcPr>
            <w:tcW w:w="4680" w:type="dxa"/>
          </w:tcPr>
          <w:p>
            <w:pPr/>
            <w:r>
              <w:t xml:space="preserve">Second annotator (25% of D1–D3)</w:t>
            </w:r>
          </w:p>
        </w:tc>
        <w:tc>
          <w:tcPr>
            <w:tcW w:w="4680" w:type="dxa"/>
          </w:tcPr>
          <w:p>
            <w:pPr/>
            <w:r>
              <w:t xml:space="preserve">~12–15 h of </w:t>
            </w:r>
            <w:r>
              <w:rPr>
                <w:i/>
              </w:rPr>
              <w:t xml:space="preserve">their</w:t>
            </w:r>
            <w:r>
              <w:t xml:space="preserve"> time</w:t>
            </w:r>
          </w:p>
        </w:tc>
      </w:tr>
      <w:tr>
        <w:tc>
          <w:tcPr>
            <w:tcW w:w="4680" w:type="dxa"/>
          </w:tcPr>
          <w:p>
            <w:pPr/>
            <w:r>
              <w:t xml:space="preserve">Human answer scoring (test set, key points)</w:t>
            </w:r>
          </w:p>
        </w:tc>
        <w:tc>
          <w:tcPr>
            <w:tcW w:w="4680" w:type="dxa"/>
          </w:tcPr>
          <w:p>
            <w:pPr/>
            <w:r>
              <w:t xml:space="preserve">~15 h</w:t>
            </w:r>
          </w:p>
        </w:tc>
      </w:tr>
    </w:tbl>
    <w:p>
      <w:pPr>
        <w:pStyle w:val="Heading2"/>
      </w:pPr>
      <w:r>
        <w:t xml:space="preserve">21. References</w:t>
      </w:r>
    </w:p>
    <w:p>
      <w:pPr/>
      <w:r>
        <w:t xml:space="preserve">Every entry below was checked on 2026-10-12 against a DOI resolver, Crossref, OpenAlex or arXiv. [7] and [31] are preprints. Entries [14] and [27] were not resolved by DOI and should be checked against the physical source before submission.</w:t>
      </w:r>
    </w:p>
    <w:p>
      <w:pPr>
        <w:pStyle w:val="ListParagraph"/>
        <w:numPr>
          <w:ilvl w:val="0"/>
          <w:numId w:val="13"/>
        </w:numPr>
      </w:pPr>
      <w:r>
        <w:t xml:space="preserve">[1] S. Kim and S. Kim, "Multi-field hybrid retrieval-augmented generation for maritime accident root cause analysis," in </w:t>
      </w:r>
      <w:r>
        <w:rPr>
          <w:i/>
        </w:rPr>
        <w:t xml:space="preserve">Proc. 2026 IEEE 22nd Int. Conf. Automation Science and Engineering (CASE)</w:t>
      </w:r>
      <w:r>
        <w:t xml:space="preserve">, Aug. 2026, pp. 238–243, doi: 10.1109/CASE69030.2026.11704480.</w:t>
      </w:r>
    </w:p>
    <w:p>
      <w:pPr>
        <w:pStyle w:val="ListParagraph"/>
        <w:numPr>
          <w:ilvl w:val="0"/>
          <w:numId w:val="13"/>
        </w:numPr>
      </w:pPr>
      <w:r>
        <w:t xml:space="preserve">[2] W. Sanyaolu and D. P. Josyula, "LLM-augmented semantic integration: Scalable knowledge graph construction from unstructured safety-critical narratives," in </w:t>
      </w:r>
      <w:r>
        <w:rPr>
          <w:i/>
        </w:rPr>
        <w:t xml:space="preserve">Proc. 2026 Int. Conf. Semantic Computing (ICSC)</w:t>
      </w:r>
      <w:r>
        <w:t xml:space="preserve">, 2026, pp. 397–402, doi: 10.1109/ICSC67292.2026.00066.</w:t>
      </w:r>
    </w:p>
    <w:p>
      <w:pPr>
        <w:pStyle w:val="ListParagraph"/>
        <w:numPr>
          <w:ilvl w:val="0"/>
          <w:numId w:val="13"/>
        </w:numPr>
      </w:pPr>
      <w:r>
        <w:t xml:space="preserve">[3] Y. Wang </w:t>
      </w:r>
      <w:r>
        <w:rPr>
          <w:i/>
        </w:rPr>
        <w:t xml:space="preserve">et al.</w:t>
      </w:r>
      <w:r>
        <w:t xml:space="preserve">, "AGRAG: Advanced graph-based retrieval-augmented generation for LLMs," in </w:t>
      </w:r>
      <w:r>
        <w:rPr>
          <w:i/>
        </w:rPr>
        <w:t xml:space="preserve">Proc. IEEE Int. Conf. Data Engineering (ICDE)</w:t>
      </w:r>
      <w:r>
        <w:t xml:space="preserve">, 2026, doi: 10.1109/ICDE65706.2026.00110.</w:t>
      </w:r>
    </w:p>
    <w:p>
      <w:pPr>
        <w:pStyle w:val="ListParagraph"/>
        <w:numPr>
          <w:ilvl w:val="0"/>
          <w:numId w:val="13"/>
        </w:numPr>
      </w:pPr>
      <w:r>
        <w:t xml:space="preserve">[4] J. Liang </w:t>
      </w:r>
      <w:r>
        <w:rPr>
          <w:i/>
        </w:rPr>
        <w:t xml:space="preserve">et al.</w:t>
      </w:r>
      <w:r>
        <w:t xml:space="preserve">, "GraphRAG under fire," in </w:t>
      </w:r>
      <w:r>
        <w:rPr>
          <w:i/>
        </w:rPr>
        <w:t xml:space="preserve">Proc. IEEE Symp. Security and Privacy (SP)</w:t>
      </w:r>
      <w:r>
        <w:t xml:space="preserve">, 2026, pp. 195–212, doi: 10.1109/SP63933.2026.00070.</w:t>
      </w:r>
    </w:p>
    <w:p>
      <w:pPr>
        <w:pStyle w:val="ListParagraph"/>
        <w:numPr>
          <w:ilvl w:val="0"/>
          <w:numId w:val="13"/>
        </w:numPr>
      </w:pPr>
      <w:r>
        <w:t xml:space="preserve">[5] Y. Ojima </w:t>
      </w:r>
      <w:r>
        <w:rPr>
          <w:i/>
        </w:rPr>
        <w:t xml:space="preserve">et al.</w:t>
      </w:r>
      <w:r>
        <w:t xml:space="preserve">, "Knowledge management for automobile failure analysis using graph RAG," in </w:t>
      </w:r>
      <w:r>
        <w:rPr>
          <w:i/>
        </w:rPr>
        <w:t xml:space="preserve">Proc. IEEE Int. Conf. Big Data (BigData)</w:t>
      </w:r>
      <w:r>
        <w:t xml:space="preserve">, 2024, pp. 6624–6631, doi: 10.1109/BigData62323.2024.10826046.</w:t>
      </w:r>
    </w:p>
    <w:p>
      <w:pPr>
        <w:pStyle w:val="ListParagraph"/>
        <w:numPr>
          <w:ilvl w:val="0"/>
          <w:numId w:val="13"/>
        </w:numPr>
      </w:pPr>
      <w:r>
        <w:t xml:space="preserve">[6] L. Bahr </w:t>
      </w:r>
      <w:r>
        <w:rPr>
          <w:i/>
        </w:rPr>
        <w:t xml:space="preserve">et al.</w:t>
      </w:r>
      <w:r>
        <w:t xml:space="preserve">, "Knowledge graph enhanced retrieval-augmented generation for failure mode and effects analysis," </w:t>
      </w:r>
      <w:r>
        <w:rPr>
          <w:i/>
        </w:rPr>
        <w:t xml:space="preserve">J. Ind. Inf. Integr.</w:t>
      </w:r>
      <w:r>
        <w:t xml:space="preserve">, vol. 45, Art. no. 100807, 2025, doi: 10.1016/j.jii.2025.100807.</w:t>
      </w:r>
    </w:p>
    <w:p>
      <w:pPr>
        <w:pStyle w:val="ListParagraph"/>
        <w:numPr>
          <w:ilvl w:val="0"/>
          <w:numId w:val="13"/>
        </w:numPr>
      </w:pPr>
      <w:r>
        <w:t xml:space="preserve">[7] D. Edge </w:t>
      </w:r>
      <w:r>
        <w:rPr>
          <w:i/>
        </w:rPr>
        <w:t xml:space="preserve">et al.</w:t>
      </w:r>
      <w:r>
        <w:t xml:space="preserve">, "From local to global: A graph RAG approach to query-focused summarization," arXiv:2404.16130, 2024.</w:t>
      </w:r>
    </w:p>
    <w:p>
      <w:pPr>
        <w:pStyle w:val="ListParagraph"/>
        <w:numPr>
          <w:ilvl w:val="0"/>
          <w:numId w:val="13"/>
        </w:numPr>
      </w:pPr>
      <w:r>
        <w:t xml:space="preserve">[8] Z. Guo, L. Xia, Y. Yu, T. Ao, and C. Huang, "LightRAG: Simple and fast retrieval-augmented generation," in </w:t>
      </w:r>
      <w:r>
        <w:rPr>
          <w:i/>
        </w:rPr>
        <w:t xml:space="preserve">Findings Assoc. Comput. Linguistics: EMNLP 2025</w:t>
      </w:r>
      <w:r>
        <w:t xml:space="preserve">, pp. 10746–10761, doi: 10.18653/v1/2025.findings-emnlp.568.</w:t>
      </w:r>
    </w:p>
    <w:p>
      <w:pPr>
        <w:pStyle w:val="ListParagraph"/>
        <w:numPr>
          <w:ilvl w:val="0"/>
          <w:numId w:val="13"/>
        </w:numPr>
      </w:pPr>
      <w:r>
        <w:t xml:space="preserve">[9] B. Jiménez Gutiérrez, Y. Shu, Y. Gu, M. Yasunaga, and Y. Su, "HippoRAG: Neurobiologically inspired long-term memory for large language models," in </w:t>
      </w:r>
      <w:r>
        <w:rPr>
          <w:i/>
        </w:rPr>
        <w:t xml:space="preserve">Adv. Neural Inf. Process. Syst. (NeurIPS)</w:t>
      </w:r>
      <w:r>
        <w:t xml:space="preserve">, 2024, pp. 59532–59569.</w:t>
      </w:r>
    </w:p>
    <w:p>
      <w:pPr>
        <w:pStyle w:val="ListParagraph"/>
        <w:numPr>
          <w:ilvl w:val="0"/>
          <w:numId w:val="13"/>
        </w:numPr>
      </w:pPr>
      <w:r>
        <w:t xml:space="preserve">[10] B. Peng </w:t>
      </w:r>
      <w:r>
        <w:rPr>
          <w:i/>
        </w:rPr>
        <w:t xml:space="preserve">et al.</w:t>
      </w:r>
      <w:r>
        <w:t xml:space="preserve">, "Graph retrieval-augmented generation: A survey," </w:t>
      </w:r>
      <w:r>
        <w:rPr>
          <w:i/>
        </w:rPr>
        <w:t xml:space="preserve">ACM Trans. Inf. Syst.</w:t>
      </w:r>
      <w:r>
        <w:t xml:space="preserve">, vol. 44, no. 2, pp. 1–52, 2025, doi: 10.1145/3777378.</w:t>
      </w:r>
    </w:p>
    <w:p>
      <w:pPr>
        <w:pStyle w:val="ListParagraph"/>
        <w:numPr>
          <w:ilvl w:val="0"/>
          <w:numId w:val="13"/>
        </w:numPr>
      </w:pPr>
      <w:r>
        <w:t xml:space="preserve">[11] S. Pan, L. Luo, Y. Wang, C. Chen, J. Wang, and X. Wu, "Unifying large language models and knowledge graphs: A roadmap," </w:t>
      </w:r>
      <w:r>
        <w:rPr>
          <w:i/>
        </w:rPr>
        <w:t xml:space="preserve">IEEE Trans. Knowl. Data Eng.</w:t>
      </w:r>
      <w:r>
        <w:t xml:space="preserve">, vol. 36, no. 7, pp. 3580–3599, 2024, doi: 10.1109/TKDE.2024.3352100.</w:t>
      </w:r>
    </w:p>
    <w:p>
      <w:pPr>
        <w:pStyle w:val="ListParagraph"/>
        <w:numPr>
          <w:ilvl w:val="0"/>
          <w:numId w:val="13"/>
        </w:numPr>
      </w:pPr>
      <w:r>
        <w:t xml:space="preserve">[12] P. Lewis </w:t>
      </w:r>
      <w:r>
        <w:rPr>
          <w:i/>
        </w:rPr>
        <w:t xml:space="preserve">et al.</w:t>
      </w:r>
      <w:r>
        <w:t xml:space="preserve">, "Retrieval-augmented generation for knowledge-intensive NLP tasks," in </w:t>
      </w:r>
      <w:r>
        <w:rPr>
          <w:i/>
        </w:rPr>
        <w:t xml:space="preserve">Adv. Neural Inf. Process. Syst. (NeurIPS)</w:t>
      </w:r>
      <w:r>
        <w:t xml:space="preserve">, vol. 33, 2020, pp. 9459–9474.</w:t>
      </w:r>
    </w:p>
    <w:p>
      <w:pPr>
        <w:pStyle w:val="ListParagraph"/>
        <w:numPr>
          <w:ilvl w:val="0"/>
          <w:numId w:val="13"/>
        </w:numPr>
      </w:pPr>
      <w:r>
        <w:t xml:space="preserve">[13] G. V. Cormack, C. L. A. Clarke, and S. Buettcher, "Reciprocal rank fusion outperforms Condorcet and individual rank learning methods," in </w:t>
      </w:r>
      <w:r>
        <w:rPr>
          <w:i/>
        </w:rPr>
        <w:t xml:space="preserve">Proc. 32nd Int. ACM SIGIR Conf.</w:t>
      </w:r>
      <w:r>
        <w:t xml:space="preserve">, 2009, pp. 758–759, doi: 10.1145/1571941.1572114.</w:t>
      </w:r>
    </w:p>
    <w:p>
      <w:pPr>
        <w:pStyle w:val="ListParagraph"/>
        <w:numPr>
          <w:ilvl w:val="0"/>
          <w:numId w:val="13"/>
        </w:numPr>
      </w:pPr>
      <w:r>
        <w:t xml:space="preserve">[14] S. Robertson and H. Zaragoza, "The probabilistic relevance framework: BM25 and beyond," </w:t>
      </w:r>
      <w:r>
        <w:rPr>
          <w:i/>
        </w:rPr>
        <w:t xml:space="preserve">Found. Trends Inf. Retr.</w:t>
      </w:r>
      <w:r>
        <w:t xml:space="preserve">, vol. 3, no. 4, pp. 333–389, 2009.</w:t>
      </w:r>
    </w:p>
    <w:p>
      <w:pPr>
        <w:pStyle w:val="ListParagraph"/>
        <w:numPr>
          <w:ilvl w:val="0"/>
          <w:numId w:val="13"/>
        </w:numPr>
      </w:pPr>
      <w:r>
        <w:t xml:space="preserve">[15] J. Chen, S. Xiao, P. Zhang, K. Luo, D. Lian, and Z. Liu, "M3-Embedding: Multi-linguality, multi-functionality, multi-granularity text embeddings through self-knowledge distillation," in </w:t>
      </w:r>
      <w:r>
        <w:rPr>
          <w:i/>
        </w:rPr>
        <w:t xml:space="preserve">Findings Assoc. Comput. Linguistics: ACL 2024</w:t>
      </w:r>
      <w:r>
        <w:t xml:space="preserve">, pp. 2318–2335, doi: 10.18653/v1/2024.findings-acl.137.</w:t>
      </w:r>
    </w:p>
    <w:p>
      <w:pPr>
        <w:pStyle w:val="ListParagraph"/>
        <w:numPr>
          <w:ilvl w:val="0"/>
          <w:numId w:val="13"/>
        </w:numPr>
      </w:pPr>
      <w:r>
        <w:t xml:space="preserve">[16] N. Reimers and I. Gurevych, "Sentence-BERT: Sentence embeddings using Siamese BERT-networks," in </w:t>
      </w:r>
      <w:r>
        <w:rPr>
          <w:i/>
        </w:rPr>
        <w:t xml:space="preserve">Proc. EMNLP-IJCNLP</w:t>
      </w:r>
      <w:r>
        <w:t xml:space="preserve">, 2019, pp. 3980–3990, doi: 10.18653/v1/D19-1410.</w:t>
      </w:r>
    </w:p>
    <w:p>
      <w:pPr>
        <w:pStyle w:val="ListParagraph"/>
        <w:numPr>
          <w:ilvl w:val="0"/>
          <w:numId w:val="13"/>
        </w:numPr>
      </w:pPr>
      <w:r>
        <w:t xml:space="preserve">[17] S. Es, J. James, L. Espinosa-Anke, and S. Schockaert, "RAGAs: Automated evaluation of retrieval augmented generation," in </w:t>
      </w:r>
      <w:r>
        <w:rPr>
          <w:i/>
        </w:rPr>
        <w:t xml:space="preserve">Proc. EACL: System Demonstrations</w:t>
      </w:r>
      <w:r>
        <w:t xml:space="preserve">, 2024, pp. 150–158, doi: 10.18653/v1/2024.eacl-demo.16.</w:t>
      </w:r>
    </w:p>
    <w:p>
      <w:pPr>
        <w:pStyle w:val="ListParagraph"/>
        <w:numPr>
          <w:ilvl w:val="0"/>
          <w:numId w:val="13"/>
        </w:numPr>
      </w:pPr>
      <w:r>
        <w:t xml:space="preserve">[18] J. Saad-Falcon, O. Khattab, C. Potts, and M. Zaharia, "ARES: An automated evaluation framework for retrieval-augmented generation systems," in </w:t>
      </w:r>
      <w:r>
        <w:rPr>
          <w:i/>
        </w:rPr>
        <w:t xml:space="preserve">Proc. NAACL-HLT</w:t>
      </w:r>
      <w:r>
        <w:t xml:space="preserve">, 2024, pp. 338–354, doi: 10.18653/v1/2024.naacl-long.20.</w:t>
      </w:r>
    </w:p>
    <w:p>
      <w:pPr>
        <w:pStyle w:val="ListParagraph"/>
        <w:numPr>
          <w:ilvl w:val="0"/>
          <w:numId w:val="13"/>
        </w:numPr>
      </w:pPr>
      <w:r>
        <w:t xml:space="preserve">[19] S. Min </w:t>
      </w:r>
      <w:r>
        <w:rPr>
          <w:i/>
        </w:rPr>
        <w:t xml:space="preserve">et al.</w:t>
      </w:r>
      <w:r>
        <w:t xml:space="preserve">, "FActScore: Fine-grained atomic evaluation of factual precision in long form text generation," in </w:t>
      </w:r>
      <w:r>
        <w:rPr>
          <w:i/>
        </w:rPr>
        <w:t xml:space="preserve">Proc. EMNLP</w:t>
      </w:r>
      <w:r>
        <w:t xml:space="preserve">, 2023, pp. 12076–12100, doi: 10.18653/v1/2023.emnlp-main.741.</w:t>
      </w:r>
    </w:p>
    <w:p>
      <w:pPr>
        <w:pStyle w:val="ListParagraph"/>
        <w:numPr>
          <w:ilvl w:val="0"/>
          <w:numId w:val="13"/>
        </w:numPr>
      </w:pPr>
      <w:r>
        <w:t xml:space="preserve">[20] L. Zheng </w:t>
      </w:r>
      <w:r>
        <w:rPr>
          <w:i/>
        </w:rPr>
        <w:t xml:space="preserve">et al.</w:t>
      </w:r>
      <w:r>
        <w:t xml:space="preserve">, "Judging LLM-as-a-judge with MT-Bench and Chatbot Arena," in </w:t>
      </w:r>
      <w:r>
        <w:rPr>
          <w:i/>
        </w:rPr>
        <w:t xml:space="preserve">Adv. Neural Inf. Process. Syst. (NeurIPS)</w:t>
      </w:r>
      <w:r>
        <w:t xml:space="preserve">, 2023, pp. 46595–46623.</w:t>
      </w:r>
    </w:p>
    <w:p>
      <w:pPr>
        <w:pStyle w:val="ListParagraph"/>
        <w:numPr>
          <w:ilvl w:val="0"/>
          <w:numId w:val="13"/>
        </w:numPr>
      </w:pPr>
      <w:r>
        <w:t xml:space="preserve">[21] C.-H. Chiang and H.-y. Lee, "Can large language models be an alternative to human evaluations?," in </w:t>
      </w:r>
      <w:r>
        <w:rPr>
          <w:i/>
        </w:rPr>
        <w:t xml:space="preserve">Proc. 61st Annu. Meeting ACL</w:t>
      </w:r>
      <w:r>
        <w:t xml:space="preserve">, 2023, pp. 15607–15631, doi: 10.18653/v1/2023.acl-long.870.</w:t>
      </w:r>
    </w:p>
    <w:p>
      <w:pPr>
        <w:pStyle w:val="ListParagraph"/>
        <w:numPr>
          <w:ilvl w:val="0"/>
          <w:numId w:val="13"/>
        </w:numPr>
      </w:pPr>
      <w:r>
        <w:t xml:space="preserve">[22] N. F. Liu </w:t>
      </w:r>
      <w:r>
        <w:rPr>
          <w:i/>
        </w:rPr>
        <w:t xml:space="preserve">et al.</w:t>
      </w:r>
      <w:r>
        <w:t xml:space="preserve">, "Lost in the middle: How language models use long contexts," </w:t>
      </w:r>
      <w:r>
        <w:rPr>
          <w:i/>
        </w:rPr>
        <w:t xml:space="preserve">Trans. Assoc. Comput. Linguistics</w:t>
      </w:r>
      <w:r>
        <w:t xml:space="preserve">, vol. 12, pp. 157–173, 2024, doi: 10.1162/tacl_a_00638.</w:t>
      </w:r>
    </w:p>
    <w:p>
      <w:pPr>
        <w:pStyle w:val="ListParagraph"/>
        <w:numPr>
          <w:ilvl w:val="0"/>
          <w:numId w:val="13"/>
        </w:numPr>
      </w:pPr>
      <w:r>
        <w:t xml:space="preserve">[23] P. Koehn, "Statistical significance tests for machine translation evaluation," in </w:t>
      </w:r>
      <w:r>
        <w:rPr>
          <w:i/>
        </w:rPr>
        <w:t xml:space="preserve">Proc. EMNLP</w:t>
      </w:r>
      <w:r>
        <w:t xml:space="preserve">, 2004, pp. 388–395.</w:t>
      </w:r>
    </w:p>
    <w:p>
      <w:pPr>
        <w:pStyle w:val="ListParagraph"/>
        <w:numPr>
          <w:ilvl w:val="0"/>
          <w:numId w:val="13"/>
        </w:numPr>
      </w:pPr>
      <w:r>
        <w:t xml:space="preserve">[24] M. Tafazoli, "A study of on-orbit spacecraft failures," </w:t>
      </w:r>
      <w:r>
        <w:rPr>
          <w:i/>
        </w:rPr>
        <w:t xml:space="preserve">Acta Astronaut.</w:t>
      </w:r>
      <w:r>
        <w:t xml:space="preserve">, vol. 64, no. 2–3, pp. 195–205, 2009, doi: 10.1016/j.actaastro.2008.07.019.</w:t>
      </w:r>
    </w:p>
    <w:p>
      <w:pPr>
        <w:pStyle w:val="ListParagraph"/>
        <w:numPr>
          <w:ilvl w:val="0"/>
          <w:numId w:val="13"/>
        </w:numPr>
      </w:pPr>
      <w:r>
        <w:t xml:space="preserve">[25] A. Tikayat Ray, O. J. Pinon-Fischer, D. N. Mavris, R. T. White, and B. F. Cole, "aeroBERT-NER: Named-entity recognition for aerospace requirements engineering using BERT," in </w:t>
      </w:r>
      <w:r>
        <w:rPr>
          <w:i/>
        </w:rPr>
        <w:t xml:space="preserve">AIAA SciTech Forum</w:t>
      </w:r>
      <w:r>
        <w:t xml:space="preserve">, 2023, doi: 10.2514/6.2023-2583.</w:t>
      </w:r>
    </w:p>
    <w:p>
      <w:pPr>
        <w:pStyle w:val="ListParagraph"/>
        <w:numPr>
          <w:ilvl w:val="0"/>
          <w:numId w:val="13"/>
        </w:numPr>
      </w:pPr>
      <w:r>
        <w:t xml:space="preserve">[26] S. R. Andrade and H. S. Walsh, "SafeAeroBERT: Towards a safety-informed aerospace-specific language model," in </w:t>
      </w:r>
      <w:r>
        <w:rPr>
          <w:i/>
        </w:rPr>
        <w:t xml:space="preserve">AIAA AVIATION Forum</w:t>
      </w:r>
      <w:r>
        <w:t xml:space="preserve">, 2023, doi: 10.2514/6.2023-3437.</w:t>
      </w:r>
    </w:p>
    <w:p>
      <w:pPr>
        <w:pStyle w:val="ListParagraph"/>
        <w:numPr>
          <w:ilvl w:val="0"/>
          <w:numId w:val="13"/>
        </w:numPr>
      </w:pPr>
      <w:r>
        <w:t xml:space="preserve">[27] D. A. Wiegmann and S. A. Shappell, </w:t>
      </w:r>
      <w:r>
        <w:rPr>
          <w:i/>
        </w:rPr>
        <w:t xml:space="preserve">A Human Error Approach to Aviation Accident Analysis: The Human Factors Analysis and Classification System</w:t>
      </w:r>
      <w:r>
        <w:t xml:space="preserve">. Aldershot, U.K.: Ashgate, 2003.</w:t>
      </w:r>
    </w:p>
    <w:p>
      <w:pPr>
        <w:pStyle w:val="ListParagraph"/>
        <w:numPr>
          <w:ilvl w:val="0"/>
          <w:numId w:val="13"/>
        </w:numPr>
      </w:pPr>
      <w:r>
        <w:t xml:space="preserve">[28] N. G. Leveson, </w:t>
      </w:r>
      <w:r>
        <w:rPr>
          <w:i/>
        </w:rPr>
        <w:t xml:space="preserve">Engineering a Safer World: Systems Thinking Applied to Safety</w:t>
      </w:r>
      <w:r>
        <w:t xml:space="preserve">. Cambridge, MA, USA: MIT Press, 2012, doi: 10.7551/mitpress/8179.001.0001.</w:t>
      </w:r>
    </w:p>
    <w:p>
      <w:pPr>
        <w:pStyle w:val="ListParagraph"/>
        <w:numPr>
          <w:ilvl w:val="0"/>
          <w:numId w:val="13"/>
        </w:numPr>
      </w:pPr>
      <w:r>
        <w:t xml:space="preserve">[29] J. Chen, H. Lin, X. Han, and L. Sun, "Benchmarking large language models in retrieval-augmented generation," in </w:t>
      </w:r>
      <w:r>
        <w:rPr>
          <w:i/>
        </w:rPr>
        <w:t xml:space="preserve">Proc. AAAI Conf. Artif. Intell.</w:t>
      </w:r>
      <w:r>
        <w:t xml:space="preserve">, vol. 38, no. 16, 2024, pp. 17754–17762, doi: 10.1609/aaai.v38i16.29728.</w:t>
      </w:r>
    </w:p>
    <w:p>
      <w:pPr>
        <w:pStyle w:val="ListParagraph"/>
        <w:numPr>
          <w:ilvl w:val="0"/>
          <w:numId w:val="13"/>
        </w:numPr>
      </w:pPr>
      <w:r>
        <w:t xml:space="preserve">[30] Primary sources (corpus): Presidential Commission on the Space Shuttle Challenger Accident, </w:t>
      </w:r>
      <w:r>
        <w:rPr>
          <w:i/>
        </w:rPr>
        <w:t xml:space="preserve">Report to the President</w:t>
      </w:r>
      <w:r>
        <w:t xml:space="preserve">, vol. 1, 1986; Columbia Accident Investigation Board, </w:t>
      </w:r>
      <w:r>
        <w:rPr>
          <w:i/>
        </w:rPr>
        <w:t xml:space="preserve">Report</w:t>
      </w:r>
      <w:r>
        <w:t xml:space="preserve">, vol. I, 2003; Mars Climate Orbiter Mishap Investigation Board, </w:t>
      </w:r>
      <w:r>
        <w:rPr>
          <w:i/>
        </w:rPr>
        <w:t xml:space="preserve">Phase I Report</w:t>
      </w:r>
      <w:r>
        <w:t xml:space="preserve">, 1999; Ariane 501 Inquiry Board, </w:t>
      </w:r>
      <w:r>
        <w:rPr>
          <w:i/>
        </w:rPr>
        <w:t xml:space="preserve">Ariane 5 Flight 501 Failure</w:t>
      </w:r>
      <w:r>
        <w:t xml:space="preserve">, 1996; ESA, </w:t>
      </w:r>
      <w:r>
        <w:rPr>
          <w:i/>
        </w:rPr>
        <w:t xml:space="preserve">ExoMars 2016 – Schiaparelli Anomaly Inquiry</w:t>
      </w:r>
      <w:r>
        <w:t xml:space="preserve">, DG-I/2017/546/TTN, 2017. Full citations with URLs go in the corpus manifest.</w:t>
      </w:r>
    </w:p>
    <w:p>
      <w:pPr>
        <w:pStyle w:val="ListParagraph"/>
        <w:numPr>
          <w:ilvl w:val="0"/>
          <w:numId w:val="13"/>
        </w:numPr>
      </w:pPr>
      <w:r>
        <w:t xml:space="preserve">[31] L. Wang </w:t>
      </w:r>
      <w:r>
        <w:rPr>
          <w:i/>
        </w:rPr>
        <w:t xml:space="preserve">et al.</w:t>
      </w:r>
      <w:r>
        <w:t xml:space="preserve">, "Text embeddings by weakly-supervised contrastive pre-training," arXiv:2212.03533, 2022.</w:t>
      </w:r>
    </w:p>
    <w:p>
      <w:pPr>
        <w:pStyle w:val="Heading2"/>
      </w:pPr>
      <w:r>
        <w:t xml:space="preserve">22. Potential IEEE publication venues</w:t>
      </w:r>
    </w:p>
    <w:p>
      <w:pPr/>
      <w:r>
        <w:t xml:space="preserve">A 6–8 page conference paper is the realistic first target. A journal follows only after scale-up or a second domain. Deadlines, page limits, indexing and fees change yearly; each must be confirmed on the official call for papers before choosing. None was verified for the 2027 cycle in this 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Venue</w:t>
            </w:r>
          </w:p>
        </w:tc>
        <w:tc>
          <w:tcPr>
            <w:tcW w:w="2340" w:type="dxa"/>
            <w:shd w:val="clear" w:color="auto" w:fill="F2F2F2"/>
          </w:tcPr>
          <w:p>
            <w:pPr/>
            <w:r>
              <w:t xml:space="preserve">Why it fits</w:t>
            </w:r>
          </w:p>
        </w:tc>
        <w:tc>
          <w:tcPr>
            <w:tcW w:w="2340" w:type="dxa"/>
            <w:shd w:val="clear" w:color="auto" w:fill="F2F2F2"/>
          </w:tcPr>
          <w:p>
            <w:pPr/>
            <w:r>
              <w:t xml:space="preserve">Main risk</w:t>
            </w:r>
          </w:p>
        </w:tc>
        <w:tc>
          <w:tcPr>
            <w:tcW w:w="2340" w:type="dxa"/>
            <w:shd w:val="clear" w:color="auto" w:fill="F2F2F2"/>
          </w:tcPr>
          <w:p>
            <w:pPr/>
            <w:r>
              <w:t xml:space="preserve">Readiness needed</w:t>
            </w:r>
          </w:p>
        </w:tc>
      </w:tr>
      <w:tr>
        <w:tc>
          <w:tcPr>
            <w:tcW w:w="2340" w:type="dxa"/>
          </w:tcPr>
          <w:p>
            <w:pPr/>
            <w:r>
              <w:t xml:space="preserve">IEEE Aerospace Conference (AERO; IEEE/AIAA, held annually at Big Sky, MT)</w:t>
            </w:r>
          </w:p>
        </w:tc>
        <w:tc>
          <w:tcPr>
            <w:tcW w:w="2340" w:type="dxa"/>
          </w:tcPr>
          <w:p>
            <w:pPr/>
            <w:r>
              <w:t xml:space="preserve">Spaceflight audience; values mission-assurance applications</w:t>
            </w:r>
          </w:p>
        </w:tc>
        <w:tc>
          <w:tcPr>
            <w:tcW w:w="2340" w:type="dxa"/>
          </w:tcPr>
          <w:p>
            <w:pPr/>
            <w:r>
              <w:t xml:space="preserve">Reviewers expect engineering relevance over NLP novelty, so the demo and case studies matter</w:t>
            </w:r>
          </w:p>
        </w:tc>
        <w:tc>
          <w:tcPr>
            <w:tcW w:w="2340" w:type="dxa"/>
          </w:tcPr>
          <w:p>
            <w:pPr/>
            <w:r>
              <w:t xml:space="preserve">Stages 1–6 complete</w:t>
            </w:r>
          </w:p>
        </w:tc>
      </w:tr>
      <w:tr>
        <w:tc>
          <w:tcPr>
            <w:tcW w:w="2340" w:type="dxa"/>
          </w:tcPr>
          <w:p>
            <w:pPr/>
            <w:r>
              <w:t xml:space="preserve">Annual Reliability and Maintainability Symposium (RAMS; IEEE Reliability Society co-sponsored)</w:t>
            </w:r>
          </w:p>
        </w:tc>
        <w:tc>
          <w:tcPr>
            <w:tcW w:w="2340" w:type="dxa"/>
          </w:tcPr>
          <w:p>
            <w:pPr/>
            <w:r>
              <w:t xml:space="preserve">Failure analysis, root cause and lessons learned are central topics</w:t>
            </w:r>
          </w:p>
        </w:tc>
        <w:tc>
          <w:tcPr>
            <w:tcW w:w="2340" w:type="dxa"/>
          </w:tcPr>
          <w:p>
            <w:pPr/>
            <w:r>
              <w:t xml:space="preserve">Less NLP methodology depth expected; must explain RAG accessibly</w:t>
            </w:r>
          </w:p>
        </w:tc>
        <w:tc>
          <w:tcPr>
            <w:tcW w:w="2340" w:type="dxa"/>
          </w:tcPr>
          <w:p>
            <w:pPr/>
            <w:r>
              <w:t xml:space="preserve">Stages 1–6</w:t>
            </w:r>
          </w:p>
        </w:tc>
      </w:tr>
      <w:tr>
        <w:tc>
          <w:tcPr>
            <w:tcW w:w="2340" w:type="dxa"/>
          </w:tcPr>
          <w:p>
            <w:pPr/>
            <w:r>
              <w:t xml:space="preserve">IEEE Int. Conf. on Semantic Computing (ICSC)</w:t>
            </w:r>
          </w:p>
        </w:tc>
        <w:tc>
          <w:tcPr>
            <w:tcW w:w="2340" w:type="dxa"/>
          </w:tcPr>
          <w:p>
            <w:pPr/>
            <w:r>
              <w:t xml:space="preserve">Venue of supporting paper [2]; KG + LLM fit</w:t>
            </w:r>
          </w:p>
        </w:tc>
        <w:tc>
          <w:tcPr>
            <w:tcW w:w="2340" w:type="dxa"/>
          </w:tcPr>
          <w:p>
            <w:pPr/>
            <w:r>
              <w:t xml:space="preserve">Shorter papers; competitive on method novelty</w:t>
            </w:r>
          </w:p>
        </w:tc>
        <w:tc>
          <w:tcPr>
            <w:tcW w:w="2340" w:type="dxa"/>
          </w:tcPr>
          <w:p>
            <w:pPr/>
            <w:r>
              <w:t xml:space="preserve">Stages 1–6</w:t>
            </w:r>
          </w:p>
        </w:tc>
      </w:tr>
      <w:tr>
        <w:tc>
          <w:tcPr>
            <w:tcW w:w="2340" w:type="dxa"/>
          </w:tcPr>
          <w:p>
            <w:pPr/>
            <w:r>
              <w:t xml:space="preserve">IEEE Int. Conf. on Automation Science and Engineering (CASE)</w:t>
            </w:r>
          </w:p>
        </w:tc>
        <w:tc>
          <w:tcPr>
            <w:tcW w:w="2340" w:type="dxa"/>
          </w:tcPr>
          <w:p>
            <w:pPr/>
            <w:r>
              <w:t xml:space="preserve">Venue of base paper [1]; direct dialogue with it</w:t>
            </w:r>
          </w:p>
        </w:tc>
        <w:tc>
          <w:tcPr>
            <w:tcW w:w="2340" w:type="dxa"/>
          </w:tcPr>
          <w:p>
            <w:pPr/>
            <w:r>
              <w:t xml:space="preserve">Automation focus; domain is adjacent rather than central</w:t>
            </w:r>
          </w:p>
        </w:tc>
        <w:tc>
          <w:tcPr>
            <w:tcW w:w="2340" w:type="dxa"/>
          </w:tcPr>
          <w:p>
            <w:pPr/>
            <w:r>
              <w:t xml:space="preserve">Stages 1–6</w:t>
            </w:r>
          </w:p>
        </w:tc>
      </w:tr>
      <w:tr>
        <w:tc>
          <w:tcPr>
            <w:tcW w:w="2340" w:type="dxa"/>
          </w:tcPr>
          <w:p>
            <w:pPr/>
            <w:r>
              <w:t xml:space="preserve">IEEE BigData (main track or workshops)</w:t>
            </w:r>
          </w:p>
        </w:tc>
        <w:tc>
          <w:tcPr>
            <w:tcW w:w="2340" w:type="dxa"/>
          </w:tcPr>
          <w:p>
            <w:pPr/>
            <w:r>
              <w:t xml:space="preserve">Venue of [5]; workshops accept applied KG/RAG studies</w:t>
            </w:r>
          </w:p>
        </w:tc>
        <w:tc>
          <w:tcPr>
            <w:tcW w:w="2340" w:type="dxa"/>
          </w:tcPr>
          <w:p>
            <w:pPr/>
            <w:r>
              <w:t xml:space="preserve">Main track wants scale we do not have; a workshop is the realistic fit</w:t>
            </w:r>
          </w:p>
        </w:tc>
        <w:tc>
          <w:tcPr>
            <w:tcW w:w="2340" w:type="dxa"/>
          </w:tcPr>
          <w:p>
            <w:pPr/>
            <w:r>
              <w:t xml:space="preserve">Stages 1–6</w:t>
            </w:r>
          </w:p>
        </w:tc>
      </w:tr>
      <w:tr>
        <w:tc>
          <w:tcPr>
            <w:tcW w:w="2340" w:type="dxa"/>
          </w:tcPr>
          <w:p>
            <w:pPr/>
            <w:r>
              <w:rPr>
                <w:i/>
              </w:rPr>
              <w:t xml:space="preserve">IEEE Access</w:t>
            </w:r>
            <w:r>
              <w:t xml:space="preserve"> (journal, open access, article processing charge)</w:t>
            </w:r>
          </w:p>
        </w:tc>
        <w:tc>
          <w:tcPr>
            <w:tcW w:w="2340" w:type="dxa"/>
          </w:tcPr>
          <w:p>
            <w:pPr/>
            <w:r>
              <w:t xml:space="preserve">Broad scope; accepts thorough applied studies</w:t>
            </w:r>
          </w:p>
        </w:tc>
        <w:tc>
          <w:tcPr>
            <w:tcW w:w="2340" w:type="dxa"/>
          </w:tcPr>
          <w:p>
            <w:pPr/>
            <w:r>
              <w:t xml:space="preserve">Expects larger evaluation, generalisation and a complete artefact</w:t>
            </w:r>
          </w:p>
        </w:tc>
        <w:tc>
          <w:tcPr>
            <w:tcW w:w="2340" w:type="dxa"/>
          </w:tcPr>
          <w:p>
            <w:pPr/>
            <w:r>
              <w:t xml:space="preserve">Plus a second domain or a larger corpus</w:t>
            </w:r>
          </w:p>
        </w:tc>
      </w:tr>
      <w:tr>
        <w:tc>
          <w:tcPr>
            <w:tcW w:w="2340" w:type="dxa"/>
          </w:tcPr>
          <w:p>
            <w:pPr/>
            <w:r>
              <w:rPr>
                <w:i/>
              </w:rPr>
              <w:t xml:space="preserve">IEEE Trans. Reliability</w:t>
            </w:r>
            <w:r>
              <w:t xml:space="preserve"> / </w:t>
            </w:r>
            <w:r>
              <w:rPr>
                <w:i/>
              </w:rPr>
              <w:t xml:space="preserve">IEEE Trans. Aerospace and Electronic Systems</w:t>
            </w:r>
          </w:p>
        </w:tc>
        <w:tc>
          <w:tcPr>
            <w:tcW w:w="2340" w:type="dxa"/>
          </w:tcPr>
          <w:p>
            <w:pPr/>
            <w:r>
              <w:t xml:space="preserve">High prestige in reliability / aerospace</w:t>
            </w:r>
          </w:p>
        </w:tc>
        <w:tc>
          <w:tcPr>
            <w:tcW w:w="2340" w:type="dxa"/>
          </w:tcPr>
          <w:p>
            <w:pPr/>
            <w:r>
              <w:t xml:space="preserve">High bar; needs substantial, validated results</w:t>
            </w:r>
          </w:p>
        </w:tc>
        <w:tc>
          <w:tcPr>
            <w:tcW w:w="2340" w:type="dxa"/>
          </w:tcPr>
          <w:p>
            <w:pPr/>
            <w:r>
              <w:t xml:space="preserve">Long-term only</w:t>
            </w:r>
          </w:p>
        </w:tc>
      </w:tr>
    </w:tbl>
    <w:p>
      <w:pPr/>
      <w:r>
        <w:t xml:space="preserve">Recommendation: aim the first paper at </w:t>
      </w:r>
      <w:r>
        <w:rPr>
          <w:b/>
        </w:rPr>
        <w:t xml:space="preserve">AERO or RAMS</w:t>
      </w:r>
      <w:r>
        <w:t xml:space="preserve"> if the domain story and human-labelled benchmark are strongest. Aim at </w:t>
      </w:r>
      <w:r>
        <w:rPr>
          <w:b/>
        </w:rPr>
        <w:t xml:space="preserve">ICSC</w:t>
      </w:r>
      <w:r>
        <w:t xml:space="preserve"> if the verification method (C2) shows the clearest gain. Decide after Stage 6 results, not before. No venue choice guarantees acceptance, and IEEE sponsorship alone does not establish research quality.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MissionMind — Revised Research Proposal</dc:title>
  <dc:description>Claude Docs node/b9f3d19f-5e0c@23 docx-w6</dc:description>
  <cp:revision>23</cp:revision>
</cp:coreProperties>
</file>