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EPPs and Shocks</w:t>
      </w:r>
    </w:p>
    <w:p>
      <w:pPr>
        <w:pStyle w:val="Author"/>
      </w:pPr>
      <w:r>
        <w:t xml:space="preserve">Amare</w:t>
      </w:r>
    </w:p>
    <w:p>
      <w:pPr>
        <w:pStyle w:val="Date"/>
      </w:pPr>
      <w:r>
        <w:t xml:space="preserve">2025-05-19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2"/>
      </w:pPr>
      <w:r>
        <w:t xml:space="preserve">Abstract</w:t>
      </w:r>
    </w:p>
    <w:bookmarkEnd w:id="20"/>
    <w:bookmarkStart w:id="23" w:name="introduction"/>
    <w:p>
      <w:pPr>
        <w:pStyle w:val="Heading2"/>
      </w:pPr>
      <w:r>
        <w:t xml:space="preserve">1. Introduction</w:t>
      </w:r>
    </w:p>
    <w:bookmarkStart w:id="21" w:name="context-motivation"/>
    <w:p>
      <w:pPr>
        <w:pStyle w:val="Heading3"/>
      </w:pPr>
      <w:r>
        <w:t xml:space="preserve">1.1. Context &amp; Motivation</w:t>
      </w:r>
    </w:p>
    <w:p>
      <w:pPr>
        <w:numPr>
          <w:ilvl w:val="0"/>
          <w:numId w:val="1001"/>
        </w:numPr>
      </w:pPr>
      <w:r>
        <w:t xml:space="preserve">Dynamics of polycrisis</w:t>
      </w:r>
      <w:r>
        <w:t xml:space="preserve"> </w:t>
      </w:r>
      <w:r>
        <w:t xml:space="preserve">(Delannoy et al., 2024)</w:t>
      </w:r>
    </w:p>
    <w:p>
      <w:pPr>
        <w:numPr>
          <w:ilvl w:val="0"/>
          <w:numId w:val="1001"/>
        </w:numPr>
      </w:pPr>
      <w:r>
        <w:t xml:space="preserve">Objective: to investigate which shocks cause and are caused by EPP outbreaks, especifically outbreaks of human pathogens.</w:t>
      </w:r>
    </w:p>
    <w:bookmarkEnd w:id="21"/>
    <w:bookmarkStart w:id="22" w:name="research-questions"/>
    <w:p>
      <w:pPr>
        <w:pStyle w:val="Heading3"/>
      </w:pPr>
      <w:r>
        <w:t xml:space="preserve">1.2. Research questions</w:t>
      </w:r>
    </w:p>
    <w:p>
      <w:pPr>
        <w:numPr>
          <w:ilvl w:val="0"/>
          <w:numId w:val="1002"/>
        </w:numPr>
      </w:pPr>
      <w:r>
        <w:t xml:space="preserve">Does disease outbreak precede or follow other shocks?</w:t>
      </w:r>
    </w:p>
    <w:p>
      <w:pPr>
        <w:numPr>
          <w:ilvl w:val="0"/>
          <w:numId w:val="1002"/>
        </w:numPr>
      </w:pPr>
      <w:r>
        <w:t xml:space="preserve">How persistent are the lagged effects of shocks on disease outbreak?</w:t>
      </w:r>
    </w:p>
    <w:p>
      <w:pPr>
        <w:numPr>
          <w:ilvl w:val="0"/>
          <w:numId w:val="1002"/>
        </w:numPr>
      </w:pPr>
      <w:r>
        <w:t xml:space="preserve">How do these dynamics differ across spatial scales?</w:t>
      </w:r>
    </w:p>
    <w:bookmarkEnd w:id="22"/>
    <w:bookmarkEnd w:id="23"/>
    <w:bookmarkStart w:id="26" w:name="data-sources-and-preprocessing"/>
    <w:p>
      <w:pPr>
        <w:pStyle w:val="Heading2"/>
      </w:pPr>
      <w:r>
        <w:t xml:space="preserve">2. Data Sources and Preprocessing</w:t>
      </w:r>
    </w:p>
    <w:bookmarkStart w:id="24" w:name="raw-data"/>
    <w:p>
      <w:pPr>
        <w:pStyle w:val="Heading3"/>
      </w:pPr>
      <w:r>
        <w:t xml:space="preserve">2.1. Raw Data</w:t>
      </w:r>
    </w:p>
    <w:p>
      <w:pPr>
        <w:pStyle w:val="FirstParagraph"/>
      </w:pPr>
      <w:r>
        <w:t xml:space="preserve">We use two datasets:</w:t>
      </w:r>
    </w:p>
    <w:p>
      <w:pPr>
        <w:pStyle w:val="Compact"/>
        <w:numPr>
          <w:ilvl w:val="0"/>
          <w:numId w:val="1003"/>
        </w:numPr>
      </w:pPr>
      <w:r>
        <w:t xml:space="preserve">Shocks count database</w:t>
      </w:r>
    </w:p>
    <w:p>
      <w:pPr>
        <w:pStyle w:val="Compact"/>
        <w:numPr>
          <w:ilvl w:val="0"/>
          <w:numId w:val="1003"/>
        </w:numPr>
      </w:pPr>
      <w:r>
        <w:t xml:space="preserve">Disease outbreak news (DON) database</w:t>
      </w:r>
    </w:p>
    <w:p>
      <w:pPr>
        <w:pStyle w:val="FirstParagraph"/>
      </w:pPr>
      <w:r>
        <w:t xml:space="preserve">Each database consists of events by year and country</w:t>
      </w:r>
    </w:p>
    <w:p>
      <w:pPr>
        <w:pStyle w:val="BodyText"/>
      </w:pPr>
      <w:r>
        <w:t xml:space="preserve">Features:</w:t>
      </w:r>
    </w:p>
    <w:p>
      <w:pPr>
        <w:pStyle w:val="Compact"/>
        <w:numPr>
          <w:ilvl w:val="0"/>
          <w:numId w:val="1004"/>
        </w:numPr>
      </w:pPr>
      <w:r>
        <w:t xml:space="preserve">Shock categories</w:t>
      </w:r>
    </w:p>
    <w:p>
      <w:pPr>
        <w:pStyle w:val="Compact"/>
        <w:numPr>
          <w:ilvl w:val="0"/>
          <w:numId w:val="1004"/>
        </w:numPr>
      </w:pPr>
      <w:r>
        <w:t xml:space="preserve">Shock types</w:t>
      </w:r>
    </w:p>
    <w:p>
      <w:pPr>
        <w:pStyle w:val="Compact"/>
        <w:numPr>
          <w:ilvl w:val="0"/>
          <w:numId w:val="1004"/>
        </w:numPr>
      </w:pPr>
      <w:r>
        <w:t xml:space="preserve">Infectious disease</w:t>
      </w:r>
    </w:p>
    <w:p>
      <w:pPr>
        <w:pStyle w:val="Compact"/>
        <w:numPr>
          <w:ilvl w:val="0"/>
          <w:numId w:val="1004"/>
        </w:numPr>
      </w:pPr>
      <w:r>
        <w:t xml:space="preserve">Total cases</w:t>
      </w:r>
    </w:p>
    <w:p>
      <w:pPr>
        <w:pStyle w:val="Compact"/>
        <w:numPr>
          <w:ilvl w:val="0"/>
          <w:numId w:val="1004"/>
        </w:numPr>
      </w:pPr>
      <w:r>
        <w:t xml:space="preserve">Total deaths</w:t>
      </w:r>
    </w:p>
    <w:p>
      <w:pPr>
        <w:pStyle w:val="Compact"/>
        <w:numPr>
          <w:ilvl w:val="0"/>
          <w:numId w:val="1004"/>
        </w:numPr>
      </w:pPr>
      <w:r>
        <w:t xml:space="preserve">Country</w:t>
      </w:r>
    </w:p>
    <w:p>
      <w:pPr>
        <w:pStyle w:val="Compact"/>
        <w:numPr>
          <w:ilvl w:val="0"/>
          <w:numId w:val="1004"/>
        </w:numPr>
      </w:pPr>
      <w:r>
        <w:t xml:space="preserve">Continent</w:t>
      </w:r>
    </w:p>
    <w:p>
      <w:pPr>
        <w:pStyle w:val="Compact"/>
        <w:numPr>
          <w:ilvl w:val="0"/>
          <w:numId w:val="1004"/>
        </w:numPr>
      </w:pPr>
      <w:r>
        <w:t xml:space="preserve">Year</w:t>
      </w:r>
    </w:p>
    <w:bookmarkEnd w:id="24"/>
    <w:bookmarkStart w:id="25" w:name="data-cleaning"/>
    <w:p>
      <w:pPr>
        <w:pStyle w:val="Heading3"/>
      </w:pPr>
      <w:r>
        <w:t xml:space="preserve">2.2. Data Cleaning</w:t>
      </w:r>
    </w:p>
    <w:bookmarkEnd w:id="25"/>
    <w:bookmarkEnd w:id="26"/>
    <w:bookmarkStart w:id="32" w:name="show-info"/>
    <w:p>
      <w:pPr>
        <w:pStyle w:val="Heading2"/>
      </w:pPr>
      <w:r>
        <w:t xml:space="preserve">Show info</w:t>
      </w:r>
    </w:p>
    <w:bookmarkStart w:id="30" w:name="describe-data"/>
    <w:p>
      <w:pPr>
        <w:pStyle w:val="Heading3"/>
      </w:pPr>
      <w:r>
        <w:t xml:space="preserve">Describe data</w:t>
      </w:r>
    </w:p>
    <w:p>
      <w:pPr>
        <w:pStyle w:val="FirstParagraph"/>
      </w:pPr>
      <w:r>
        <w:drawing>
          <wp:inline>
            <wp:extent cx="5334000" cy="227643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preprocessing-steps-included"/>
    <w:p>
      <w:pPr>
        <w:pStyle w:val="Heading3"/>
      </w:pPr>
      <w:r>
        <w:t xml:space="preserve">Preprocessing steps included:</w:t>
      </w:r>
    </w:p>
    <w:bookmarkEnd w:id="31"/>
    <w:bookmarkEnd w:id="32"/>
    <w:bookmarkStart w:id="35" w:name="exploratory-analysis"/>
    <w:p>
      <w:pPr>
        <w:pStyle w:val="Heading2"/>
      </w:pPr>
      <w:r>
        <w:t xml:space="preserve">3. Exploratory Analysis</w:t>
      </w:r>
    </w:p>
    <w:bookmarkStart w:id="33" w:name="global-trends"/>
    <w:p>
      <w:pPr>
        <w:pStyle w:val="Heading3"/>
      </w:pPr>
      <w:r>
        <w:t xml:space="preserve">3.1. Global Trends</w:t>
      </w:r>
    </w:p>
    <w:bookmarkEnd w:id="33"/>
    <w:bookmarkStart w:id="34" w:name="regional-patterns"/>
    <w:p>
      <w:pPr>
        <w:pStyle w:val="Heading3"/>
      </w:pPr>
      <w:r>
        <w:t xml:space="preserve">3.2. Regional Patterns</w:t>
      </w:r>
    </w:p>
    <w:bookmarkEnd w:id="34"/>
    <w:bookmarkEnd w:id="35"/>
    <w:bookmarkStart w:id="36" w:name="trend"/>
    <w:p>
      <w:pPr>
        <w:pStyle w:val="Heading2"/>
      </w:pPr>
      <w:r>
        <w:t xml:space="preserve">Trend</w:t>
      </w:r>
    </w:p>
    <w:bookmarkEnd w:id="36"/>
    <w:bookmarkStart w:id="37" w:name="baseline-poisson-fe-year-trend"/>
    <w:p>
      <w:pPr>
        <w:pStyle w:val="Heading1"/>
      </w:pPr>
      <w:r>
        <w:t xml:space="preserve">Baseline: Poisson FE + Year Trend</w:t>
      </w:r>
    </w:p>
    <w:bookmarkEnd w:id="37"/>
    <w:bookmarkStart w:id="38" w:name="baseline-negative-binomial-fe-year-trend"/>
    <w:p>
      <w:pPr>
        <w:pStyle w:val="Heading1"/>
      </w:pPr>
      <w:r>
        <w:t xml:space="preserve">Baseline: Negative-Binomial FE + Year Trend</w:t>
      </w:r>
    </w:p>
    <w:bookmarkEnd w:id="38"/>
    <w:bookmarkStart w:id="42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41908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11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agged-coefficients"/>
    <w:p>
      <w:pPr>
        <w:pStyle w:val="Heading1"/>
      </w:pPr>
      <w:r>
        <w:t xml:space="preserve">Lagged coefficients</w:t>
      </w:r>
    </w:p>
    <w:p>
      <w:pPr>
        <w:pStyle w:val="FirstParagraph"/>
      </w:pPr>
      <w:r>
        <w:drawing>
          <wp:inline>
            <wp:extent cx="5334000" cy="259066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8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'&lt;table class="simpletable"&gt;\n&lt;tr&gt;\n             &lt;td&gt;&lt;/td&gt;             &lt;th&gt;Poisson FE&lt;/th&gt; &lt;th&gt;NegBin FE&lt;/th&gt; &lt;th&gt;Poisson RE&lt;/th&gt;\n&lt;/tr&gt;\n&lt;tr&gt;\n  &lt;th&gt;Intercept&lt;/th&gt;                &lt;td&gt;-1.413***&lt;/td&gt; &lt;td&gt;-1.463***&lt;/td&gt;      &lt;td&gt;&lt;/td&gt;     \n&lt;/tr&gt;\n&lt;tr&gt;\n  &lt;th&gt;&lt;/th&gt;                          &lt;td&gt;(0.141)&lt;/td&gt;   &lt;td&gt;(0.147)&lt;/td&gt;       &lt;td&gt;&lt;/td&gt;     \n&lt;/tr&gt;\n&lt;tr&gt;\n  &lt;th&gt;C(Continent)[T.America]&lt;/th&gt;  &lt;td&gt;-0.528***&lt;/td&gt; &lt;td&gt;-0.536***&lt;/td&gt;      &lt;td&gt;&lt;/td&gt;     \n&lt;/tr&gt;\n&lt;tr&gt;\n  &lt;th&gt;&lt;/th&gt;                          &lt;td&gt;(0.140)&lt;/td&gt;   &lt;td&gt;(0.144)&lt;/td&gt;       &lt;td&gt;&lt;/td&gt;     \n&lt;/tr&gt;\n&lt;tr&gt;\n  &lt;th&gt;C(Continent)[T.Asia]&lt;/th&gt;     &lt;td&gt;-0.726***&lt;/td&gt; &lt;td&gt;-0.739***&lt;/td&gt;      &lt;td&gt;&lt;/td&gt;     \n&lt;/tr&gt;\n&lt;tr&gt;\n  &lt;th&gt;&lt;/th&gt;                          &lt;td&gt;(0.158)&lt;/td&gt;   &lt;td&gt;(0.162)&lt;/td&gt;       &lt;td&gt;&lt;/td&gt;     \n&lt;/tr&gt;\n&lt;tr&gt;\n  &lt;th&gt;C(Continent)[T.Europe]&lt;/th&gt;   &lt;td&gt;-0.791***&lt;/td&gt; &lt;td&gt;-0.798***&lt;/td&gt;      &lt;td&gt;&lt;/td&gt;     \n&lt;/tr&gt;\n&lt;tr&gt;\n  &lt;th&gt;&lt;/th&gt;                          &lt;td&gt;(0.151)&lt;/td&gt;   &lt;td&gt;(0.150)&lt;/td&gt;       &lt;td&gt;&lt;/td&gt;     \n&lt;/tr&gt;\n&lt;tr&gt;\n  &lt;th&gt;C(Continent)[T.Oceania]&lt;/th&gt;  &lt;td&gt;-1.429***&lt;/td&gt; &lt;td&gt;-1.442***&lt;/td&gt;      &lt;td&gt;&lt;/td&gt;     \n&lt;/tr&gt;\n&lt;tr&gt;\n  &lt;th&gt;&lt;/th&gt;                          &lt;td&gt;(0.246)&lt;/td&gt;   &lt;td&gt;(0.244)&lt;/td&gt;       &lt;td&gt;&lt;/td&gt;     \n&lt;/tr&gt;\n&lt;tr&gt;\n  &lt;th&gt;CLIMATIC&lt;/th&gt;                 &lt;td&gt;0.056***&lt;/td&gt;  &lt;td&gt;0.063***&lt;/td&gt;   &lt;td&gt;0.023***&lt;/td&gt; \n&lt;/tr&gt;\n&lt;tr&gt;\n  &lt;th&gt;&lt;/th&gt;                          &lt;td&gt;(0.008)&lt;/td&gt;   &lt;td&gt;(0.011)&lt;/td&gt;    &lt;td&gt;(0.004)&lt;/td&gt; \n&lt;/tr&gt;\n&lt;tr&gt;\n  &lt;th&gt;CONFLICTS&lt;/th&gt;                  &lt;td&gt;0.000&lt;/td&gt;     &lt;td&gt;0.000&lt;/td&gt;     &lt;td&gt;-0.000&lt;/td&gt;  \n&lt;/tr&gt;\n&lt;tr&gt;\n  &lt;th&gt;&lt;/th&gt;                          &lt;td&gt;(0.000)&lt;/td&gt;   &lt;td&gt;(0.000)&lt;/td&gt;    &lt;td&gt;(0.000)&lt;/td&gt; \n&lt;/tr&gt;\n&lt;tr&gt;\n  &lt;th&gt;ECOLOGICAL&lt;/th&gt;                 &lt;td&gt;0.049&lt;/td&gt;     &lt;td&gt;0.056&lt;/td&gt;      &lt;td&gt;0.041&lt;/td&gt;  \n&lt;/tr&gt;\n&lt;tr&gt;\n  &lt;th&gt;&lt;/th&gt;                          &lt;td&gt;(0.128)&lt;/td&gt;   &lt;td&gt;(0.125)&lt;/td&gt;    &lt;td&gt;(0.044)&lt;/td&gt; \n&lt;/tr&gt;\n&lt;tr&gt;\n  &lt;th&gt;ECONOMIC&lt;/th&gt;                  &lt;td&gt;0.162**&lt;/td&gt;   &lt;td&gt;0.170**&lt;/td&gt;   &lt;td&gt;0.077***&lt;/td&gt; \n&lt;/tr&gt;\n&lt;tr&gt;\n  &lt;th&gt;&lt;/th&gt;                          &lt;td&gt;(0.069)&lt;/td&gt;   &lt;td&gt;(0.070)&lt;/td&gt;    &lt;td&gt;(0.015)&lt;/td&gt; \n&lt;/tr&gt;\n&lt;tr&gt;\n  &lt;th&gt;GEOPHYSICAL&lt;/th&gt;               &lt;td&gt;-0.013&lt;/td&gt;    &lt;td&gt;-0.001&lt;/td&gt;    &lt;td&gt;-0.033**&lt;/td&gt; \n&lt;/tr&gt;\n&lt;tr&gt;\n  &lt;th&gt;&lt;/th&gt;                          &lt;td&gt;(0.068)&lt;/td&gt;   &lt;td&gt;(0.081)&lt;/td&gt;    &lt;td&gt;(0.015)&lt;/td&gt; \n&lt;/tr&gt;\n&lt;tr&gt;\n  &lt;th&gt;TECHNOLOGICAL&lt;/th&gt;            &lt;td&gt;0.021***&lt;/td&gt;   &lt;td&gt;0.026**&lt;/td&gt;   &lt;td&gt;0.020***&lt;/td&gt; \n&lt;/tr&gt;\n&lt;tr&gt;\n  &lt;th&gt;&lt;/th&gt;                          &lt;td&gt;(0.008)&lt;/td&gt;   &lt;td&gt;(0.012)&lt;/td&gt;    &lt;td&gt;(0.003)&lt;/td&gt; \n&lt;/tr&gt;\n&lt;tr&gt;\n  &lt;th&gt;Year_trend&lt;/th&gt;               &lt;td&gt;0.031***&lt;/td&gt;  &lt;td&gt;0.033***&lt;/td&gt;       &lt;td&gt;&lt;/td&gt;     \n&lt;/tr&gt;\n&lt;tr&gt;\n  &lt;th&gt;&lt;/th&gt;                          &lt;td&gt;(0.006)&lt;/td&gt;   &lt;td&gt;(0.006)&lt;/td&gt;       &lt;td&gt;&lt;/td&gt;     \n&lt;/tr&gt;\n&lt;tr&gt;\n  &lt;th&gt;const&lt;/th&gt;                        &lt;td&gt;&lt;/td&gt;          &lt;td&gt;&lt;/td&gt;       &lt;td&gt;0.192***&lt;/td&gt; \n&lt;/tr&gt;\n&lt;tr&gt;\n  &lt;th&gt;&lt;/th&gt;                             &lt;td&gt;&lt;/td&gt;          &lt;td&gt;&lt;/td&gt;        &lt;td&gt;(0.014)&lt;/td&gt; \n&lt;/tr&gt;\n&lt;tr&gt;\n  &lt;th&gt;R-squared&lt;/th&gt;                    &lt;td&gt;&lt;/td&gt;          &lt;td&gt;&lt;/td&gt;         &lt;td&gt;0.049&lt;/td&gt;  \n&lt;/tr&gt;\n&lt;tr&gt;\n  &lt;th&gt;R-squared Adj.&lt;/th&gt;               &lt;td&gt;&lt;/td&gt;          &lt;td&gt;&lt;/td&gt;          &lt;td&gt;nan&lt;/td&gt;   \n&lt;/tr&gt;\n&lt;/table&gt;&lt;br/&gt;\nStandard errors in parentheses.&lt;br/&gt;\n* p&lt;.1, ** p&lt;.05, ***p&lt;.01'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/>
      </w:r>
      <w:r>
        <w:rPr>
          <w:rStyle w:val="VerbatimChar"/>
        </w:rPr>
        <w:t xml:space="preserve">         Current function value: 0.508384</w:t>
      </w:r>
      <w:r>
        <w:br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VerbatimChar"/>
        </w:rPr>
        <w:t xml:space="preserve">'&lt;table class="simpletable"&gt;\n&lt;tr&gt;\n             &lt;td&gt;&lt;/td&gt;             &lt;th&gt;Logit FE&lt;/th&gt; \n&lt;/tr&gt;\n&lt;tr&gt;\n  &lt;th&gt;Intercept&lt;/th&gt;               &lt;td&gt;-1.637***&lt;/td&gt;\n&lt;/tr&gt;\n&lt;tr&gt;\n  &lt;th&gt;&lt;/th&gt;                         &lt;td&gt;(0.173)&lt;/td&gt; \n&lt;/tr&gt;\n&lt;tr&gt;\n  &lt;th&gt;C(Continent)[T.America]&lt;/th&gt; &lt;td&gt;-0.590***&lt;/td&gt;\n&lt;/tr&gt;\n&lt;tr&gt;\n  &lt;th&gt;&lt;/th&gt;                         &lt;td&gt;(0.166)&lt;/td&gt; \n&lt;/tr&gt;\n&lt;tr&gt;\n  &lt;th&gt;C(Continent)[T.Asia]&lt;/th&gt;    &lt;td&gt;-0.841***&lt;/td&gt;\n&lt;/tr&gt;\n&lt;tr&gt;\n  &lt;th&gt;&lt;/th&gt;                         &lt;td&gt;(0.184)&lt;/td&gt; \n&lt;/tr&gt;\n&lt;tr&gt;\n  &lt;th&gt;C(Continent)[T.Europe]&lt;/th&gt;  &lt;td&gt;-0.842***&lt;/td&gt;\n&lt;/tr&gt;\n&lt;tr&gt;\n  &lt;th&gt;&lt;/th&gt;                         &lt;td&gt;(0.159)&lt;/td&gt; \n&lt;/tr&gt;\n&lt;tr&gt;\n  &lt;th&gt;C(Continent)[T.Oceania]&lt;/th&gt; &lt;td&gt;-1.436***&lt;/td&gt;\n&lt;/tr&gt;\n&lt;tr&gt;\n  &lt;th&gt;&lt;/th&gt;                         &lt;td&gt;(0.277)&lt;/td&gt; \n&lt;/tr&gt;\n&lt;tr&gt;\n  &lt;th&gt;CLIMATIC&lt;/th&gt;                &lt;td&gt;0.087***&lt;/td&gt; \n&lt;/tr&gt;\n&lt;tr&gt;\n  &lt;th&gt;&lt;/th&gt;                         &lt;td&gt;(0.018)&lt;/td&gt; \n&lt;/tr&gt;\n&lt;tr&gt;\n  &lt;th&gt;CONFLICTS&lt;/th&gt;                 &lt;td&gt;0.000&lt;/td&gt;  \n&lt;/tr&gt;\n&lt;tr&gt;\n  &lt;th&gt;&lt;/th&gt;                         &lt;td&gt;(0.000)&lt;/td&gt; \n&lt;/tr&gt;\n&lt;tr&gt;\n  &lt;th&gt;ECOLOGICAL&lt;/th&gt;                &lt;td&gt;0.105&lt;/td&gt;  \n&lt;/tr&gt;\n&lt;tr&gt;\n  &lt;th&gt;&lt;/th&gt;                         &lt;td&gt;(0.185)&lt;/td&gt; \n&lt;/tr&gt;\n&lt;tr&gt;\n  &lt;th&gt;ECONOMIC&lt;/th&gt;                &lt;td&gt;0.212***&lt;/td&gt; \n&lt;/tr&gt;\n&lt;tr&gt;\n  &lt;th&gt;&lt;/th&gt;                         &lt;td&gt;(0.074)&lt;/td&gt; \n&lt;/tr&gt;\n&lt;tr&gt;\n  &lt;th&gt;GEOPHYSICAL&lt;/th&gt;               &lt;td&gt;0.022&lt;/td&gt;  \n&lt;/tr&gt;\n&lt;tr&gt;\n  &lt;th&gt;&lt;/th&gt;                         &lt;td&gt;(0.094)&lt;/td&gt; \n&lt;/tr&gt;\n&lt;tr&gt;\n  &lt;th&gt;TECHNOLOGICAL&lt;/th&gt;           &lt;td&gt;0.055***&lt;/td&gt; \n&lt;/tr&gt;\n&lt;tr&gt;\n  &lt;th&gt;&lt;/th&gt;                         &lt;td&gt;(0.018)&lt;/td&gt; \n&lt;/tr&gt;\n&lt;tr&gt;\n  &lt;th&gt;Year_trend&lt;/th&gt;              &lt;td&gt;0.049***&lt;/td&gt; \n&lt;/tr&gt;\n&lt;tr&gt;\n  &lt;th&gt;&lt;/th&gt;                         &lt;td&gt;(0.007)&lt;/td&gt; \n&lt;/tr&gt;\n&lt;/table&gt;&lt;br/&gt;\nStandard errors in parentheses.&lt;br/&gt;\n* p&lt;.1, ** p&lt;.05, ***p&lt;.01'</w:t>
      </w:r>
    </w:p>
    <w:bookmarkStart w:id="48" w:name="modelling-approaches"/>
    <w:p>
      <w:pPr>
        <w:pStyle w:val="Heading2"/>
      </w:pPr>
      <w:r>
        <w:t xml:space="preserve">4. Modelling Approaches</w:t>
      </w:r>
    </w:p>
    <w:bookmarkStart w:id="47" w:name="binary-probitlogit-models"/>
    <w:p>
      <w:pPr>
        <w:pStyle w:val="Heading3"/>
      </w:pPr>
      <w:r>
        <w:t xml:space="preserve">4.1. Binary Probit/Logit Models</w:t>
      </w:r>
    </w:p>
    <w:p>
      <w:pPr>
        <w:pStyle w:val="FirstParagraph"/>
      </w:pPr>
      <w:r>
        <w:t xml:space="preserve">Logistic regression models shock occurrence using 1-year lagged predictors:</w:t>
      </w:r>
    </w:p>
    <w:bookmarkEnd w:id="47"/>
    <w:bookmarkEnd w:id="48"/>
    <w:bookmarkStart w:id="50" w:name="modelling"/>
    <w:p>
      <w:pPr>
        <w:pStyle w:val="Heading2"/>
      </w:pPr>
      <w:r>
        <w:t xml:space="preserve">Modelling</w:t>
      </w:r>
    </w:p>
    <w:bookmarkStart w:id="49" w:name="results"/>
    <w:p>
      <w:pPr>
        <w:pStyle w:val="SourceCode"/>
      </w:pPr>
      <w:r>
        <w:rPr>
          <w:rStyle w:val="VerbatimChar"/>
        </w:rPr>
        <w:t xml:space="preserve">## Model Performance Metrics</w:t>
      </w:r>
      <w:r>
        <w:br/>
      </w:r>
      <w:r>
        <w:br/>
      </w:r>
      <w:r>
        <w:rPr>
          <w:rStyle w:val="VerbatimChar"/>
        </w:rPr>
        <w:t xml:space="preserve">|      |   Value |</w:t>
      </w:r>
      <w:r>
        <w:br/>
      </w:r>
      <w:r>
        <w:rPr>
          <w:rStyle w:val="VerbatimChar"/>
        </w:rPr>
        <w:t xml:space="preserve">|------|---------|</w:t>
      </w:r>
      <w:r>
        <w:br/>
      </w:r>
      <w:r>
        <w:rPr>
          <w:rStyle w:val="VerbatimChar"/>
        </w:rPr>
        <w:t xml:space="preserve">| RMSE |    0.6  |</w:t>
      </w:r>
      <w:r>
        <w:br/>
      </w:r>
      <w:r>
        <w:rPr>
          <w:rStyle w:val="VerbatimChar"/>
        </w:rPr>
        <w:t xml:space="preserve">| R2   |   -0.26 |</w:t>
      </w:r>
      <w:r>
        <w:br/>
      </w:r>
      <w:r>
        <w:br/>
      </w:r>
      <w:r>
        <w:br/>
      </w:r>
      <w:r>
        <w:rPr>
          <w:rStyle w:val="VerbatimChar"/>
        </w:rPr>
        <w:t xml:space="preserve">## Regression Coefficients</w:t>
      </w:r>
      <w:r>
        <w:br/>
      </w:r>
      <w:r>
        <w:br/>
      </w:r>
      <w:r>
        <w:rPr>
          <w:rStyle w:val="VerbatimChar"/>
        </w:rPr>
        <w:t xml:space="preserve">| Variable                |   Coef. |   Std.Err. |   p-value |</w:t>
      </w:r>
      <w:r>
        <w:br/>
      </w:r>
      <w:r>
        <w:rPr>
          <w:rStyle w:val="VerbatimChar"/>
        </w:rPr>
        <w:t xml:space="preserve">|-------------------------|---------|------------|-----------|</w:t>
      </w:r>
      <w:r>
        <w:br/>
      </w:r>
      <w:r>
        <w:rPr>
          <w:rStyle w:val="VerbatimChar"/>
        </w:rPr>
        <w:t xml:space="preserve">| Intercept               |  -0.923 |      0.129 |     0     |</w:t>
      </w:r>
      <w:r>
        <w:br/>
      </w:r>
      <w:r>
        <w:rPr>
          <w:rStyle w:val="VerbatimChar"/>
        </w:rPr>
        <w:t xml:space="preserve">| C(Continent)[T.America] |  -0.679 |      0.18  |     0     |</w:t>
      </w:r>
      <w:r>
        <w:br/>
      </w:r>
      <w:r>
        <w:rPr>
          <w:rStyle w:val="VerbatimChar"/>
        </w:rPr>
        <w:t xml:space="preserve">| C(Continent)[T.Asia]    |  -0.731 |      0.151 |     0     |</w:t>
      </w:r>
      <w:r>
        <w:br/>
      </w:r>
      <w:r>
        <w:rPr>
          <w:rStyle w:val="VerbatimChar"/>
        </w:rPr>
        <w:t xml:space="preserve">| C(Continent)[T.Europe]  |  -0.674 |      0.141 |     0     |</w:t>
      </w:r>
      <w:r>
        <w:br/>
      </w:r>
      <w:r>
        <w:rPr>
          <w:rStyle w:val="VerbatimChar"/>
        </w:rPr>
        <w:t xml:space="preserve">| C(Continent)[T.Oceania] |  -1.293 |      0.263 |     0     |</w:t>
      </w:r>
      <w:r>
        <w:br/>
      </w:r>
      <w:r>
        <w:rPr>
          <w:rStyle w:val="VerbatimChar"/>
        </w:rPr>
        <w:t xml:space="preserve">| ECONOMIC_lag5           |   0.225 |      0.073 |     0.002 |</w:t>
      </w:r>
      <w:r>
        <w:br/>
      </w:r>
      <w:r>
        <w:rPr>
          <w:rStyle w:val="VerbatimChar"/>
        </w:rPr>
        <w:t xml:space="preserve">| TECHNOLOGICAL_lag2      |  -0.034 |      0.014 |     0.015 |</w:t>
      </w:r>
      <w:r>
        <w:br/>
      </w:r>
      <w:r>
        <w:rPr>
          <w:rStyle w:val="VerbatimChar"/>
        </w:rPr>
        <w:t xml:space="preserve">| TECHNOLOGICAL_lag5      |   0.021 |      0.009 |     0.023 |</w:t>
      </w:r>
      <w:r>
        <w:br/>
      </w:r>
      <w:r>
        <w:rPr>
          <w:rStyle w:val="VerbatimChar"/>
        </w:rPr>
        <w:t xml:space="preserve">| CLIMATIC_lag1           |   0.027 |      0.015 |     0.06  |</w:t>
      </w:r>
      <w:r>
        <w:br/>
      </w:r>
      <w:r>
        <w:rPr>
          <w:rStyle w:val="VerbatimChar"/>
        </w:rPr>
        <w:t xml:space="preserve">| GEOPHYSICAL_lag5        |  -0.064 |      0.039 |     0.097 |</w:t>
      </w:r>
      <w:r>
        <w:br/>
      </w:r>
      <w:r>
        <w:rPr>
          <w:rStyle w:val="VerbatimChar"/>
        </w:rPr>
        <w:t xml:space="preserve">| ECONOMIC_lag1           |   0.12  |      0.074 |     0.107 |</w:t>
      </w:r>
      <w:r>
        <w:br/>
      </w:r>
      <w:r>
        <w:rPr>
          <w:rStyle w:val="VerbatimChar"/>
        </w:rPr>
        <w:t xml:space="preserve">| ECOLOGICAL              |   0.204 |      0.135 |     0.13  |</w:t>
      </w:r>
      <w:r>
        <w:br/>
      </w:r>
      <w:r>
        <w:rPr>
          <w:rStyle w:val="VerbatimChar"/>
        </w:rPr>
        <w:t xml:space="preserve">| ECOLOGICAL_lag4         |   0.184 |      0.127 |     0.148 |</w:t>
      </w:r>
      <w:r>
        <w:br/>
      </w:r>
      <w:r>
        <w:rPr>
          <w:rStyle w:val="VerbatimChar"/>
        </w:rPr>
        <w:t xml:space="preserve">| TECHNOLOGICAL_lag1      |   0.015 |      0.012 |     0.227 |</w:t>
      </w:r>
      <w:r>
        <w:br/>
      </w:r>
      <w:r>
        <w:rPr>
          <w:rStyle w:val="VerbatimChar"/>
        </w:rPr>
        <w:t xml:space="preserve">| CLIMATIC_lag2           |   0.019 |      0.016 |     0.246 |</w:t>
      </w:r>
      <w:r>
        <w:br/>
      </w:r>
      <w:r>
        <w:rPr>
          <w:rStyle w:val="VerbatimChar"/>
        </w:rPr>
        <w:t xml:space="preserve">| ECONOMIC_lag3           |  -0.1   |      0.088 |     0.257 |</w:t>
      </w:r>
      <w:r>
        <w:br/>
      </w:r>
      <w:r>
        <w:rPr>
          <w:rStyle w:val="VerbatimChar"/>
        </w:rPr>
        <w:t xml:space="preserve">| CONFLICTS_lag3          |   0.001 |      0.001 |     0.258 |</w:t>
      </w:r>
      <w:r>
        <w:br/>
      </w:r>
      <w:r>
        <w:rPr>
          <w:rStyle w:val="VerbatimChar"/>
        </w:rPr>
        <w:t xml:space="preserve">| GEOPHYSICAL_lag3        |  -0.051 |      0.046 |     0.264 |</w:t>
      </w:r>
      <w:r>
        <w:br/>
      </w:r>
      <w:r>
        <w:rPr>
          <w:rStyle w:val="VerbatimChar"/>
        </w:rPr>
        <w:t xml:space="preserve">| CONFLICTS_lag1          |   0.001 |      0.001 |     0.266 |</w:t>
      </w:r>
      <w:r>
        <w:br/>
      </w:r>
      <w:r>
        <w:rPr>
          <w:rStyle w:val="VerbatimChar"/>
        </w:rPr>
        <w:t xml:space="preserve">| ECOLOGICAL_lag1         |   0.175 |      0.162 |     0.281 |</w:t>
      </w:r>
      <w:r>
        <w:br/>
      </w:r>
      <w:r>
        <w:rPr>
          <w:rStyle w:val="VerbatimChar"/>
        </w:rPr>
        <w:t xml:space="preserve">| TECHNOLOGICAL_lag3      |   0.012 |      0.012 |     0.304 |</w:t>
      </w:r>
      <w:r>
        <w:br/>
      </w:r>
      <w:r>
        <w:rPr>
          <w:rStyle w:val="VerbatimChar"/>
        </w:rPr>
        <w:t xml:space="preserve">| CLIMATIC_lag4           |   0.017 |      0.018 |     0.331 |</w:t>
      </w:r>
      <w:r>
        <w:br/>
      </w:r>
      <w:r>
        <w:rPr>
          <w:rStyle w:val="VerbatimChar"/>
        </w:rPr>
        <w:t xml:space="preserve">| GEOPHYSICAL_lag1        |   0.052 |      0.056 |     0.346 |</w:t>
      </w:r>
      <w:r>
        <w:br/>
      </w:r>
      <w:r>
        <w:rPr>
          <w:rStyle w:val="VerbatimChar"/>
        </w:rPr>
        <w:t xml:space="preserve">| GEOPHYSICAL             |   0.042 |      0.049 |     0.396 |</w:t>
      </w:r>
      <w:r>
        <w:br/>
      </w:r>
      <w:r>
        <w:rPr>
          <w:rStyle w:val="VerbatimChar"/>
        </w:rPr>
        <w:t xml:space="preserve">| ECONOMIC_lag2           |  -0.081 |      0.098 |     0.41  |</w:t>
      </w:r>
      <w:r>
        <w:br/>
      </w:r>
      <w:r>
        <w:rPr>
          <w:rStyle w:val="VerbatimChar"/>
        </w:rPr>
        <w:t xml:space="preserve">| ECONOMIC                |   0.06  |      0.076 |     0.432 |</w:t>
      </w:r>
      <w:r>
        <w:br/>
      </w:r>
      <w:r>
        <w:rPr>
          <w:rStyle w:val="VerbatimChar"/>
        </w:rPr>
        <w:t xml:space="preserve">| ECOLOGICAL_lag3         |   0.094 |      0.143 |     0.512 |</w:t>
      </w:r>
      <w:r>
        <w:br/>
      </w:r>
      <w:r>
        <w:rPr>
          <w:rStyle w:val="VerbatimChar"/>
        </w:rPr>
        <w:t xml:space="preserve">| CONFLICTS_lag4          |  -0.001 |      0.001 |     0.543 |</w:t>
      </w:r>
      <w:r>
        <w:br/>
      </w:r>
      <w:r>
        <w:rPr>
          <w:rStyle w:val="VerbatimChar"/>
        </w:rPr>
        <w:t xml:space="preserve">| CLIMATIC                |   0.011 |      0.02  |     0.589 |</w:t>
      </w:r>
      <w:r>
        <w:br/>
      </w:r>
      <w:r>
        <w:rPr>
          <w:rStyle w:val="VerbatimChar"/>
        </w:rPr>
        <w:t xml:space="preserve">| CONFLICTS               |  -0     |      0.001 |     0.603 |</w:t>
      </w:r>
      <w:r>
        <w:br/>
      </w:r>
      <w:r>
        <w:rPr>
          <w:rStyle w:val="VerbatimChar"/>
        </w:rPr>
        <w:t xml:space="preserve">| CONFLICTS_lag5          |  -0     |      0.001 |     0.618 |</w:t>
      </w:r>
      <w:r>
        <w:br/>
      </w:r>
      <w:r>
        <w:rPr>
          <w:rStyle w:val="VerbatimChar"/>
        </w:rPr>
        <w:t xml:space="preserve">| TECHNOLOGICAL_lag4      |   0.005 |      0.012 |     0.671 |</w:t>
      </w:r>
      <w:r>
        <w:br/>
      </w:r>
      <w:r>
        <w:rPr>
          <w:rStyle w:val="VerbatimChar"/>
        </w:rPr>
        <w:t xml:space="preserve">| ECONOMIC_lag4           |  -0.03  |      0.077 |     0.694 |</w:t>
      </w:r>
      <w:r>
        <w:br/>
      </w:r>
      <w:r>
        <w:rPr>
          <w:rStyle w:val="VerbatimChar"/>
        </w:rPr>
        <w:t xml:space="preserve">| ECOLOGICAL_lag5         |   0.045 |      0.125 |     0.718 |</w:t>
      </w:r>
      <w:r>
        <w:br/>
      </w:r>
      <w:r>
        <w:rPr>
          <w:rStyle w:val="VerbatimChar"/>
        </w:rPr>
        <w:t xml:space="preserve">| TECHNOLOGICAL           |  -0.004 |      0.014 |     0.748 |</w:t>
      </w:r>
      <w:r>
        <w:br/>
      </w:r>
      <w:r>
        <w:rPr>
          <w:rStyle w:val="VerbatimChar"/>
        </w:rPr>
        <w:t xml:space="preserve">| ECOLOGICAL_lag2         |  -0.046 |      0.168 |     0.785 |</w:t>
      </w:r>
      <w:r>
        <w:br/>
      </w:r>
      <w:r>
        <w:rPr>
          <w:rStyle w:val="VerbatimChar"/>
        </w:rPr>
        <w:t xml:space="preserve">| CONFLICTS_lag2          |   0     |      0.001 |     0.798 |</w:t>
      </w:r>
      <w:r>
        <w:br/>
      </w:r>
      <w:r>
        <w:rPr>
          <w:rStyle w:val="VerbatimChar"/>
        </w:rPr>
        <w:t xml:space="preserve">| CLIMATIC_lag3           |   0.002 |      0.012 |     0.889 |</w:t>
      </w:r>
      <w:r>
        <w:br/>
      </w:r>
      <w:r>
        <w:rPr>
          <w:rStyle w:val="VerbatimChar"/>
        </w:rPr>
        <w:t xml:space="preserve">| CLIMATIC_lag5           |  -0.002 |      0.015 |     0.916 |</w:t>
      </w:r>
      <w:r>
        <w:br/>
      </w:r>
      <w:r>
        <w:rPr>
          <w:rStyle w:val="VerbatimChar"/>
        </w:rPr>
        <w:t xml:space="preserve">| GEOPHYSICAL_lag2        |  -0.005 |      0.045 |     0.919 |</w:t>
      </w:r>
      <w:r>
        <w:br/>
      </w:r>
      <w:r>
        <w:rPr>
          <w:rStyle w:val="VerbatimChar"/>
        </w:rPr>
        <w:t xml:space="preserve">| GEOPHYSICAL_lag4        |  -0.003 |      0.041 |     0.934 |</w:t>
      </w:r>
    </w:p>
    <w:bookmarkEnd w:id="49"/>
    <w:bookmarkEnd w:id="50"/>
    <w:bookmarkStart w:id="52" w:name="regression-results"/>
    <w:p>
      <w:pPr>
        <w:pStyle w:val="Heading2"/>
      </w:pPr>
      <w:r>
        <w:t xml:space="preserve">Regression Results</w:t>
      </w:r>
    </w:p>
    <w:bookmarkStart w:id="51" w:name="poissoncount-models"/>
    <w:p>
      <w:pPr>
        <w:pStyle w:val="Heading3"/>
      </w:pPr>
      <w:r>
        <w:t xml:space="preserve">4.2. Poisson/Count Models</w:t>
      </w:r>
    </w:p>
    <w:p>
      <w:pPr>
        <w:pStyle w:val="FirstParagraph"/>
      </w:pPr>
      <w:r>
        <w:t xml:space="preserve">Negative binomial regression addresses overdispersion in shock counts:</w:t>
      </w:r>
    </w:p>
    <w:bookmarkEnd w:id="51"/>
    <w:bookmarkEnd w:id="52"/>
    <w:bookmarkStart w:id="53" w:name="discussion"/>
    <w:p>
      <w:pPr>
        <w:pStyle w:val="Heading2"/>
      </w:pPr>
      <w:r>
        <w:t xml:space="preserve">5. Discussion</w:t>
      </w:r>
    </w:p>
    <w:bookmarkEnd w:id="53"/>
    <w:bookmarkStart w:id="54" w:name="conclusion"/>
    <w:p>
      <w:pPr>
        <w:pStyle w:val="Heading2"/>
      </w:pPr>
      <w:r>
        <w:t xml:space="preserve">6. Conclusion</w:t>
      </w:r>
    </w:p>
    <w:bookmarkEnd w:id="54"/>
    <w:bookmarkStart w:id="57" w:name="references"/>
    <w:p>
      <w:pPr>
        <w:pStyle w:val="Heading2"/>
      </w:pPr>
      <w:r>
        <w:t xml:space="preserve">References</w:t>
      </w:r>
    </w:p>
    <w:bookmarkStart w:id="56" w:name="refs"/>
    <w:bookmarkStart w:id="55" w:name="ref-delannoy2024dynamics"/>
    <w:p>
      <w:pPr>
        <w:pStyle w:val="Bibliography"/>
      </w:pPr>
      <w:r>
        <w:t xml:space="preserve">Delannoy, L., Verzier, A., Bastien-Olvera, B. A., Benra, F., Nyström, M., &amp; Jørgensen, P. S. (2024).</w:t>
      </w:r>
      <w:r>
        <w:t xml:space="preserve"> </w:t>
      </w:r>
      <w:r>
        <w:rPr>
          <w:i/>
          <w:iCs/>
        </w:rPr>
        <w:t xml:space="preserve">Dynamics of the polycrisis: Temporal trends, spatial distribution and interconnections of national shocks (1970-2019)</w:t>
      </w:r>
      <w:r>
        <w:t xml:space="preserve">.</w:t>
      </w:r>
    </w:p>
    <w:bookmarkEnd w:id="55"/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EPPs and Shocks</dc:title>
  <dc:creator>Amare</dc:creator>
  <cp:keywords/>
  <dcterms:created xsi:type="dcterms:W3CDTF">2025-05-19T09:34:42Z</dcterms:created>
  <dcterms:modified xsi:type="dcterms:W3CDTF">2025-05-19T09:34:42Z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date">
    <vt:lpwstr>2025-05-19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