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CDA52" w14:textId="4F8F79FA" w:rsidR="005F4C1B" w:rsidRPr="000F415D" w:rsidRDefault="000F415D" w:rsidP="000F415D">
      <w:pPr>
        <w:spacing w:after="0" w:line="240" w:lineRule="auto"/>
        <w:jc w:val="center"/>
        <w:rPr>
          <w:rFonts w:ascii="Arial Black" w:eastAsiaTheme="majorEastAsia" w:hAnsi="Arial Black" w:cs="Times New Roman"/>
          <w:spacing w:val="-10"/>
          <w:kern w:val="28"/>
          <w:sz w:val="40"/>
          <w:szCs w:val="40"/>
          <w14:ligatures w14:val="standardContextual"/>
        </w:rPr>
      </w:pPr>
      <w:r w:rsidRPr="000F415D">
        <w:rPr>
          <w:rFonts w:ascii="Arial Black" w:eastAsiaTheme="majorEastAsia" w:hAnsi="Arial Black" w:cs="Times New Roman"/>
          <w:spacing w:val="-10"/>
          <w:kern w:val="28"/>
          <w:sz w:val="40"/>
          <w:szCs w:val="40"/>
          <w14:ligatures w14:val="standardContextual"/>
        </w:rPr>
        <w:t>CHILDREN'S ANEMIA IN NIGERIA</w:t>
      </w:r>
    </w:p>
    <w:p w14:paraId="7310327C" w14:textId="77777777" w:rsidR="005F4C1B" w:rsidRPr="000F415D" w:rsidRDefault="005F4C1B" w:rsidP="000F415D">
      <w:pPr>
        <w:spacing w:after="0" w:line="240" w:lineRule="auto"/>
        <w:jc w:val="center"/>
        <w:rPr>
          <w:rFonts w:ascii="Times New Roman" w:eastAsiaTheme="majorEastAsia" w:hAnsi="Times New Roman" w:cs="Times New Roman"/>
          <w:b/>
          <w:bCs/>
          <w:spacing w:val="-10"/>
          <w:kern w:val="28"/>
          <w:sz w:val="26"/>
          <w:szCs w:val="26"/>
          <w14:ligatures w14:val="standardContextual"/>
        </w:rPr>
      </w:pPr>
      <w:r w:rsidRPr="000F415D">
        <w:rPr>
          <w:rFonts w:ascii="Times New Roman" w:eastAsiaTheme="majorEastAsia" w:hAnsi="Times New Roman" w:cs="Times New Roman"/>
          <w:b/>
          <w:bCs/>
          <w:spacing w:val="-10"/>
          <w:kern w:val="28"/>
          <w:sz w:val="32"/>
          <w:szCs w:val="32"/>
          <w14:ligatures w14:val="standardContextual"/>
        </w:rPr>
        <w:t>Comprehensive Data Analysis Report</w:t>
      </w:r>
    </w:p>
    <w:p w14:paraId="4F6DAFD0" w14:textId="77777777" w:rsidR="005F4C1B" w:rsidRPr="000F415D" w:rsidRDefault="005F4C1B" w:rsidP="000F415D">
      <w:pPr>
        <w:spacing w:after="0" w:line="240" w:lineRule="auto"/>
        <w:jc w:val="center"/>
        <w:rPr>
          <w:rFonts w:ascii="Times New Roman" w:eastAsiaTheme="majorEastAsia" w:hAnsi="Times New Roman" w:cs="Times New Roman"/>
          <w:spacing w:val="-10"/>
          <w:kern w:val="28"/>
          <w:sz w:val="26"/>
          <w:szCs w:val="26"/>
          <w14:ligatures w14:val="standardContextual"/>
        </w:rPr>
      </w:pPr>
      <w:r w:rsidRPr="000F415D">
        <w:rPr>
          <w:rFonts w:ascii="Times New Roman" w:eastAsiaTheme="majorEastAsia" w:hAnsi="Times New Roman" w:cs="Times New Roman"/>
          <w:spacing w:val="-10"/>
          <w:kern w:val="28"/>
          <w:sz w:val="26"/>
          <w:szCs w:val="26"/>
          <w14:ligatures w14:val="standardContextual"/>
        </w:rPr>
        <w:t>Analysis of 2018 Nigeria Demographic and Health Survey (NDHS)</w:t>
      </w:r>
    </w:p>
    <w:p w14:paraId="6D4BA084"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0959D7F9" w14:textId="77777777" w:rsidR="005F4C1B" w:rsidRPr="000F415D"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F415D">
        <w:rPr>
          <w:rFonts w:ascii="Times New Roman" w:eastAsiaTheme="majorEastAsia" w:hAnsi="Times New Roman" w:cs="Times New Roman"/>
          <w:b/>
          <w:bCs/>
          <w:spacing w:val="-10"/>
          <w:kern w:val="28"/>
          <w:sz w:val="24"/>
          <w:szCs w:val="24"/>
          <w14:ligatures w14:val="standardContextual"/>
        </w:rPr>
        <w:t>Executive Summary</w:t>
      </w:r>
    </w:p>
    <w:p w14:paraId="56BF3436" w14:textId="0C39EAA5"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This report presents a comprehensive analysis of childhood anemia in Nigeria using representative data from the 2018 Nigeria Demographic and Health Survey (NDHS). The analysis examines 10,182 children aged 0-59 months with valid child hemoglobin measurements.</w:t>
      </w:r>
    </w:p>
    <w:p w14:paraId="0042E3C6"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2128C27A" w14:textId="77777777" w:rsidR="005F4C1B" w:rsidRPr="000F415D"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F415D">
        <w:rPr>
          <w:rFonts w:ascii="Times New Roman" w:eastAsiaTheme="majorEastAsia" w:hAnsi="Times New Roman" w:cs="Times New Roman"/>
          <w:b/>
          <w:bCs/>
          <w:spacing w:val="-10"/>
          <w:kern w:val="28"/>
          <w:sz w:val="24"/>
          <w:szCs w:val="24"/>
          <w14:ligatures w14:val="standardContextual"/>
        </w:rPr>
        <w:t>Key Findings:</w:t>
      </w:r>
    </w:p>
    <w:p w14:paraId="0ED77F72" w14:textId="24EC781C" w:rsidR="00B66B3A" w:rsidRDefault="005F4C1B" w:rsidP="00622261">
      <w:pPr>
        <w:pStyle w:val="ListParagraph"/>
        <w:numPr>
          <w:ilvl w:val="0"/>
          <w:numId w:val="1"/>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68.8% of Nigerian children under 5years experience some level of anemia</w:t>
      </w:r>
      <w:r w:rsidR="00B66B3A">
        <w:rPr>
          <w:rFonts w:ascii="Times New Roman" w:eastAsiaTheme="majorEastAsia" w:hAnsi="Times New Roman" w:cs="Times New Roman"/>
          <w:spacing w:val="-10"/>
          <w:kern w:val="28"/>
          <w:sz w:val="24"/>
          <w:szCs w:val="24"/>
          <w14:ligatures w14:val="standardContextual"/>
        </w:rPr>
        <w:t>.</w:t>
      </w:r>
    </w:p>
    <w:p w14:paraId="375AE5B3" w14:textId="335026C7" w:rsidR="00B66B3A" w:rsidRDefault="005F4C1B" w:rsidP="00334CA9">
      <w:pPr>
        <w:pStyle w:val="ListParagraph"/>
        <w:numPr>
          <w:ilvl w:val="0"/>
          <w:numId w:val="1"/>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Anemia is strongly associated with household socioeconomic factors</w:t>
      </w:r>
      <w:r w:rsidR="00B66B3A">
        <w:rPr>
          <w:rFonts w:ascii="Times New Roman" w:eastAsiaTheme="majorEastAsia" w:hAnsi="Times New Roman" w:cs="Times New Roman"/>
          <w:spacing w:val="-10"/>
          <w:kern w:val="28"/>
          <w:sz w:val="24"/>
          <w:szCs w:val="24"/>
          <w14:ligatures w14:val="standardContextual"/>
        </w:rPr>
        <w:t>.</w:t>
      </w:r>
    </w:p>
    <w:p w14:paraId="41E7A14D" w14:textId="77777777" w:rsidR="00B66B3A" w:rsidRDefault="005F4C1B" w:rsidP="00A22400">
      <w:pPr>
        <w:pStyle w:val="ListParagraph"/>
        <w:numPr>
          <w:ilvl w:val="0"/>
          <w:numId w:val="1"/>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Wealth disparities are dramatic: 79.5% of poorest children are anemic vs. 53.5% of richest</w:t>
      </w:r>
      <w:r w:rsidR="00B66B3A">
        <w:rPr>
          <w:rFonts w:ascii="Times New Roman" w:eastAsiaTheme="majorEastAsia" w:hAnsi="Times New Roman" w:cs="Times New Roman"/>
          <w:spacing w:val="-10"/>
          <w:kern w:val="28"/>
          <w:sz w:val="24"/>
          <w:szCs w:val="24"/>
          <w14:ligatures w14:val="standardContextual"/>
        </w:rPr>
        <w:t>.</w:t>
      </w:r>
    </w:p>
    <w:p w14:paraId="21EDF246" w14:textId="77777777" w:rsidR="00B66B3A" w:rsidRDefault="005F4C1B" w:rsidP="004D74B2">
      <w:pPr>
        <w:pStyle w:val="ListParagraph"/>
        <w:numPr>
          <w:ilvl w:val="0"/>
          <w:numId w:val="1"/>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Rural children face significantly higher anemia burden (72.9%) compared to urban (62.3%)</w:t>
      </w:r>
      <w:r w:rsidR="00B66B3A" w:rsidRPr="00B66B3A">
        <w:rPr>
          <w:rFonts w:ascii="Times New Roman" w:eastAsiaTheme="majorEastAsia" w:hAnsi="Times New Roman" w:cs="Times New Roman"/>
          <w:spacing w:val="-10"/>
          <w:kern w:val="28"/>
          <w:sz w:val="24"/>
          <w:szCs w:val="24"/>
          <w14:ligatures w14:val="standardContextual"/>
        </w:rPr>
        <w:t>.</w:t>
      </w:r>
    </w:p>
    <w:p w14:paraId="4CAB29F2" w14:textId="6634756B" w:rsidR="005F4C1B" w:rsidRPr="00B66B3A" w:rsidRDefault="005F4C1B" w:rsidP="001F54A9">
      <w:pPr>
        <w:pStyle w:val="ListParagraph"/>
        <w:numPr>
          <w:ilvl w:val="0"/>
          <w:numId w:val="1"/>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Early childhood anemia remains a critical public health challenge requiring targeted interventions</w:t>
      </w:r>
      <w:r w:rsidR="00B66B3A">
        <w:rPr>
          <w:rFonts w:ascii="Times New Roman" w:eastAsiaTheme="majorEastAsia" w:hAnsi="Times New Roman" w:cs="Times New Roman"/>
          <w:spacing w:val="-10"/>
          <w:kern w:val="28"/>
          <w:sz w:val="24"/>
          <w:szCs w:val="24"/>
          <w14:ligatures w14:val="standardContextual"/>
        </w:rPr>
        <w:t>.</w:t>
      </w:r>
    </w:p>
    <w:p w14:paraId="7A6867A6" w14:textId="77777777" w:rsid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5D74FCE8" w14:textId="24EB8560" w:rsidR="005F4C1B" w:rsidRPr="000F415D"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F415D">
        <w:rPr>
          <w:rFonts w:ascii="Times New Roman" w:eastAsiaTheme="majorEastAsia" w:hAnsi="Times New Roman" w:cs="Times New Roman"/>
          <w:b/>
          <w:bCs/>
          <w:spacing w:val="-10"/>
          <w:kern w:val="28"/>
          <w:sz w:val="24"/>
          <w:szCs w:val="24"/>
          <w14:ligatures w14:val="standardContextual"/>
        </w:rPr>
        <w:t>Research Question</w:t>
      </w:r>
    </w:p>
    <w:p w14:paraId="6C1741DF"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How are household socioeconomic factors (wealth, maternal education, residence type) associated with anemia prevalence among children aged 0-59 months in Nigeria?</w:t>
      </w:r>
    </w:p>
    <w:p w14:paraId="1D5ACC41" w14:textId="77777777" w:rsid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5346EFF0" w14:textId="125D38DA"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Methodology</w:t>
      </w:r>
    </w:p>
    <w:p w14:paraId="636FA1A1"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Data Source</w:t>
      </w:r>
    </w:p>
    <w:p w14:paraId="1076166F" w14:textId="12C36DBC" w:rsid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The analysis utilizes cross-sectional data from the 2018 Nigeria Demographic and Health Survey (NDHS), a nationally representative household survey covering all 36 Nigerian states plus the Federal Capital Territory (FCT). The target population includes children aged 0-59 months and their mothers aged 15-49 years.</w:t>
      </w:r>
    </w:p>
    <w:p w14:paraId="100144DF" w14:textId="3F5A90E9"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Sample Size and Data Completeness</w:t>
      </w:r>
    </w:p>
    <w:tbl>
      <w:tblPr>
        <w:tblStyle w:val="TableGrid"/>
        <w:tblW w:w="9895" w:type="dxa"/>
        <w:tblLook w:val="04A0" w:firstRow="1" w:lastRow="0" w:firstColumn="1" w:lastColumn="0" w:noHBand="0" w:noVBand="1"/>
      </w:tblPr>
      <w:tblGrid>
        <w:gridCol w:w="4315"/>
        <w:gridCol w:w="5580"/>
      </w:tblGrid>
      <w:tr w:rsidR="00B66B3A" w:rsidRPr="00B66B3A" w14:paraId="179E8F61" w14:textId="77777777" w:rsidTr="000D00C6">
        <w:tc>
          <w:tcPr>
            <w:tcW w:w="4315" w:type="dxa"/>
          </w:tcPr>
          <w:p w14:paraId="2FD60758" w14:textId="77777777" w:rsidR="00B66B3A" w:rsidRPr="00B66B3A" w:rsidRDefault="00B66B3A" w:rsidP="009F735E">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B66B3A">
              <w:rPr>
                <w:rFonts w:ascii="Times New Roman" w:eastAsiaTheme="majorEastAsia" w:hAnsi="Times New Roman" w:cs="Times New Roman"/>
                <w:b/>
                <w:bCs/>
                <w:spacing w:val="-10"/>
                <w:kern w:val="28"/>
                <w:sz w:val="24"/>
                <w:szCs w:val="24"/>
                <w14:ligatures w14:val="standardContextual"/>
              </w:rPr>
              <w:t>Metric</w:t>
            </w:r>
          </w:p>
        </w:tc>
        <w:tc>
          <w:tcPr>
            <w:tcW w:w="5580" w:type="dxa"/>
          </w:tcPr>
          <w:p w14:paraId="40E47663" w14:textId="77777777" w:rsidR="00B66B3A" w:rsidRPr="00B66B3A" w:rsidRDefault="00B66B3A" w:rsidP="009F735E">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B66B3A">
              <w:rPr>
                <w:rFonts w:ascii="Times New Roman" w:eastAsiaTheme="majorEastAsia" w:hAnsi="Times New Roman" w:cs="Times New Roman"/>
                <w:b/>
                <w:bCs/>
                <w:spacing w:val="-10"/>
                <w:kern w:val="28"/>
                <w:sz w:val="24"/>
                <w:szCs w:val="24"/>
                <w14:ligatures w14:val="standardContextual"/>
              </w:rPr>
              <w:t>Value</w:t>
            </w:r>
          </w:p>
        </w:tc>
      </w:tr>
      <w:tr w:rsidR="00B66B3A" w:rsidRPr="00B66B3A" w14:paraId="791B84E1" w14:textId="77777777" w:rsidTr="000D00C6">
        <w:tc>
          <w:tcPr>
            <w:tcW w:w="4315" w:type="dxa"/>
          </w:tcPr>
          <w:p w14:paraId="38EF46CB" w14:textId="77777777" w:rsidR="00B66B3A" w:rsidRPr="00B66B3A" w:rsidRDefault="00B66B3A" w:rsidP="009F735E">
            <w:pPr>
              <w:spacing w:after="0" w:line="360" w:lineRule="auto"/>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Total Records in Dataset</w:t>
            </w:r>
          </w:p>
        </w:tc>
        <w:tc>
          <w:tcPr>
            <w:tcW w:w="5580" w:type="dxa"/>
          </w:tcPr>
          <w:p w14:paraId="4E7BA952" w14:textId="77777777" w:rsidR="00B66B3A" w:rsidRPr="00B66B3A" w:rsidRDefault="00B66B3A" w:rsidP="009F735E">
            <w:pPr>
              <w:spacing w:after="0" w:line="360" w:lineRule="auto"/>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33,924</w:t>
            </w:r>
          </w:p>
        </w:tc>
      </w:tr>
      <w:tr w:rsidR="00B66B3A" w:rsidRPr="00B66B3A" w14:paraId="3A40049B" w14:textId="77777777" w:rsidTr="000D00C6">
        <w:tc>
          <w:tcPr>
            <w:tcW w:w="4315" w:type="dxa"/>
          </w:tcPr>
          <w:p w14:paraId="2FC5A0A1" w14:textId="77777777" w:rsidR="00B66B3A" w:rsidRPr="00B66B3A" w:rsidRDefault="00B66B3A" w:rsidP="009F735E">
            <w:pPr>
              <w:spacing w:after="0" w:line="360" w:lineRule="auto"/>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Records with Valid Anemia Data</w:t>
            </w:r>
          </w:p>
        </w:tc>
        <w:tc>
          <w:tcPr>
            <w:tcW w:w="5580" w:type="dxa"/>
          </w:tcPr>
          <w:p w14:paraId="4BB001C0" w14:textId="77777777" w:rsidR="00B66B3A" w:rsidRPr="00B66B3A" w:rsidRDefault="00B66B3A" w:rsidP="009F735E">
            <w:pPr>
              <w:spacing w:after="0" w:line="360" w:lineRule="auto"/>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10,182 (30.0%)</w:t>
            </w:r>
          </w:p>
        </w:tc>
      </w:tr>
      <w:tr w:rsidR="00B66B3A" w:rsidRPr="00B66B3A" w14:paraId="1C1DA83F" w14:textId="77777777" w:rsidTr="000D00C6">
        <w:tc>
          <w:tcPr>
            <w:tcW w:w="4315" w:type="dxa"/>
          </w:tcPr>
          <w:p w14:paraId="44FD90B1" w14:textId="77777777" w:rsidR="00B66B3A" w:rsidRPr="00B66B3A" w:rsidRDefault="00B66B3A" w:rsidP="009F735E">
            <w:pPr>
              <w:spacing w:after="0" w:line="360" w:lineRule="auto"/>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Analysis Sample</w:t>
            </w:r>
          </w:p>
        </w:tc>
        <w:tc>
          <w:tcPr>
            <w:tcW w:w="5580" w:type="dxa"/>
          </w:tcPr>
          <w:p w14:paraId="4EA49CBC" w14:textId="77777777" w:rsidR="00B66B3A" w:rsidRPr="00B66B3A" w:rsidRDefault="00B66B3A" w:rsidP="009F735E">
            <w:pPr>
              <w:spacing w:after="0" w:line="360" w:lineRule="auto"/>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Children with complete child hemoglobin measurements</w:t>
            </w:r>
          </w:p>
        </w:tc>
      </w:tr>
    </w:tbl>
    <w:p w14:paraId="5754EF64" w14:textId="77777777" w:rsid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36412D71" w14:textId="427849AE"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lastRenderedPageBreak/>
        <w:t>Variables Analyzed</w:t>
      </w:r>
    </w:p>
    <w:p w14:paraId="7D791B4B" w14:textId="4D1795F6"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Note on outcome variable: the dataset contains two hemoglobin/anemia fields. "Hemoglobin level adjusted for altitude and smoking" applies only to adult respondents (mothers)</w:t>
      </w:r>
      <w:r>
        <w:rPr>
          <w:rFonts w:ascii="Times New Roman" w:eastAsiaTheme="majorEastAsia" w:hAnsi="Times New Roman" w:cs="Times New Roman"/>
          <w:spacing w:val="-10"/>
          <w:kern w:val="28"/>
          <w:sz w:val="24"/>
          <w:szCs w:val="24"/>
          <w14:ligatures w14:val="standardContextual"/>
        </w:rPr>
        <w:t>,</w:t>
      </w:r>
      <w:r w:rsidRPr="005F4C1B">
        <w:rPr>
          <w:rFonts w:ascii="Times New Roman" w:eastAsiaTheme="majorEastAsia" w:hAnsi="Times New Roman" w:cs="Times New Roman"/>
          <w:spacing w:val="-10"/>
          <w:kern w:val="28"/>
          <w:sz w:val="24"/>
          <w:szCs w:val="24"/>
          <w14:ligatures w14:val="standardContextual"/>
        </w:rPr>
        <w:t xml:space="preserve"> the smoking adjustment has no meaning for a child. The child-specific field is "Hemoglobin level adjusted for altitude" (no smoking term), paired with the second "Anemia level" column. This report uses that child-specific field throughout.</w:t>
      </w:r>
    </w:p>
    <w:p w14:paraId="2A191285"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7BDFB6D8" w14:textId="77777777" w:rsidR="000F415D"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Dependent variable (</w:t>
      </w:r>
      <w:r w:rsidRPr="000D00C6">
        <w:rPr>
          <w:rFonts w:ascii="Times New Roman" w:eastAsiaTheme="majorEastAsia" w:hAnsi="Times New Roman" w:cs="Times New Roman"/>
          <w:b/>
          <w:bCs/>
          <w:spacing w:val="-10"/>
          <w:kern w:val="28"/>
          <w:sz w:val="24"/>
          <w:szCs w:val="24"/>
          <w14:ligatures w14:val="standardContextual"/>
        </w:rPr>
        <w:t>Primary Outcome</w:t>
      </w:r>
      <w:r w:rsidRPr="000D00C6">
        <w:rPr>
          <w:rFonts w:ascii="Times New Roman" w:eastAsiaTheme="majorEastAsia" w:hAnsi="Times New Roman" w:cs="Times New Roman"/>
          <w:b/>
          <w:bCs/>
          <w:spacing w:val="-10"/>
          <w:kern w:val="28"/>
          <w:sz w:val="24"/>
          <w:szCs w:val="24"/>
          <w14:ligatures w14:val="standardContextual"/>
        </w:rPr>
        <w:t>)</w:t>
      </w:r>
      <w:r w:rsidRPr="000D00C6">
        <w:rPr>
          <w:rFonts w:ascii="Times New Roman" w:eastAsiaTheme="majorEastAsia" w:hAnsi="Times New Roman" w:cs="Times New Roman"/>
          <w:b/>
          <w:bCs/>
          <w:spacing w:val="-10"/>
          <w:kern w:val="28"/>
          <w:sz w:val="24"/>
          <w:szCs w:val="24"/>
          <w14:ligatures w14:val="standardContextual"/>
        </w:rPr>
        <w:t>:</w:t>
      </w:r>
    </w:p>
    <w:p w14:paraId="1EE83EFA" w14:textId="7E396B8B" w:rsidR="005F4C1B" w:rsidRPr="000F415D" w:rsidRDefault="005F4C1B" w:rsidP="000F415D">
      <w:pPr>
        <w:pStyle w:val="ListParagraph"/>
        <w:numPr>
          <w:ilvl w:val="0"/>
          <w:numId w:val="8"/>
        </w:numPr>
        <w:spacing w:after="0" w:line="360" w:lineRule="auto"/>
        <w:ind w:hanging="720"/>
        <w:jc w:val="both"/>
        <w:rPr>
          <w:rFonts w:ascii="Times New Roman" w:eastAsiaTheme="majorEastAsia" w:hAnsi="Times New Roman" w:cs="Times New Roman"/>
          <w:b/>
          <w:bCs/>
          <w:spacing w:val="-10"/>
          <w:kern w:val="28"/>
          <w:sz w:val="24"/>
          <w:szCs w:val="24"/>
          <w14:ligatures w14:val="standardContextual"/>
        </w:rPr>
      </w:pPr>
      <w:r w:rsidRPr="000F415D">
        <w:rPr>
          <w:rFonts w:ascii="Times New Roman" w:eastAsiaTheme="majorEastAsia" w:hAnsi="Times New Roman" w:cs="Times New Roman"/>
          <w:spacing w:val="-10"/>
          <w:kern w:val="28"/>
          <w:sz w:val="24"/>
          <w:szCs w:val="24"/>
          <w14:ligatures w14:val="standardContextual"/>
        </w:rPr>
        <w:t>Child Anemia Level (Not anemic, Mild, Moderate, Severe)</w:t>
      </w:r>
    </w:p>
    <w:p w14:paraId="6C52B245"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Independent Variables:</w:t>
      </w:r>
    </w:p>
    <w:p w14:paraId="76CCC6A0" w14:textId="77777777" w:rsidR="00B66B3A" w:rsidRDefault="005F4C1B" w:rsidP="000D6382">
      <w:pPr>
        <w:pStyle w:val="ListParagraph"/>
        <w:numPr>
          <w:ilvl w:val="0"/>
          <w:numId w:val="2"/>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Household Wealth Index (5 categories: Poorest to Richest)</w:t>
      </w:r>
      <w:r w:rsidR="00B66B3A" w:rsidRPr="00B66B3A">
        <w:rPr>
          <w:rFonts w:ascii="Times New Roman" w:eastAsiaTheme="majorEastAsia" w:hAnsi="Times New Roman" w:cs="Times New Roman"/>
          <w:spacing w:val="-10"/>
          <w:kern w:val="28"/>
          <w:sz w:val="24"/>
          <w:szCs w:val="24"/>
          <w14:ligatures w14:val="standardContextual"/>
        </w:rPr>
        <w:t>.</w:t>
      </w:r>
    </w:p>
    <w:p w14:paraId="1768B164" w14:textId="77777777" w:rsidR="00B66B3A" w:rsidRDefault="005F4C1B" w:rsidP="00696C12">
      <w:pPr>
        <w:pStyle w:val="ListParagraph"/>
        <w:numPr>
          <w:ilvl w:val="0"/>
          <w:numId w:val="2"/>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Maternal Education Level (No education, Primary, Secondary, Higher)</w:t>
      </w:r>
      <w:r w:rsidR="00B66B3A" w:rsidRPr="00B66B3A">
        <w:rPr>
          <w:rFonts w:ascii="Times New Roman" w:eastAsiaTheme="majorEastAsia" w:hAnsi="Times New Roman" w:cs="Times New Roman"/>
          <w:spacing w:val="-10"/>
          <w:kern w:val="28"/>
          <w:sz w:val="24"/>
          <w:szCs w:val="24"/>
          <w14:ligatures w14:val="standardContextual"/>
        </w:rPr>
        <w:t>.</w:t>
      </w:r>
    </w:p>
    <w:p w14:paraId="0B518265" w14:textId="77777777" w:rsidR="00B66B3A" w:rsidRDefault="005F4C1B" w:rsidP="003442AA">
      <w:pPr>
        <w:pStyle w:val="ListParagraph"/>
        <w:numPr>
          <w:ilvl w:val="0"/>
          <w:numId w:val="2"/>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Type of Residence (Urban vs. Rural)</w:t>
      </w:r>
      <w:r w:rsidR="00B66B3A" w:rsidRPr="00B66B3A">
        <w:rPr>
          <w:rFonts w:ascii="Times New Roman" w:eastAsiaTheme="majorEastAsia" w:hAnsi="Times New Roman" w:cs="Times New Roman"/>
          <w:spacing w:val="-10"/>
          <w:kern w:val="28"/>
          <w:sz w:val="24"/>
          <w:szCs w:val="24"/>
          <w14:ligatures w14:val="standardContextual"/>
        </w:rPr>
        <w:t>.</w:t>
      </w:r>
    </w:p>
    <w:p w14:paraId="13FC7417" w14:textId="77777777" w:rsidR="00B66B3A" w:rsidRDefault="005F4C1B" w:rsidP="00CC78E9">
      <w:pPr>
        <w:pStyle w:val="ListParagraph"/>
        <w:numPr>
          <w:ilvl w:val="0"/>
          <w:numId w:val="2"/>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Bed Net Usage (Yes/No)</w:t>
      </w:r>
      <w:r w:rsidR="00B66B3A" w:rsidRPr="00B66B3A">
        <w:rPr>
          <w:rFonts w:ascii="Times New Roman" w:eastAsiaTheme="majorEastAsia" w:hAnsi="Times New Roman" w:cs="Times New Roman"/>
          <w:spacing w:val="-10"/>
          <w:kern w:val="28"/>
          <w:sz w:val="24"/>
          <w:szCs w:val="24"/>
          <w14:ligatures w14:val="standardContextual"/>
        </w:rPr>
        <w:t>.</w:t>
      </w:r>
    </w:p>
    <w:p w14:paraId="00AC5660" w14:textId="56FE4961" w:rsidR="005F4C1B" w:rsidRPr="00B66B3A" w:rsidRDefault="005F4C1B" w:rsidP="00CC78E9">
      <w:pPr>
        <w:pStyle w:val="ListParagraph"/>
        <w:numPr>
          <w:ilvl w:val="0"/>
          <w:numId w:val="2"/>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Iron Supplementation Status (Yes/No/Unknown)</w:t>
      </w:r>
      <w:r w:rsidR="00B66B3A">
        <w:rPr>
          <w:rFonts w:ascii="Times New Roman" w:eastAsiaTheme="majorEastAsia" w:hAnsi="Times New Roman" w:cs="Times New Roman"/>
          <w:spacing w:val="-10"/>
          <w:kern w:val="28"/>
          <w:sz w:val="24"/>
          <w:szCs w:val="24"/>
          <w14:ligatures w14:val="standardContextual"/>
        </w:rPr>
        <w:t>.</w:t>
      </w:r>
    </w:p>
    <w:p w14:paraId="5ADE157D" w14:textId="77777777" w:rsid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6E7A6355" w14:textId="0BDA904A"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Analysis Approach</w:t>
      </w:r>
    </w:p>
    <w:p w14:paraId="6841B880" w14:textId="3076E0F9"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Pr>
          <w:rFonts w:ascii="Times New Roman" w:eastAsiaTheme="majorEastAsia" w:hAnsi="Times New Roman" w:cs="Times New Roman"/>
          <w:spacing w:val="-10"/>
          <w:kern w:val="28"/>
          <w:sz w:val="24"/>
          <w:szCs w:val="24"/>
          <w14:ligatures w14:val="standardContextual"/>
        </w:rPr>
        <w:t>D</w:t>
      </w:r>
      <w:r w:rsidRPr="005F4C1B">
        <w:rPr>
          <w:rFonts w:ascii="Times New Roman" w:eastAsiaTheme="majorEastAsia" w:hAnsi="Times New Roman" w:cs="Times New Roman"/>
          <w:spacing w:val="-10"/>
          <w:kern w:val="28"/>
          <w:sz w:val="24"/>
          <w:szCs w:val="24"/>
          <w14:ligatures w14:val="standardContextual"/>
        </w:rPr>
        <w:t xml:space="preserve">escriptive statistics </w:t>
      </w:r>
      <w:r>
        <w:rPr>
          <w:rFonts w:ascii="Times New Roman" w:eastAsiaTheme="majorEastAsia" w:hAnsi="Times New Roman" w:cs="Times New Roman"/>
          <w:spacing w:val="-10"/>
          <w:kern w:val="28"/>
          <w:sz w:val="24"/>
          <w:szCs w:val="24"/>
          <w14:ligatures w14:val="standardContextual"/>
        </w:rPr>
        <w:t>was used for the</w:t>
      </w:r>
      <w:r w:rsidRPr="005F4C1B">
        <w:rPr>
          <w:rFonts w:ascii="Times New Roman" w:eastAsiaTheme="majorEastAsia" w:hAnsi="Times New Roman" w:cs="Times New Roman"/>
          <w:spacing w:val="-10"/>
          <w:kern w:val="28"/>
          <w:sz w:val="24"/>
          <w:szCs w:val="24"/>
          <w14:ligatures w14:val="standardContextual"/>
        </w:rPr>
        <w:t xml:space="preserve"> analysis to examine the association between socioeconomic factors and child anemia prevalence. Percentages are calculated within each category to allow for direct comparison of anemia burden across groups.</w:t>
      </w:r>
    </w:p>
    <w:p w14:paraId="2B07AB49" w14:textId="77777777" w:rsidR="000F415D" w:rsidRDefault="000F415D"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p>
    <w:p w14:paraId="3C4FFF36" w14:textId="2EDB3832"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Findings</w:t>
      </w:r>
    </w:p>
    <w:p w14:paraId="63FE85FE" w14:textId="24A593CD" w:rsidR="005F4C1B" w:rsidRPr="00B66B3A" w:rsidRDefault="005F4C1B" w:rsidP="00B66B3A">
      <w:pPr>
        <w:pStyle w:val="ListParagraph"/>
        <w:numPr>
          <w:ilvl w:val="0"/>
          <w:numId w:val="4"/>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Overall Anemia Burden</w:t>
      </w:r>
    </w:p>
    <w:p w14:paraId="36675723" w14:textId="77777777" w:rsid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Among the 10,182 children with valid anemia data, 68.8% (n=7,003) experience some level of anemia. Moderate anemia is the most common form, affecting 38.6% of children, followed by mild anemia (27.0%). Severe anemia is uncommon but not negligible, affecting 3.2% of the population.</w:t>
      </w:r>
    </w:p>
    <w:p w14:paraId="45D130F2" w14:textId="06F0B453" w:rsidR="000F415D" w:rsidRPr="005F4C1B" w:rsidRDefault="00386350"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Pr>
          <w:noProof/>
          <w14:ligatures w14:val="standardContextual"/>
        </w:rPr>
        <w:lastRenderedPageBreak/>
        <w:drawing>
          <wp:inline distT="0" distB="0" distL="0" distR="0" wp14:anchorId="5B4275A5" wp14:editId="1FA81C33">
            <wp:extent cx="3724275" cy="2743200"/>
            <wp:effectExtent l="0" t="0" r="9525" b="0"/>
            <wp:docPr id="1156623216" name="Chart 1">
              <a:extLst xmlns:a="http://schemas.openxmlformats.org/drawingml/2006/main">
                <a:ext uri="{FF2B5EF4-FFF2-40B4-BE49-F238E27FC236}">
                  <a16:creationId xmlns:a16="http://schemas.microsoft.com/office/drawing/2014/main" id="{E06BE28E-2ABD-06A9-1F54-10A3CD9E07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586A8D7" w14:textId="2057E737"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 xml:space="preserve"> </w:t>
      </w:r>
    </w:p>
    <w:p w14:paraId="116AA550" w14:textId="0566EEC0" w:rsid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p>
    <w:p w14:paraId="72C43700" w14:textId="7F0981C5" w:rsidR="005F4C1B" w:rsidRPr="00B66B3A" w:rsidRDefault="005F4C1B" w:rsidP="00B66B3A">
      <w:pPr>
        <w:pStyle w:val="ListParagraph"/>
        <w:numPr>
          <w:ilvl w:val="0"/>
          <w:numId w:val="4"/>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Anemia and Household Wealth</w:t>
      </w:r>
    </w:p>
    <w:p w14:paraId="6C7EE060" w14:textId="3A62B992"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Household wealth emerges as the strongest predictor of child anemia risk. Children from the poorest households have an anemia rate of 79.5%, compared to 53.5% in the richest households</w:t>
      </w:r>
      <w:r w:rsidR="000D00C6">
        <w:rPr>
          <w:rFonts w:ascii="Times New Roman" w:eastAsiaTheme="majorEastAsia" w:hAnsi="Times New Roman" w:cs="Times New Roman"/>
          <w:spacing w:val="-10"/>
          <w:kern w:val="28"/>
          <w:sz w:val="24"/>
          <w:szCs w:val="24"/>
          <w14:ligatures w14:val="standardContextual"/>
        </w:rPr>
        <w:t xml:space="preserve">, </w:t>
      </w:r>
      <w:r w:rsidRPr="005F4C1B">
        <w:rPr>
          <w:rFonts w:ascii="Times New Roman" w:eastAsiaTheme="majorEastAsia" w:hAnsi="Times New Roman" w:cs="Times New Roman"/>
          <w:spacing w:val="-10"/>
          <w:kern w:val="28"/>
          <w:sz w:val="24"/>
          <w:szCs w:val="24"/>
          <w14:ligatures w14:val="standardContextual"/>
        </w:rPr>
        <w:t xml:space="preserve">a difference of 26.0 percentage </w:t>
      </w:r>
      <w:proofErr w:type="spellStart"/>
      <w:proofErr w:type="gramStart"/>
      <w:r w:rsidRPr="005F4C1B">
        <w:rPr>
          <w:rFonts w:ascii="Times New Roman" w:eastAsiaTheme="majorEastAsia" w:hAnsi="Times New Roman" w:cs="Times New Roman"/>
          <w:spacing w:val="-10"/>
          <w:kern w:val="28"/>
          <w:sz w:val="24"/>
          <w:szCs w:val="24"/>
          <w14:ligatures w14:val="standardContextual"/>
        </w:rPr>
        <w:t>points.This</w:t>
      </w:r>
      <w:proofErr w:type="spellEnd"/>
      <w:proofErr w:type="gramEnd"/>
      <w:r w:rsidRPr="005F4C1B">
        <w:rPr>
          <w:rFonts w:ascii="Times New Roman" w:eastAsiaTheme="majorEastAsia" w:hAnsi="Times New Roman" w:cs="Times New Roman"/>
          <w:spacing w:val="-10"/>
          <w:kern w:val="28"/>
          <w:sz w:val="24"/>
          <w:szCs w:val="24"/>
          <w14:ligatures w14:val="standardContextual"/>
        </w:rPr>
        <w:t xml:space="preserve"> gradient is consistent across all wealth quintiles, with anemia declining steadily as household wealth increases.</w:t>
      </w:r>
    </w:p>
    <w:p w14:paraId="5A72B9EF" w14:textId="2FB23AB4"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 xml:space="preserve"> </w:t>
      </w:r>
      <w:r w:rsidR="00386350">
        <w:rPr>
          <w:noProof/>
          <w14:ligatures w14:val="standardContextual"/>
        </w:rPr>
        <w:drawing>
          <wp:inline distT="0" distB="0" distL="0" distR="0" wp14:anchorId="6382CF33" wp14:editId="58989232">
            <wp:extent cx="4572000" cy="2743200"/>
            <wp:effectExtent l="0" t="0" r="0" b="0"/>
            <wp:docPr id="202076385" name="Chart 1">
              <a:extLst xmlns:a="http://schemas.openxmlformats.org/drawingml/2006/main">
                <a:ext uri="{FF2B5EF4-FFF2-40B4-BE49-F238E27FC236}">
                  <a16:creationId xmlns:a16="http://schemas.microsoft.com/office/drawing/2014/main" id="{BF8AA2CB-ADF0-F7AC-6A27-D0CE4F223E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C2CD411" w14:textId="2C6254F6" w:rsidR="008D0E4A" w:rsidRDefault="008D0E4A"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p>
    <w:p w14:paraId="7E53F7C9" w14:textId="7A67D394"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The clear inverse relationship between wealth and anemia prevalence suggests that targeted interventions focusing on poor households could significantly reduce childhood anemia in Nigeria.</w:t>
      </w:r>
    </w:p>
    <w:p w14:paraId="0000C4DB" w14:textId="77777777" w:rsidR="008D0E4A" w:rsidRDefault="008D0E4A"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7655E4C9" w14:textId="796EBC4A" w:rsidR="005F4C1B" w:rsidRPr="00B66B3A" w:rsidRDefault="005F4C1B" w:rsidP="00B66B3A">
      <w:pPr>
        <w:pStyle w:val="ListParagraph"/>
        <w:numPr>
          <w:ilvl w:val="0"/>
          <w:numId w:val="4"/>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Anemia and Maternal Education</w:t>
      </w:r>
    </w:p>
    <w:p w14:paraId="5836DC25" w14:textId="1467106A"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Maternal education shows a strong negative association with childhood anemia. Children whose mothers have no formal education have a 75.8% anemia prevalence rate, while children of mothers with higher education have a 49.0% rate</w:t>
      </w:r>
      <w:r w:rsidR="008D0E4A">
        <w:rPr>
          <w:rFonts w:ascii="Times New Roman" w:eastAsiaTheme="majorEastAsia" w:hAnsi="Times New Roman" w:cs="Times New Roman"/>
          <w:spacing w:val="-10"/>
          <w:kern w:val="28"/>
          <w:sz w:val="24"/>
          <w:szCs w:val="24"/>
          <w14:ligatures w14:val="standardContextual"/>
        </w:rPr>
        <w:t>,</w:t>
      </w:r>
      <w:r w:rsidRPr="005F4C1B">
        <w:rPr>
          <w:rFonts w:ascii="Times New Roman" w:eastAsiaTheme="majorEastAsia" w:hAnsi="Times New Roman" w:cs="Times New Roman"/>
          <w:spacing w:val="-10"/>
          <w:kern w:val="28"/>
          <w:sz w:val="24"/>
          <w:szCs w:val="24"/>
          <w14:ligatures w14:val="standardContextual"/>
        </w:rPr>
        <w:t xml:space="preserve"> a gap of 26.8 percentage points. The protective effect of education likely operates through improved nutrition knowledge and healthcare-seeking behavior.</w:t>
      </w:r>
    </w:p>
    <w:p w14:paraId="4BA84B49" w14:textId="75CD44BA"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 xml:space="preserve"> </w:t>
      </w:r>
      <w:r w:rsidR="00BE6232">
        <w:rPr>
          <w:noProof/>
          <w14:ligatures w14:val="standardContextual"/>
        </w:rPr>
        <w:drawing>
          <wp:inline distT="0" distB="0" distL="0" distR="0" wp14:anchorId="5ED28B28" wp14:editId="702D6C1E">
            <wp:extent cx="5400675" cy="3038475"/>
            <wp:effectExtent l="0" t="0" r="9525" b="9525"/>
            <wp:docPr id="25002313" name="Chart 1">
              <a:extLst xmlns:a="http://schemas.openxmlformats.org/drawingml/2006/main">
                <a:ext uri="{FF2B5EF4-FFF2-40B4-BE49-F238E27FC236}">
                  <a16:creationId xmlns:a16="http://schemas.microsoft.com/office/drawing/2014/main" id="{BC2127D1-FA7F-4BC2-87F8-F6E467C79C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25D132D" w14:textId="77777777"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Educational interventions and programs targeting mothers could be an effective strategy for reducing childhood anemia, particularly in improving awareness about iron-rich foods and supplementation.</w:t>
      </w:r>
    </w:p>
    <w:p w14:paraId="407F2E6C" w14:textId="77777777" w:rsidR="008D0E4A" w:rsidRDefault="008D0E4A"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17B56F28" w14:textId="3C831E8E" w:rsidR="005F4C1B" w:rsidRPr="00B66B3A" w:rsidRDefault="005F4C1B" w:rsidP="00B66B3A">
      <w:pPr>
        <w:pStyle w:val="ListParagraph"/>
        <w:numPr>
          <w:ilvl w:val="0"/>
          <w:numId w:val="4"/>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Urban-Rural Disparities</w:t>
      </w:r>
    </w:p>
    <w:p w14:paraId="267601C9" w14:textId="730DA0D3" w:rsidR="005F4C1B" w:rsidRP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Significant geographic disparities exist in childhood anemia prevalence. Rural children experience anemia at a rate of 72.9%, compared to 62.3% in urban areas</w:t>
      </w:r>
      <w:r w:rsidR="008D0E4A">
        <w:rPr>
          <w:rFonts w:ascii="Times New Roman" w:eastAsiaTheme="majorEastAsia" w:hAnsi="Times New Roman" w:cs="Times New Roman"/>
          <w:spacing w:val="-10"/>
          <w:kern w:val="28"/>
          <w:sz w:val="24"/>
          <w:szCs w:val="24"/>
          <w14:ligatures w14:val="standardContextual"/>
        </w:rPr>
        <w:t xml:space="preserve"> </w:t>
      </w:r>
      <w:r w:rsidRPr="005F4C1B">
        <w:rPr>
          <w:rFonts w:ascii="Times New Roman" w:eastAsiaTheme="majorEastAsia" w:hAnsi="Times New Roman" w:cs="Times New Roman"/>
          <w:spacing w:val="-10"/>
          <w:kern w:val="28"/>
          <w:sz w:val="24"/>
          <w:szCs w:val="24"/>
          <w14:ligatures w14:val="standardContextual"/>
        </w:rPr>
        <w:t>a difference of 10.6 percentage points. This gap likely reflects limited healthcare infrastructure and reduced access to nutritious foods in rural areas.</w:t>
      </w:r>
    </w:p>
    <w:p w14:paraId="182F54F6" w14:textId="1A2C0C07" w:rsid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lastRenderedPageBreak/>
        <w:t xml:space="preserve"> </w:t>
      </w:r>
      <w:r w:rsidR="00BE6232">
        <w:rPr>
          <w:noProof/>
          <w14:ligatures w14:val="standardContextual"/>
        </w:rPr>
        <w:drawing>
          <wp:inline distT="0" distB="0" distL="0" distR="0" wp14:anchorId="26D63532" wp14:editId="1999A094">
            <wp:extent cx="4981575" cy="3133725"/>
            <wp:effectExtent l="0" t="0" r="9525" b="9525"/>
            <wp:docPr id="1530490077" name="Chart 1">
              <a:extLst xmlns:a="http://schemas.openxmlformats.org/drawingml/2006/main">
                <a:ext uri="{FF2B5EF4-FFF2-40B4-BE49-F238E27FC236}">
                  <a16:creationId xmlns:a16="http://schemas.microsoft.com/office/drawing/2014/main" id="{95783653-F5A8-04F8-D23D-2BD2975252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17A21A" w14:textId="77777777" w:rsidR="007B5EA9" w:rsidRPr="005F4C1B" w:rsidRDefault="007B5EA9"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p>
    <w:p w14:paraId="6ADB2C25" w14:textId="01F26DB1" w:rsidR="005F4C1B" w:rsidRPr="00B66B3A" w:rsidRDefault="005F4C1B" w:rsidP="00B66B3A">
      <w:pPr>
        <w:pStyle w:val="ListParagraph"/>
        <w:numPr>
          <w:ilvl w:val="0"/>
          <w:numId w:val="4"/>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B66B3A">
        <w:rPr>
          <w:rFonts w:ascii="Times New Roman" w:eastAsiaTheme="majorEastAsia" w:hAnsi="Times New Roman" w:cs="Times New Roman"/>
          <w:spacing w:val="-10"/>
          <w:kern w:val="28"/>
          <w:sz w:val="24"/>
          <w:szCs w:val="24"/>
          <w14:ligatures w14:val="standardContextual"/>
        </w:rPr>
        <w:t>Anemia Severity Distribution</w:t>
      </w:r>
    </w:p>
    <w:p w14:paraId="75396BEB" w14:textId="77777777" w:rsidR="005F4C1B" w:rsidRDefault="005F4C1B"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When examining the severity of anemia by wealth quintile, a clear pattern emerges: not only are the poorest children more likely to be anemic, but their anemia is also more likely to be moderate or severe. In the poorest quintile, 48.1% have moderate anemia and 5.8% have severe anemia, compared to 23.5% and 0.5% respectively in the richest quintile.</w:t>
      </w:r>
    </w:p>
    <w:p w14:paraId="34BF9C62" w14:textId="35DF2675" w:rsidR="008D0E4A" w:rsidRPr="005F4C1B" w:rsidRDefault="008D0E4A" w:rsidP="00B66B3A">
      <w:pPr>
        <w:spacing w:after="0" w:line="360" w:lineRule="auto"/>
        <w:ind w:left="720"/>
        <w:jc w:val="both"/>
        <w:rPr>
          <w:rFonts w:ascii="Times New Roman" w:eastAsiaTheme="majorEastAsia" w:hAnsi="Times New Roman" w:cs="Times New Roman"/>
          <w:spacing w:val="-10"/>
          <w:kern w:val="28"/>
          <w:sz w:val="24"/>
          <w:szCs w:val="24"/>
          <w14:ligatures w14:val="standardContextual"/>
        </w:rPr>
      </w:pPr>
      <w:r>
        <w:rPr>
          <w:noProof/>
        </w:rPr>
        <w:drawing>
          <wp:inline distT="0" distB="0" distL="0" distR="0" wp14:anchorId="4CD31B96" wp14:editId="425172A0">
            <wp:extent cx="5522622" cy="32004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png"/>
                    <pic:cNvPicPr/>
                  </pic:nvPicPr>
                  <pic:blipFill>
                    <a:blip r:embed="rId9"/>
                    <a:stretch>
                      <a:fillRect/>
                    </a:stretch>
                  </pic:blipFill>
                  <pic:spPr>
                    <a:xfrm>
                      <a:off x="0" y="0"/>
                      <a:ext cx="5522622" cy="3200400"/>
                    </a:xfrm>
                    <a:prstGeom prst="rect">
                      <a:avLst/>
                    </a:prstGeom>
                  </pic:spPr>
                </pic:pic>
              </a:graphicData>
            </a:graphic>
          </wp:inline>
        </w:drawing>
      </w:r>
    </w:p>
    <w:p w14:paraId="36EE068A"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lastRenderedPageBreak/>
        <w:t xml:space="preserve"> </w:t>
      </w:r>
    </w:p>
    <w:p w14:paraId="3C69B87C" w14:textId="60F912B4"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Discussion</w:t>
      </w:r>
      <w:r w:rsidR="000D00C6" w:rsidRPr="000D00C6">
        <w:rPr>
          <w:rFonts w:ascii="Times New Roman" w:eastAsiaTheme="majorEastAsia" w:hAnsi="Times New Roman" w:cs="Times New Roman"/>
          <w:b/>
          <w:bCs/>
          <w:spacing w:val="-10"/>
          <w:kern w:val="28"/>
          <w:sz w:val="24"/>
          <w:szCs w:val="24"/>
          <w14:ligatures w14:val="standardContextual"/>
        </w:rPr>
        <w:t xml:space="preserve"> (</w:t>
      </w:r>
      <w:r w:rsidRPr="000D00C6">
        <w:rPr>
          <w:rFonts w:ascii="Times New Roman" w:eastAsiaTheme="majorEastAsia" w:hAnsi="Times New Roman" w:cs="Times New Roman"/>
          <w:b/>
          <w:bCs/>
          <w:spacing w:val="-10"/>
          <w:kern w:val="28"/>
          <w:sz w:val="24"/>
          <w:szCs w:val="24"/>
          <w14:ligatures w14:val="standardContextual"/>
        </w:rPr>
        <w:t>Key Takeaways</w:t>
      </w:r>
      <w:r w:rsidR="000D00C6" w:rsidRPr="000D00C6">
        <w:rPr>
          <w:rFonts w:ascii="Times New Roman" w:eastAsiaTheme="majorEastAsia" w:hAnsi="Times New Roman" w:cs="Times New Roman"/>
          <w:b/>
          <w:bCs/>
          <w:spacing w:val="-10"/>
          <w:kern w:val="28"/>
          <w:sz w:val="24"/>
          <w:szCs w:val="24"/>
          <w14:ligatures w14:val="standardContextual"/>
        </w:rPr>
        <w:t>)</w:t>
      </w:r>
    </w:p>
    <w:p w14:paraId="059B6FDC" w14:textId="77777777" w:rsidR="000D00C6" w:rsidRDefault="005F4C1B" w:rsidP="00FF7AAF">
      <w:pPr>
        <w:pStyle w:val="ListParagraph"/>
        <w:numPr>
          <w:ilvl w:val="0"/>
          <w:numId w:val="5"/>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Magnitude: Nearly 7 in 10 Nigerian children under 5 are anemic—a substantial public health burden</w:t>
      </w:r>
      <w:r w:rsidR="000D00C6" w:rsidRPr="000D00C6">
        <w:rPr>
          <w:rFonts w:ascii="Times New Roman" w:eastAsiaTheme="majorEastAsia" w:hAnsi="Times New Roman" w:cs="Times New Roman"/>
          <w:spacing w:val="-10"/>
          <w:kern w:val="28"/>
          <w:sz w:val="24"/>
          <w:szCs w:val="24"/>
          <w14:ligatures w14:val="standardContextual"/>
        </w:rPr>
        <w:t>.</w:t>
      </w:r>
    </w:p>
    <w:p w14:paraId="6000804F" w14:textId="77777777" w:rsidR="000D00C6" w:rsidRDefault="005F4C1B" w:rsidP="008D1D5E">
      <w:pPr>
        <w:pStyle w:val="ListParagraph"/>
        <w:numPr>
          <w:ilvl w:val="0"/>
          <w:numId w:val="5"/>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Equity Issue: Anemia in Nigeria is fundamentally an equity problem. It is concentrated among children from poor, rural, and less-educated households.</w:t>
      </w:r>
    </w:p>
    <w:p w14:paraId="2170907A" w14:textId="77777777" w:rsidR="000D00C6" w:rsidRDefault="005F4C1B" w:rsidP="00ED3385">
      <w:pPr>
        <w:pStyle w:val="ListParagraph"/>
        <w:numPr>
          <w:ilvl w:val="0"/>
          <w:numId w:val="5"/>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Multiple Pathways: The associations with education, wealth, and residence suggest that multiple interconnected factors</w:t>
      </w:r>
      <w:r w:rsidR="000D00C6" w:rsidRPr="000D00C6">
        <w:rPr>
          <w:rFonts w:ascii="Times New Roman" w:eastAsiaTheme="majorEastAsia" w:hAnsi="Times New Roman" w:cs="Times New Roman"/>
          <w:spacing w:val="-10"/>
          <w:kern w:val="28"/>
          <w:sz w:val="24"/>
          <w:szCs w:val="24"/>
          <w14:ligatures w14:val="standardContextual"/>
        </w:rPr>
        <w:t xml:space="preserve"> </w:t>
      </w:r>
      <w:r w:rsidRPr="000D00C6">
        <w:rPr>
          <w:rFonts w:ascii="Times New Roman" w:eastAsiaTheme="majorEastAsia" w:hAnsi="Times New Roman" w:cs="Times New Roman"/>
          <w:spacing w:val="-10"/>
          <w:kern w:val="28"/>
          <w:sz w:val="24"/>
          <w:szCs w:val="24"/>
          <w14:ligatures w14:val="standardContextual"/>
        </w:rPr>
        <w:t>drive childhood anemia—poor nutrition, limited healthcare access, higher infection burden, and lower health literacy.</w:t>
      </w:r>
    </w:p>
    <w:p w14:paraId="1694BAAB" w14:textId="200DAD7B" w:rsidR="000D00C6" w:rsidRDefault="005F4C1B" w:rsidP="000D00C6">
      <w:pPr>
        <w:pStyle w:val="ListParagraph"/>
        <w:numPr>
          <w:ilvl w:val="0"/>
          <w:numId w:val="5"/>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Prevention-Oriented Approach: The strong socioeconomic gradients suggest that broad-based poverty reduction, education,</w:t>
      </w:r>
      <w:r w:rsidR="000D00C6">
        <w:rPr>
          <w:rFonts w:ascii="Times New Roman" w:eastAsiaTheme="majorEastAsia" w:hAnsi="Times New Roman" w:cs="Times New Roman"/>
          <w:spacing w:val="-10"/>
          <w:kern w:val="28"/>
          <w:sz w:val="24"/>
          <w:szCs w:val="24"/>
          <w14:ligatures w14:val="standardContextual"/>
        </w:rPr>
        <w:t xml:space="preserve"> </w:t>
      </w:r>
      <w:r w:rsidRPr="000D00C6">
        <w:rPr>
          <w:rFonts w:ascii="Times New Roman" w:eastAsiaTheme="majorEastAsia" w:hAnsi="Times New Roman" w:cs="Times New Roman"/>
          <w:spacing w:val="-10"/>
          <w:kern w:val="28"/>
          <w:sz w:val="24"/>
          <w:szCs w:val="24"/>
          <w14:ligatures w14:val="standardContextual"/>
        </w:rPr>
        <w:t>and rural healthcare infrastructure improvements could</w:t>
      </w:r>
      <w:r w:rsidR="000D00C6">
        <w:rPr>
          <w:rFonts w:ascii="Times New Roman" w:eastAsiaTheme="majorEastAsia" w:hAnsi="Times New Roman" w:cs="Times New Roman"/>
          <w:spacing w:val="-10"/>
          <w:kern w:val="28"/>
          <w:sz w:val="24"/>
          <w:szCs w:val="24"/>
          <w14:ligatures w14:val="standardContextual"/>
        </w:rPr>
        <w:t xml:space="preserve"> </w:t>
      </w:r>
      <w:r w:rsidRPr="000D00C6">
        <w:rPr>
          <w:rFonts w:ascii="Times New Roman" w:eastAsiaTheme="majorEastAsia" w:hAnsi="Times New Roman" w:cs="Times New Roman"/>
          <w:spacing w:val="-10"/>
          <w:kern w:val="28"/>
          <w:sz w:val="24"/>
          <w:szCs w:val="24"/>
          <w14:ligatures w14:val="standardContextual"/>
        </w:rPr>
        <w:t>reduce childhood anemia.</w:t>
      </w:r>
    </w:p>
    <w:p w14:paraId="6F425342" w14:textId="77777777" w:rsidR="000D00C6" w:rsidRPr="000D00C6" w:rsidRDefault="000D00C6" w:rsidP="000D00C6">
      <w:pPr>
        <w:pStyle w:val="ListParagraph"/>
        <w:spacing w:after="0" w:line="360" w:lineRule="auto"/>
        <w:jc w:val="both"/>
        <w:rPr>
          <w:rFonts w:ascii="Times New Roman" w:eastAsiaTheme="majorEastAsia" w:hAnsi="Times New Roman" w:cs="Times New Roman"/>
          <w:spacing w:val="-10"/>
          <w:kern w:val="28"/>
          <w:sz w:val="24"/>
          <w:szCs w:val="24"/>
          <w14:ligatures w14:val="standardContextual"/>
        </w:rPr>
      </w:pPr>
    </w:p>
    <w:p w14:paraId="25E48880" w14:textId="5D3FBEF8"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Limitations</w:t>
      </w:r>
    </w:p>
    <w:p w14:paraId="3651184D" w14:textId="77777777" w:rsidR="000D00C6" w:rsidRDefault="005F4C1B" w:rsidP="0021765C">
      <w:pPr>
        <w:pStyle w:val="ListParagraph"/>
        <w:numPr>
          <w:ilvl w:val="0"/>
          <w:numId w:val="6"/>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Cross-sectional Design: This analysis cannot establish causation, only association</w:t>
      </w:r>
      <w:r w:rsidR="000D00C6">
        <w:rPr>
          <w:rFonts w:ascii="Times New Roman" w:eastAsiaTheme="majorEastAsia" w:hAnsi="Times New Roman" w:cs="Times New Roman"/>
          <w:spacing w:val="-10"/>
          <w:kern w:val="28"/>
          <w:sz w:val="24"/>
          <w:szCs w:val="24"/>
          <w14:ligatures w14:val="standardContextual"/>
        </w:rPr>
        <w:t>.</w:t>
      </w:r>
    </w:p>
    <w:p w14:paraId="007AF0FF" w14:textId="77777777" w:rsidR="000D00C6" w:rsidRDefault="005F4C1B" w:rsidP="00BE03C6">
      <w:pPr>
        <w:pStyle w:val="ListParagraph"/>
        <w:numPr>
          <w:ilvl w:val="0"/>
          <w:numId w:val="6"/>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Missing Data: 70.0% of records lack a valid child hemoglobin measurement (children were only tested in households selected for anemia testing, and those under 6 months are excluded from testing), potentially introducing bias. This is a large gap and results should be read as describing the tested subsample, not guaranteed to generalize to all children.</w:t>
      </w:r>
    </w:p>
    <w:p w14:paraId="4DBD475F" w14:textId="3C78E61F" w:rsidR="000D00C6" w:rsidRDefault="005F4C1B" w:rsidP="009D1CF6">
      <w:pPr>
        <w:pStyle w:val="ListParagraph"/>
        <w:numPr>
          <w:ilvl w:val="0"/>
          <w:numId w:val="6"/>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Unmeasured Confounders: We cannot account for all factors affecting anemia (diet quality, infection history)</w:t>
      </w:r>
      <w:r w:rsidR="000D00C6">
        <w:rPr>
          <w:rFonts w:ascii="Times New Roman" w:eastAsiaTheme="majorEastAsia" w:hAnsi="Times New Roman" w:cs="Times New Roman"/>
          <w:spacing w:val="-10"/>
          <w:kern w:val="28"/>
          <w:sz w:val="24"/>
          <w:szCs w:val="24"/>
          <w14:ligatures w14:val="standardContextual"/>
        </w:rPr>
        <w:t>.</w:t>
      </w:r>
    </w:p>
    <w:p w14:paraId="7E7EC267" w14:textId="7167F6ED" w:rsidR="005F4C1B" w:rsidRPr="000D00C6" w:rsidRDefault="005F4C1B" w:rsidP="009D1CF6">
      <w:pPr>
        <w:pStyle w:val="ListParagraph"/>
        <w:numPr>
          <w:ilvl w:val="0"/>
          <w:numId w:val="6"/>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Survey Design: The DHS clustered sampling design is not accounted for; standard errors may be underestimated</w:t>
      </w:r>
      <w:r w:rsidR="000D00C6">
        <w:rPr>
          <w:rFonts w:ascii="Times New Roman" w:eastAsiaTheme="majorEastAsia" w:hAnsi="Times New Roman" w:cs="Times New Roman"/>
          <w:spacing w:val="-10"/>
          <w:kern w:val="28"/>
          <w:sz w:val="24"/>
          <w:szCs w:val="24"/>
          <w14:ligatures w14:val="standardContextual"/>
        </w:rPr>
        <w:t>.</w:t>
      </w:r>
    </w:p>
    <w:p w14:paraId="262AAC94" w14:textId="77777777" w:rsidR="000D00C6" w:rsidRDefault="000D00C6"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p>
    <w:p w14:paraId="5FF4DD2E" w14:textId="757860E8"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Implications for Action</w:t>
      </w:r>
    </w:p>
    <w:p w14:paraId="4FD61FFA" w14:textId="77777777"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For Policy Makers:</w:t>
      </w:r>
    </w:p>
    <w:p w14:paraId="0A2953BA" w14:textId="77777777" w:rsidR="000D00C6" w:rsidRDefault="005F4C1B" w:rsidP="00411BB5">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Prioritize anemia reduction in poor and rural areas through targeted health programs</w:t>
      </w:r>
      <w:r w:rsidR="000D00C6" w:rsidRPr="000D00C6">
        <w:rPr>
          <w:rFonts w:ascii="Times New Roman" w:eastAsiaTheme="majorEastAsia" w:hAnsi="Times New Roman" w:cs="Times New Roman"/>
          <w:spacing w:val="-10"/>
          <w:kern w:val="28"/>
          <w:sz w:val="24"/>
          <w:szCs w:val="24"/>
          <w14:ligatures w14:val="standardContextual"/>
        </w:rPr>
        <w:t>.</w:t>
      </w:r>
    </w:p>
    <w:p w14:paraId="07F4C4E5" w14:textId="77777777" w:rsidR="000D00C6" w:rsidRDefault="005F4C1B" w:rsidP="00256F7D">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Strengthen primary healthcare infrastructure in rural Nigeria</w:t>
      </w:r>
      <w:r w:rsidR="000D00C6" w:rsidRPr="000D00C6">
        <w:rPr>
          <w:rFonts w:ascii="Times New Roman" w:eastAsiaTheme="majorEastAsia" w:hAnsi="Times New Roman" w:cs="Times New Roman"/>
          <w:spacing w:val="-10"/>
          <w:kern w:val="28"/>
          <w:sz w:val="24"/>
          <w:szCs w:val="24"/>
          <w14:ligatures w14:val="standardContextual"/>
        </w:rPr>
        <w:t>.</w:t>
      </w:r>
    </w:p>
    <w:p w14:paraId="337467AD" w14:textId="77777777" w:rsidR="000D00C6" w:rsidRDefault="005F4C1B" w:rsidP="00052F0B">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Implement mass iron supplementation programs targeting high-risk populations</w:t>
      </w:r>
      <w:r w:rsidR="000D00C6" w:rsidRPr="000D00C6">
        <w:rPr>
          <w:rFonts w:ascii="Times New Roman" w:eastAsiaTheme="majorEastAsia" w:hAnsi="Times New Roman" w:cs="Times New Roman"/>
          <w:spacing w:val="-10"/>
          <w:kern w:val="28"/>
          <w:sz w:val="24"/>
          <w:szCs w:val="24"/>
          <w14:ligatures w14:val="standardContextual"/>
        </w:rPr>
        <w:t>.</w:t>
      </w:r>
    </w:p>
    <w:p w14:paraId="1C3B27BB" w14:textId="77777777" w:rsidR="000D00C6" w:rsidRPr="000D00C6" w:rsidRDefault="005F4C1B" w:rsidP="000D00C6">
      <w:pPr>
        <w:spacing w:after="0" w:line="360" w:lineRule="auto"/>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For Public Health Programs:</w:t>
      </w:r>
    </w:p>
    <w:p w14:paraId="457193E1" w14:textId="77777777" w:rsidR="000D00C6" w:rsidRDefault="005F4C1B" w:rsidP="00731209">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Integrate anemia screening and treatment into routine maternal and child health services</w:t>
      </w:r>
      <w:r w:rsidR="000D00C6" w:rsidRPr="000D00C6">
        <w:rPr>
          <w:rFonts w:ascii="Times New Roman" w:eastAsiaTheme="majorEastAsia" w:hAnsi="Times New Roman" w:cs="Times New Roman"/>
          <w:spacing w:val="-10"/>
          <w:kern w:val="28"/>
          <w:sz w:val="24"/>
          <w:szCs w:val="24"/>
          <w14:ligatures w14:val="standardContextual"/>
        </w:rPr>
        <w:t>.</w:t>
      </w:r>
    </w:p>
    <w:p w14:paraId="3D7AA34B" w14:textId="77777777" w:rsidR="000D00C6" w:rsidRDefault="005F4C1B" w:rsidP="00F06D7D">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 xml:space="preserve"> Develop context-appropriate nutrition education emphasizing iron-rich foods</w:t>
      </w:r>
      <w:r w:rsidR="000D00C6" w:rsidRPr="000D00C6">
        <w:rPr>
          <w:rFonts w:ascii="Times New Roman" w:eastAsiaTheme="majorEastAsia" w:hAnsi="Times New Roman" w:cs="Times New Roman"/>
          <w:spacing w:val="-10"/>
          <w:kern w:val="28"/>
          <w:sz w:val="24"/>
          <w:szCs w:val="24"/>
          <w14:ligatures w14:val="standardContextual"/>
        </w:rPr>
        <w:t>.</w:t>
      </w:r>
    </w:p>
    <w:p w14:paraId="0036B5C5" w14:textId="77777777" w:rsidR="000D00C6" w:rsidRDefault="005F4C1B" w:rsidP="00F5358A">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lastRenderedPageBreak/>
        <w:t>Address malaria control to reduce one driver of anemia</w:t>
      </w:r>
      <w:r w:rsidR="000D00C6" w:rsidRPr="000D00C6">
        <w:rPr>
          <w:rFonts w:ascii="Times New Roman" w:eastAsiaTheme="majorEastAsia" w:hAnsi="Times New Roman" w:cs="Times New Roman"/>
          <w:spacing w:val="-10"/>
          <w:kern w:val="28"/>
          <w:sz w:val="24"/>
          <w:szCs w:val="24"/>
          <w14:ligatures w14:val="standardContextual"/>
        </w:rPr>
        <w:t>.</w:t>
      </w:r>
    </w:p>
    <w:p w14:paraId="125DFAF0" w14:textId="77777777" w:rsidR="000D00C6" w:rsidRPr="000D00C6" w:rsidRDefault="005F4C1B" w:rsidP="000D00C6">
      <w:pPr>
        <w:spacing w:after="0" w:line="360" w:lineRule="auto"/>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For Future Research:</w:t>
      </w:r>
    </w:p>
    <w:p w14:paraId="51288F1A" w14:textId="77777777" w:rsidR="000D00C6" w:rsidRDefault="005F4C1B" w:rsidP="00343261">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Investigate the specific mechanisms linking education and wealth to anemia</w:t>
      </w:r>
      <w:r w:rsidR="000D00C6" w:rsidRPr="000D00C6">
        <w:rPr>
          <w:rFonts w:ascii="Times New Roman" w:eastAsiaTheme="majorEastAsia" w:hAnsi="Times New Roman" w:cs="Times New Roman"/>
          <w:spacing w:val="-10"/>
          <w:kern w:val="28"/>
          <w:sz w:val="24"/>
          <w:szCs w:val="24"/>
          <w14:ligatures w14:val="standardContextual"/>
        </w:rPr>
        <w:t>.</w:t>
      </w:r>
    </w:p>
    <w:p w14:paraId="5B36C8BA" w14:textId="77777777" w:rsidR="000D00C6" w:rsidRDefault="005F4C1B" w:rsidP="00B36959">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Examine the role of dietary patterns and food access</w:t>
      </w:r>
      <w:r w:rsidR="000D00C6" w:rsidRPr="000D00C6">
        <w:rPr>
          <w:rFonts w:ascii="Times New Roman" w:eastAsiaTheme="majorEastAsia" w:hAnsi="Times New Roman" w:cs="Times New Roman"/>
          <w:spacing w:val="-10"/>
          <w:kern w:val="28"/>
          <w:sz w:val="24"/>
          <w:szCs w:val="24"/>
          <w14:ligatures w14:val="standardContextual"/>
        </w:rPr>
        <w:t>.</w:t>
      </w:r>
    </w:p>
    <w:p w14:paraId="6309AD13" w14:textId="49AF0A9B" w:rsidR="005F4C1B" w:rsidRPr="000D00C6" w:rsidRDefault="005F4C1B" w:rsidP="00B36959">
      <w:pPr>
        <w:pStyle w:val="ListParagraph"/>
        <w:numPr>
          <w:ilvl w:val="0"/>
          <w:numId w:val="7"/>
        </w:numPr>
        <w:spacing w:after="0" w:line="360" w:lineRule="auto"/>
        <w:ind w:hanging="720"/>
        <w:jc w:val="both"/>
        <w:rPr>
          <w:rFonts w:ascii="Times New Roman" w:eastAsiaTheme="majorEastAsia" w:hAnsi="Times New Roman" w:cs="Times New Roman"/>
          <w:spacing w:val="-10"/>
          <w:kern w:val="28"/>
          <w:sz w:val="24"/>
          <w:szCs w:val="24"/>
          <w14:ligatures w14:val="standardContextual"/>
        </w:rPr>
      </w:pPr>
      <w:r w:rsidRPr="000D00C6">
        <w:rPr>
          <w:rFonts w:ascii="Times New Roman" w:eastAsiaTheme="majorEastAsia" w:hAnsi="Times New Roman" w:cs="Times New Roman"/>
          <w:spacing w:val="-10"/>
          <w:kern w:val="28"/>
          <w:sz w:val="24"/>
          <w:szCs w:val="24"/>
          <w14:ligatures w14:val="standardContextual"/>
        </w:rPr>
        <w:t>Evaluate the impact of targeted interventions in high-burden populations</w:t>
      </w:r>
    </w:p>
    <w:p w14:paraId="05418CCB" w14:textId="77777777" w:rsidR="005F4C1B" w:rsidRPr="000D00C6" w:rsidRDefault="005F4C1B" w:rsidP="005F4C1B">
      <w:pPr>
        <w:spacing w:after="0" w:line="360" w:lineRule="auto"/>
        <w:jc w:val="both"/>
        <w:rPr>
          <w:rFonts w:ascii="Times New Roman" w:eastAsiaTheme="majorEastAsia" w:hAnsi="Times New Roman" w:cs="Times New Roman"/>
          <w:b/>
          <w:bCs/>
          <w:spacing w:val="-10"/>
          <w:kern w:val="28"/>
          <w:sz w:val="24"/>
          <w:szCs w:val="24"/>
          <w14:ligatures w14:val="standardContextual"/>
        </w:rPr>
      </w:pPr>
      <w:r w:rsidRPr="000D00C6">
        <w:rPr>
          <w:rFonts w:ascii="Times New Roman" w:eastAsiaTheme="majorEastAsia" w:hAnsi="Times New Roman" w:cs="Times New Roman"/>
          <w:b/>
          <w:bCs/>
          <w:spacing w:val="-10"/>
          <w:kern w:val="28"/>
          <w:sz w:val="24"/>
          <w:szCs w:val="24"/>
          <w14:ligatures w14:val="standardContextual"/>
        </w:rPr>
        <w:t>Conclusion</w:t>
      </w:r>
    </w:p>
    <w:p w14:paraId="0C658499" w14:textId="6ED8F13B"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Childhood anemia in Nigeria is a preventable condition that remains concentrated among the poorest and least educated families. The strong associations with household wealth, maternal education, and rural residence indicate that addressing childhood anemia requires comprehensive approaches that tackle underlying socioeconomic determinants. While targeted clinical interventions are important, meaningful progress will require investment in poverty reduction, education, and equitable healthcare access.</w:t>
      </w:r>
    </w:p>
    <w:p w14:paraId="764E8815" w14:textId="13AB4F0F" w:rsidR="005F4C1B" w:rsidRPr="005F4C1B" w:rsidRDefault="005F4C1B" w:rsidP="005F4C1B">
      <w:pPr>
        <w:spacing w:after="0" w:line="360" w:lineRule="auto"/>
        <w:jc w:val="both"/>
        <w:rPr>
          <w:rFonts w:ascii="Times New Roman" w:eastAsiaTheme="majorEastAsia" w:hAnsi="Times New Roman" w:cs="Times New Roman"/>
          <w:spacing w:val="-10"/>
          <w:kern w:val="28"/>
          <w:sz w:val="24"/>
          <w:szCs w:val="24"/>
          <w14:ligatures w14:val="standardContextual"/>
        </w:rPr>
      </w:pPr>
      <w:r w:rsidRPr="005F4C1B">
        <w:rPr>
          <w:rFonts w:ascii="Times New Roman" w:eastAsiaTheme="majorEastAsia" w:hAnsi="Times New Roman" w:cs="Times New Roman"/>
          <w:spacing w:val="-10"/>
          <w:kern w:val="28"/>
          <w:sz w:val="24"/>
          <w:szCs w:val="24"/>
          <w14:ligatures w14:val="standardContextual"/>
        </w:rPr>
        <w:t>The 2018 NDHS data demonstrate that Nigeria has the tools and knowledge to address childhood anemia. What is needed is sustained commitment to implementing evidence-based strategies and ensuring that interventions reach the most vulnerable children.</w:t>
      </w:r>
    </w:p>
    <w:sectPr w:rsidR="005F4C1B" w:rsidRPr="005F4C1B" w:rsidSect="000D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8798C"/>
    <w:multiLevelType w:val="hybridMultilevel"/>
    <w:tmpl w:val="7BF62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1444D"/>
    <w:multiLevelType w:val="hybridMultilevel"/>
    <w:tmpl w:val="2BF81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5D3DEE"/>
    <w:multiLevelType w:val="hybridMultilevel"/>
    <w:tmpl w:val="2324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5E040A"/>
    <w:multiLevelType w:val="hybridMultilevel"/>
    <w:tmpl w:val="B93A8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37678"/>
    <w:multiLevelType w:val="hybridMultilevel"/>
    <w:tmpl w:val="4C56FA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E2B99"/>
    <w:multiLevelType w:val="hybridMultilevel"/>
    <w:tmpl w:val="29AC3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1A6735"/>
    <w:multiLevelType w:val="hybridMultilevel"/>
    <w:tmpl w:val="8ED62E22"/>
    <w:lvl w:ilvl="0" w:tplc="7D20C94A">
      <w:start w:val="6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C466C"/>
    <w:multiLevelType w:val="hybridMultilevel"/>
    <w:tmpl w:val="C7A2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874217">
    <w:abstractNumId w:val="4"/>
  </w:num>
  <w:num w:numId="2" w16cid:durableId="2031250516">
    <w:abstractNumId w:val="1"/>
  </w:num>
  <w:num w:numId="3" w16cid:durableId="1171990581">
    <w:abstractNumId w:val="6"/>
  </w:num>
  <w:num w:numId="4" w16cid:durableId="2518563">
    <w:abstractNumId w:val="5"/>
  </w:num>
  <w:num w:numId="5" w16cid:durableId="92362956">
    <w:abstractNumId w:val="3"/>
  </w:num>
  <w:num w:numId="6" w16cid:durableId="401682956">
    <w:abstractNumId w:val="2"/>
  </w:num>
  <w:num w:numId="7" w16cid:durableId="2048947014">
    <w:abstractNumId w:val="0"/>
  </w:num>
  <w:num w:numId="8" w16cid:durableId="940256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1B"/>
    <w:rsid w:val="00097658"/>
    <w:rsid w:val="000D00C6"/>
    <w:rsid w:val="000F415D"/>
    <w:rsid w:val="001C0E9A"/>
    <w:rsid w:val="00264E69"/>
    <w:rsid w:val="00326633"/>
    <w:rsid w:val="003373E7"/>
    <w:rsid w:val="00386350"/>
    <w:rsid w:val="004E2941"/>
    <w:rsid w:val="005F4C1B"/>
    <w:rsid w:val="006A06B1"/>
    <w:rsid w:val="007B5EA9"/>
    <w:rsid w:val="008D0E4A"/>
    <w:rsid w:val="009937D0"/>
    <w:rsid w:val="00A711D2"/>
    <w:rsid w:val="00B10BB5"/>
    <w:rsid w:val="00B66B3A"/>
    <w:rsid w:val="00BE6232"/>
    <w:rsid w:val="00D939D0"/>
    <w:rsid w:val="00E35455"/>
    <w:rsid w:val="00E87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F7A9"/>
  <w15:chartTrackingRefBased/>
  <w15:docId w15:val="{BC8E2931-C262-4AF9-A7E0-9372203C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C1B"/>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5F4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C1B"/>
    <w:rPr>
      <w:rFonts w:eastAsiaTheme="majorEastAsia" w:cstheme="majorBidi"/>
      <w:color w:val="272727" w:themeColor="text1" w:themeTint="D8"/>
    </w:rPr>
  </w:style>
  <w:style w:type="paragraph" w:styleId="Title">
    <w:name w:val="Title"/>
    <w:basedOn w:val="Normal"/>
    <w:next w:val="Normal"/>
    <w:link w:val="TitleChar"/>
    <w:uiPriority w:val="10"/>
    <w:qFormat/>
    <w:rsid w:val="005F4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C1B"/>
    <w:pPr>
      <w:spacing w:before="160"/>
      <w:jc w:val="center"/>
    </w:pPr>
    <w:rPr>
      <w:i/>
      <w:iCs/>
      <w:color w:val="404040" w:themeColor="text1" w:themeTint="BF"/>
    </w:rPr>
  </w:style>
  <w:style w:type="character" w:customStyle="1" w:styleId="QuoteChar">
    <w:name w:val="Quote Char"/>
    <w:basedOn w:val="DefaultParagraphFont"/>
    <w:link w:val="Quote"/>
    <w:uiPriority w:val="29"/>
    <w:rsid w:val="005F4C1B"/>
    <w:rPr>
      <w:i/>
      <w:iCs/>
      <w:color w:val="404040" w:themeColor="text1" w:themeTint="BF"/>
    </w:rPr>
  </w:style>
  <w:style w:type="paragraph" w:styleId="ListParagraph">
    <w:name w:val="List Paragraph"/>
    <w:basedOn w:val="Normal"/>
    <w:uiPriority w:val="34"/>
    <w:qFormat/>
    <w:rsid w:val="005F4C1B"/>
    <w:pPr>
      <w:ind w:left="720"/>
      <w:contextualSpacing/>
    </w:pPr>
  </w:style>
  <w:style w:type="character" w:styleId="IntenseEmphasis">
    <w:name w:val="Intense Emphasis"/>
    <w:basedOn w:val="DefaultParagraphFont"/>
    <w:uiPriority w:val="21"/>
    <w:qFormat/>
    <w:rsid w:val="005F4C1B"/>
    <w:rPr>
      <w:i/>
      <w:iCs/>
      <w:color w:val="0F4761" w:themeColor="accent1" w:themeShade="BF"/>
    </w:rPr>
  </w:style>
  <w:style w:type="paragraph" w:styleId="IntenseQuote">
    <w:name w:val="Intense Quote"/>
    <w:basedOn w:val="Normal"/>
    <w:next w:val="Normal"/>
    <w:link w:val="IntenseQuoteChar"/>
    <w:uiPriority w:val="30"/>
    <w:qFormat/>
    <w:rsid w:val="005F4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C1B"/>
    <w:rPr>
      <w:i/>
      <w:iCs/>
      <w:color w:val="0F4761" w:themeColor="accent1" w:themeShade="BF"/>
    </w:rPr>
  </w:style>
  <w:style w:type="character" w:styleId="IntenseReference">
    <w:name w:val="Intense Reference"/>
    <w:basedOn w:val="DefaultParagraphFont"/>
    <w:uiPriority w:val="32"/>
    <w:qFormat/>
    <w:rsid w:val="005F4C1B"/>
    <w:rPr>
      <w:b/>
      <w:bCs/>
      <w:smallCaps/>
      <w:color w:val="0F4761" w:themeColor="accent1" w:themeShade="BF"/>
      <w:spacing w:val="5"/>
    </w:rPr>
  </w:style>
  <w:style w:type="table" w:styleId="LightGrid-Accent1">
    <w:name w:val="Light Grid Accent 1"/>
    <w:basedOn w:val="TableNormal"/>
    <w:uiPriority w:val="62"/>
    <w:rsid w:val="005F4C1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eGrid">
    <w:name w:val="Table Grid"/>
    <w:basedOn w:val="TableNormal"/>
    <w:uiPriority w:val="39"/>
    <w:rsid w:val="00B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173359">
      <w:bodyDiv w:val="1"/>
      <w:marLeft w:val="0"/>
      <w:marRight w:val="0"/>
      <w:marTop w:val="0"/>
      <w:marBottom w:val="0"/>
      <w:divBdr>
        <w:top w:val="none" w:sz="0" w:space="0" w:color="auto"/>
        <w:left w:val="none" w:sz="0" w:space="0" w:color="auto"/>
        <w:bottom w:val="none" w:sz="0" w:space="0" w:color="auto"/>
        <w:right w:val="none" w:sz="0" w:space="0" w:color="auto"/>
      </w:divBdr>
    </w:div>
    <w:div w:id="145663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Children_Anemia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wnloads\Children_Anemia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wnloads\Children_Anemia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wnloads\Children_Anemia_Analysi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i="0" u="none" strike="noStrike" kern="1200" baseline="0">
                <a:solidFill>
                  <a:srgbClr val="1F497D"/>
                </a:solidFill>
              </a:rPr>
              <a:t>Anemia Severity Levels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1137-401F-A367-6D95878AC401}"/>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1137-401F-A367-6D95878AC401}"/>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1137-401F-A367-6D95878AC401}"/>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1137-401F-A367-6D95878AC4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Overall Statistics'!$A$10:$A$13</c:f>
              <c:strCache>
                <c:ptCount val="4"/>
                <c:pt idx="0">
                  <c:v>Not anemic</c:v>
                </c:pt>
                <c:pt idx="1">
                  <c:v>Mild</c:v>
                </c:pt>
                <c:pt idx="2">
                  <c:v>Moderate</c:v>
                </c:pt>
                <c:pt idx="3">
                  <c:v>Severe</c:v>
                </c:pt>
              </c:strCache>
            </c:strRef>
          </c:cat>
          <c:val>
            <c:numRef>
              <c:f>'2. Overall Statistics'!$B$10:$B$13</c:f>
              <c:numCache>
                <c:formatCode>0.0"%"</c:formatCode>
                <c:ptCount val="4"/>
                <c:pt idx="0">
                  <c:v>31.22176389707327</c:v>
                </c:pt>
                <c:pt idx="1">
                  <c:v>27.047731290512669</c:v>
                </c:pt>
                <c:pt idx="2">
                  <c:v>38.568061284619922</c:v>
                </c:pt>
                <c:pt idx="3">
                  <c:v>3.1624435277941472</c:v>
                </c:pt>
              </c:numCache>
            </c:numRef>
          </c:val>
          <c:extLst>
            <c:ext xmlns:c16="http://schemas.microsoft.com/office/drawing/2014/chart" uri="{C3380CC4-5D6E-409C-BE32-E72D297353CC}">
              <c16:uniqueId val="{00000008-1137-401F-A367-6D95878AC40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[Children_Anemia_Analysis.xlsx]All!PivotTable7</c:name>
    <c:fmtId val="-1"/>
  </c:pivotSource>
  <c:chart>
    <c:title>
      <c:tx>
        <c:rich>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r>
              <a:rPr lang="en-US"/>
              <a:t>Anemia Prevalence by household Wealth</a:t>
            </a:r>
          </a:p>
        </c:rich>
      </c:tx>
      <c:overlay val="0"/>
      <c:spPr>
        <a:noFill/>
        <a:ln>
          <a:noFill/>
        </a:ln>
        <a:effectLst/>
      </c:spPr>
      <c:txPr>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endParaRPr lang="en-US"/>
        </a:p>
      </c:txPr>
    </c:title>
    <c:autoTitleDeleted val="0"/>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9525">
              <a:solidFill>
                <a:schemeClr val="accent2"/>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w="9525">
              <a:solidFill>
                <a:schemeClr val="accent3"/>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w="9525">
              <a:solidFill>
                <a:schemeClr val="accent4"/>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All!$B$14:$B$15</c:f>
              <c:strCache>
                <c:ptCount val="1"/>
                <c:pt idx="0">
                  <c:v>Mild</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All!$A$16:$A$21</c:f>
              <c:strCache>
                <c:ptCount val="5"/>
                <c:pt idx="0">
                  <c:v>Middle</c:v>
                </c:pt>
                <c:pt idx="1">
                  <c:v>Poorer</c:v>
                </c:pt>
                <c:pt idx="2">
                  <c:v>Poorest</c:v>
                </c:pt>
                <c:pt idx="3">
                  <c:v>Richer</c:v>
                </c:pt>
                <c:pt idx="4">
                  <c:v>Richest</c:v>
                </c:pt>
              </c:strCache>
            </c:strRef>
          </c:cat>
          <c:val>
            <c:numRef>
              <c:f>All!$B$16:$B$21</c:f>
              <c:numCache>
                <c:formatCode>General</c:formatCode>
                <c:ptCount val="5"/>
                <c:pt idx="0">
                  <c:v>596</c:v>
                </c:pt>
                <c:pt idx="1">
                  <c:v>525</c:v>
                </c:pt>
                <c:pt idx="2">
                  <c:v>522</c:v>
                </c:pt>
                <c:pt idx="3">
                  <c:v>606</c:v>
                </c:pt>
                <c:pt idx="4">
                  <c:v>505</c:v>
                </c:pt>
              </c:numCache>
            </c:numRef>
          </c:val>
          <c:extLst>
            <c:ext xmlns:c16="http://schemas.microsoft.com/office/drawing/2014/chart" uri="{C3380CC4-5D6E-409C-BE32-E72D297353CC}">
              <c16:uniqueId val="{00000000-8360-4413-A709-C453B60F09A4}"/>
            </c:ext>
          </c:extLst>
        </c:ser>
        <c:ser>
          <c:idx val="1"/>
          <c:order val="1"/>
          <c:tx>
            <c:strRef>
              <c:f>All!$C$14:$C$15</c:f>
              <c:strCache>
                <c:ptCount val="1"/>
                <c:pt idx="0">
                  <c:v>Moderate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All!$A$16:$A$21</c:f>
              <c:strCache>
                <c:ptCount val="5"/>
                <c:pt idx="0">
                  <c:v>Middle</c:v>
                </c:pt>
                <c:pt idx="1">
                  <c:v>Poorer</c:v>
                </c:pt>
                <c:pt idx="2">
                  <c:v>Poorest</c:v>
                </c:pt>
                <c:pt idx="3">
                  <c:v>Richer</c:v>
                </c:pt>
                <c:pt idx="4">
                  <c:v>Richest</c:v>
                </c:pt>
              </c:strCache>
            </c:strRef>
          </c:cat>
          <c:val>
            <c:numRef>
              <c:f>All!$C$16:$C$21</c:f>
              <c:numCache>
                <c:formatCode>General</c:formatCode>
                <c:ptCount val="5"/>
                <c:pt idx="0">
                  <c:v>865</c:v>
                </c:pt>
                <c:pt idx="1">
                  <c:v>926</c:v>
                </c:pt>
                <c:pt idx="2">
                  <c:v>983</c:v>
                </c:pt>
                <c:pt idx="3">
                  <c:v>750</c:v>
                </c:pt>
                <c:pt idx="4">
                  <c:v>403</c:v>
                </c:pt>
              </c:numCache>
            </c:numRef>
          </c:val>
          <c:extLst>
            <c:ext xmlns:c16="http://schemas.microsoft.com/office/drawing/2014/chart" uri="{C3380CC4-5D6E-409C-BE32-E72D297353CC}">
              <c16:uniqueId val="{00000001-8360-4413-A709-C453B60F09A4}"/>
            </c:ext>
          </c:extLst>
        </c:ser>
        <c:ser>
          <c:idx val="2"/>
          <c:order val="2"/>
          <c:tx>
            <c:strRef>
              <c:f>All!$D$14:$D$15</c:f>
              <c:strCache>
                <c:ptCount val="1"/>
                <c:pt idx="0">
                  <c:v>Not anemic</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All!$A$16:$A$21</c:f>
              <c:strCache>
                <c:ptCount val="5"/>
                <c:pt idx="0">
                  <c:v>Middle</c:v>
                </c:pt>
                <c:pt idx="1">
                  <c:v>Poorer</c:v>
                </c:pt>
                <c:pt idx="2">
                  <c:v>Poorest</c:v>
                </c:pt>
                <c:pt idx="3">
                  <c:v>Richer</c:v>
                </c:pt>
                <c:pt idx="4">
                  <c:v>Richest</c:v>
                </c:pt>
              </c:strCache>
            </c:strRef>
          </c:cat>
          <c:val>
            <c:numRef>
              <c:f>All!$D$16:$D$21</c:f>
              <c:numCache>
                <c:formatCode>General</c:formatCode>
                <c:ptCount val="5"/>
                <c:pt idx="0">
                  <c:v>729</c:v>
                </c:pt>
                <c:pt idx="1">
                  <c:v>498</c:v>
                </c:pt>
                <c:pt idx="2">
                  <c:v>418</c:v>
                </c:pt>
                <c:pt idx="3">
                  <c:v>737</c:v>
                </c:pt>
                <c:pt idx="4">
                  <c:v>797</c:v>
                </c:pt>
              </c:numCache>
            </c:numRef>
          </c:val>
          <c:extLst>
            <c:ext xmlns:c16="http://schemas.microsoft.com/office/drawing/2014/chart" uri="{C3380CC4-5D6E-409C-BE32-E72D297353CC}">
              <c16:uniqueId val="{00000002-8360-4413-A709-C453B60F09A4}"/>
            </c:ext>
          </c:extLst>
        </c:ser>
        <c:ser>
          <c:idx val="3"/>
          <c:order val="3"/>
          <c:tx>
            <c:strRef>
              <c:f>All!$E$14:$E$15</c:f>
              <c:strCache>
                <c:ptCount val="1"/>
                <c:pt idx="0">
                  <c:v>Severe</c:v>
                </c:pt>
              </c:strCache>
            </c:strRef>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All!$A$16:$A$21</c:f>
              <c:strCache>
                <c:ptCount val="5"/>
                <c:pt idx="0">
                  <c:v>Middle</c:v>
                </c:pt>
                <c:pt idx="1">
                  <c:v>Poorer</c:v>
                </c:pt>
                <c:pt idx="2">
                  <c:v>Poorest</c:v>
                </c:pt>
                <c:pt idx="3">
                  <c:v>Richer</c:v>
                </c:pt>
                <c:pt idx="4">
                  <c:v>Richest</c:v>
                </c:pt>
              </c:strCache>
            </c:strRef>
          </c:cat>
          <c:val>
            <c:numRef>
              <c:f>All!$E$16:$E$21</c:f>
              <c:numCache>
                <c:formatCode>General</c:formatCode>
                <c:ptCount val="5"/>
                <c:pt idx="0">
                  <c:v>59</c:v>
                </c:pt>
                <c:pt idx="1">
                  <c:v>87</c:v>
                </c:pt>
                <c:pt idx="2">
                  <c:v>119</c:v>
                </c:pt>
                <c:pt idx="3">
                  <c:v>48</c:v>
                </c:pt>
                <c:pt idx="4">
                  <c:v>9</c:v>
                </c:pt>
              </c:numCache>
            </c:numRef>
          </c:val>
          <c:extLst>
            <c:ext xmlns:c16="http://schemas.microsoft.com/office/drawing/2014/chart" uri="{C3380CC4-5D6E-409C-BE32-E72D297353CC}">
              <c16:uniqueId val="{00000003-8360-4413-A709-C453B60F09A4}"/>
            </c:ext>
          </c:extLst>
        </c:ser>
        <c:dLbls>
          <c:showLegendKey val="0"/>
          <c:showVal val="0"/>
          <c:showCatName val="0"/>
          <c:showSerName val="0"/>
          <c:showPercent val="0"/>
          <c:showBubbleSize val="0"/>
        </c:dLbls>
        <c:gapWidth val="100"/>
        <c:overlap val="-24"/>
        <c:axId val="1745498304"/>
        <c:axId val="1745486304"/>
      </c:barChart>
      <c:catAx>
        <c:axId val="1745498304"/>
        <c:scaling>
          <c:orientation val="minMax"/>
        </c:scaling>
        <c:delete val="0"/>
        <c:axPos val="b"/>
        <c:title>
          <c:tx>
            <c:rich>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en-US"/>
                  <a:t>Wealth Index</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45486304"/>
        <c:crosses val="autoZero"/>
        <c:auto val="1"/>
        <c:lblAlgn val="ctr"/>
        <c:lblOffset val="100"/>
        <c:noMultiLvlLbl val="0"/>
      </c:catAx>
      <c:valAx>
        <c:axId val="1745486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en-US"/>
                  <a:t>Anemia Level</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45498304"/>
        <c:crosses val="autoZero"/>
        <c:crossBetween val="between"/>
      </c:valAx>
      <c:spPr>
        <a:noFill/>
        <a:ln>
          <a:noFill/>
        </a:ln>
        <a:effectLst/>
      </c:spPr>
    </c:plotArea>
    <c:legend>
      <c:legendPos val="r"/>
      <c:layout>
        <c:manualLayout>
          <c:xMode val="edge"/>
          <c:yMode val="edge"/>
          <c:x val="0.84071374639813856"/>
          <c:y val="0.73960171645211015"/>
          <c:w val="0.14251242078106185"/>
          <c:h val="0.2301612298462692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[Children_Anemia_Analysis.xlsx]All!PivotTable8</c:name>
    <c:fmtId val="-1"/>
  </c:pivotSource>
  <c:chart>
    <c:title>
      <c:tx>
        <c:rich>
          <a:bodyPr rot="0" spcFirstLastPara="1" vertOverflow="ellipsis" vert="horz" wrap="square" anchor="ctr" anchorCtr="1"/>
          <a:lstStyle/>
          <a:p>
            <a:pPr>
              <a:defRPr sz="1600" b="1" i="0" u="none" strike="noStrike" kern="1200" cap="none" spc="50" baseline="0">
                <a:solidFill>
                  <a:sysClr val="windowText" lastClr="000000"/>
                </a:solidFill>
                <a:latin typeface="+mn-lt"/>
                <a:ea typeface="+mn-ea"/>
                <a:cs typeface="+mn-cs"/>
              </a:defRPr>
            </a:pPr>
            <a:r>
              <a:rPr lang="en-US" sz="1600" cap="none"/>
              <a:t>Anemia prevalance by mother's level of education</a:t>
            </a:r>
          </a:p>
        </c:rich>
      </c:tx>
      <c:layout>
        <c:manualLayout>
          <c:xMode val="edge"/>
          <c:yMode val="edge"/>
          <c:x val="0.1719459141681364"/>
          <c:y val="0"/>
        </c:manualLayout>
      </c:layout>
      <c:overlay val="0"/>
      <c:spPr>
        <a:noFill/>
        <a:ln>
          <a:noFill/>
        </a:ln>
        <a:effectLst/>
      </c:spPr>
      <c:txPr>
        <a:bodyPr rot="0" spcFirstLastPara="1" vertOverflow="ellipsis" vert="horz" wrap="square" anchor="ctr" anchorCtr="1"/>
        <a:lstStyle/>
        <a:p>
          <a:pPr>
            <a:defRPr sz="1600" b="1" i="0" u="none" strike="noStrike" kern="1200" cap="none" spc="50" baseline="0">
              <a:solidFill>
                <a:sysClr val="windowText" lastClr="000000"/>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242379449861187"/>
          <c:y val="0.23649001555056401"/>
          <c:w val="0.57987132474866632"/>
          <c:h val="0.55355038300463222"/>
        </c:manualLayout>
      </c:layout>
      <c:barChart>
        <c:barDir val="col"/>
        <c:grouping val="clustered"/>
        <c:varyColors val="0"/>
        <c:ser>
          <c:idx val="0"/>
          <c:order val="0"/>
          <c:tx>
            <c:strRef>
              <c:f>All!$B$29:$B$30</c:f>
              <c:strCache>
                <c:ptCount val="1"/>
                <c:pt idx="0">
                  <c:v>Mild</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5400000" scaled="0"/>
            </a:gradFill>
            <a:ln>
              <a:noFill/>
            </a:ln>
            <a:effectLst/>
          </c:spPr>
          <c:invertIfNegative val="0"/>
          <c:cat>
            <c:strRef>
              <c:f>All!$A$31:$A$35</c:f>
              <c:strCache>
                <c:ptCount val="4"/>
                <c:pt idx="0">
                  <c:v>Higher</c:v>
                </c:pt>
                <c:pt idx="1">
                  <c:v>No education</c:v>
                </c:pt>
                <c:pt idx="2">
                  <c:v>Primary</c:v>
                </c:pt>
                <c:pt idx="3">
                  <c:v>Secondary</c:v>
                </c:pt>
              </c:strCache>
            </c:strRef>
          </c:cat>
          <c:val>
            <c:numRef>
              <c:f>All!$B$31:$B$35</c:f>
              <c:numCache>
                <c:formatCode>General</c:formatCode>
                <c:ptCount val="4"/>
                <c:pt idx="0">
                  <c:v>261</c:v>
                </c:pt>
                <c:pt idx="1">
                  <c:v>994</c:v>
                </c:pt>
                <c:pt idx="2">
                  <c:v>476</c:v>
                </c:pt>
                <c:pt idx="3">
                  <c:v>1023</c:v>
                </c:pt>
              </c:numCache>
            </c:numRef>
          </c:val>
          <c:extLst>
            <c:ext xmlns:c16="http://schemas.microsoft.com/office/drawing/2014/chart" uri="{C3380CC4-5D6E-409C-BE32-E72D297353CC}">
              <c16:uniqueId val="{00000000-A80B-4AD5-AA02-5BADD731F364}"/>
            </c:ext>
          </c:extLst>
        </c:ser>
        <c:ser>
          <c:idx val="1"/>
          <c:order val="1"/>
          <c:tx>
            <c:strRef>
              <c:f>All!$C$29:$C$30</c:f>
              <c:strCache>
                <c:ptCount val="1"/>
                <c:pt idx="0">
                  <c:v>Moderate</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invertIfNegative val="0"/>
          <c:cat>
            <c:strRef>
              <c:f>All!$A$31:$A$35</c:f>
              <c:strCache>
                <c:ptCount val="4"/>
                <c:pt idx="0">
                  <c:v>Higher</c:v>
                </c:pt>
                <c:pt idx="1">
                  <c:v>No education</c:v>
                </c:pt>
                <c:pt idx="2">
                  <c:v>Primary</c:v>
                </c:pt>
                <c:pt idx="3">
                  <c:v>Secondary</c:v>
                </c:pt>
              </c:strCache>
            </c:strRef>
          </c:cat>
          <c:val>
            <c:numRef>
              <c:f>All!$C$31:$C$35</c:f>
              <c:numCache>
                <c:formatCode>General</c:formatCode>
                <c:ptCount val="4"/>
                <c:pt idx="0">
                  <c:v>182</c:v>
                </c:pt>
                <c:pt idx="1">
                  <c:v>1777</c:v>
                </c:pt>
                <c:pt idx="2">
                  <c:v>701</c:v>
                </c:pt>
                <c:pt idx="3">
                  <c:v>1267</c:v>
                </c:pt>
              </c:numCache>
            </c:numRef>
          </c:val>
          <c:extLst>
            <c:ext xmlns:c16="http://schemas.microsoft.com/office/drawing/2014/chart" uri="{C3380CC4-5D6E-409C-BE32-E72D297353CC}">
              <c16:uniqueId val="{00000001-A80B-4AD5-AA02-5BADD731F364}"/>
            </c:ext>
          </c:extLst>
        </c:ser>
        <c:ser>
          <c:idx val="2"/>
          <c:order val="2"/>
          <c:tx>
            <c:strRef>
              <c:f>All!$D$29:$D$30</c:f>
              <c:strCache>
                <c:ptCount val="1"/>
                <c:pt idx="0">
                  <c:v>Not anemic</c:v>
                </c:pt>
              </c:strCache>
            </c:strRef>
          </c:tx>
          <c:spPr>
            <a:gradFill flip="none" rotWithShape="1">
              <a:gsLst>
                <a:gs pos="0">
                  <a:schemeClr val="accent3"/>
                </a:gs>
                <a:gs pos="75000">
                  <a:schemeClr val="accent3">
                    <a:lumMod val="60000"/>
                    <a:lumOff val="40000"/>
                  </a:schemeClr>
                </a:gs>
                <a:gs pos="51000">
                  <a:schemeClr val="accent3">
                    <a:alpha val="75000"/>
                  </a:schemeClr>
                </a:gs>
                <a:gs pos="100000">
                  <a:schemeClr val="accent3">
                    <a:lumMod val="20000"/>
                    <a:lumOff val="80000"/>
                    <a:alpha val="15000"/>
                  </a:schemeClr>
                </a:gs>
              </a:gsLst>
              <a:lin ang="5400000" scaled="0"/>
            </a:gradFill>
            <a:ln>
              <a:noFill/>
            </a:ln>
            <a:effectLst/>
          </c:spPr>
          <c:invertIfNegative val="0"/>
          <c:cat>
            <c:strRef>
              <c:f>All!$A$31:$A$35</c:f>
              <c:strCache>
                <c:ptCount val="4"/>
                <c:pt idx="0">
                  <c:v>Higher</c:v>
                </c:pt>
                <c:pt idx="1">
                  <c:v>No education</c:v>
                </c:pt>
                <c:pt idx="2">
                  <c:v>Primary</c:v>
                </c:pt>
                <c:pt idx="3">
                  <c:v>Secondary</c:v>
                </c:pt>
              </c:strCache>
            </c:strRef>
          </c:cat>
          <c:val>
            <c:numRef>
              <c:f>All!$D$31:$D$35</c:f>
              <c:numCache>
                <c:formatCode>General</c:formatCode>
                <c:ptCount val="4"/>
                <c:pt idx="0">
                  <c:v>464</c:v>
                </c:pt>
                <c:pt idx="1">
                  <c:v>941</c:v>
                </c:pt>
                <c:pt idx="2">
                  <c:v>502</c:v>
                </c:pt>
                <c:pt idx="3">
                  <c:v>1272</c:v>
                </c:pt>
              </c:numCache>
            </c:numRef>
          </c:val>
          <c:extLst>
            <c:ext xmlns:c16="http://schemas.microsoft.com/office/drawing/2014/chart" uri="{C3380CC4-5D6E-409C-BE32-E72D297353CC}">
              <c16:uniqueId val="{00000002-A80B-4AD5-AA02-5BADD731F364}"/>
            </c:ext>
          </c:extLst>
        </c:ser>
        <c:ser>
          <c:idx val="3"/>
          <c:order val="3"/>
          <c:tx>
            <c:strRef>
              <c:f>All!$E$29:$E$30</c:f>
              <c:strCache>
                <c:ptCount val="1"/>
                <c:pt idx="0">
                  <c:v>Severe</c:v>
                </c:pt>
              </c:strCache>
            </c:strRef>
          </c:tx>
          <c:spPr>
            <a:gradFill flip="none" rotWithShape="1">
              <a:gsLst>
                <a:gs pos="0">
                  <a:schemeClr val="accent4"/>
                </a:gs>
                <a:gs pos="75000">
                  <a:schemeClr val="accent4">
                    <a:lumMod val="60000"/>
                    <a:lumOff val="40000"/>
                  </a:schemeClr>
                </a:gs>
                <a:gs pos="51000">
                  <a:schemeClr val="accent4">
                    <a:alpha val="75000"/>
                  </a:schemeClr>
                </a:gs>
                <a:gs pos="100000">
                  <a:schemeClr val="accent4">
                    <a:lumMod val="20000"/>
                    <a:lumOff val="80000"/>
                    <a:alpha val="15000"/>
                  </a:schemeClr>
                </a:gs>
              </a:gsLst>
              <a:lin ang="5400000" scaled="0"/>
            </a:gradFill>
            <a:ln>
              <a:noFill/>
            </a:ln>
            <a:effectLst/>
          </c:spPr>
          <c:invertIfNegative val="0"/>
          <c:cat>
            <c:strRef>
              <c:f>All!$A$31:$A$35</c:f>
              <c:strCache>
                <c:ptCount val="4"/>
                <c:pt idx="0">
                  <c:v>Higher</c:v>
                </c:pt>
                <c:pt idx="1">
                  <c:v>No education</c:v>
                </c:pt>
                <c:pt idx="2">
                  <c:v>Primary</c:v>
                </c:pt>
                <c:pt idx="3">
                  <c:v>Secondary</c:v>
                </c:pt>
              </c:strCache>
            </c:strRef>
          </c:cat>
          <c:val>
            <c:numRef>
              <c:f>All!$E$31:$E$35</c:f>
              <c:numCache>
                <c:formatCode>General</c:formatCode>
                <c:ptCount val="4"/>
                <c:pt idx="0">
                  <c:v>2</c:v>
                </c:pt>
                <c:pt idx="1">
                  <c:v>184</c:v>
                </c:pt>
                <c:pt idx="2">
                  <c:v>54</c:v>
                </c:pt>
                <c:pt idx="3">
                  <c:v>82</c:v>
                </c:pt>
              </c:numCache>
            </c:numRef>
          </c:val>
          <c:extLst>
            <c:ext xmlns:c16="http://schemas.microsoft.com/office/drawing/2014/chart" uri="{C3380CC4-5D6E-409C-BE32-E72D297353CC}">
              <c16:uniqueId val="{00000003-A80B-4AD5-AA02-5BADD731F364}"/>
            </c:ext>
          </c:extLst>
        </c:ser>
        <c:dLbls>
          <c:showLegendKey val="0"/>
          <c:showVal val="0"/>
          <c:showCatName val="0"/>
          <c:showSerName val="0"/>
          <c:showPercent val="0"/>
          <c:showBubbleSize val="0"/>
        </c:dLbls>
        <c:gapWidth val="355"/>
        <c:overlap val="-70"/>
        <c:axId val="522805360"/>
        <c:axId val="522803440"/>
      </c:barChart>
      <c:catAx>
        <c:axId val="522805360"/>
        <c:scaling>
          <c:orientation val="minMax"/>
        </c:scaling>
        <c:delete val="0"/>
        <c:axPos val="b"/>
        <c:title>
          <c:tx>
            <c:rich>
              <a:bodyPr rot="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r>
                  <a:rPr lang="en-US" cap="none"/>
                  <a:t>Education level</a:t>
                </a:r>
              </a:p>
            </c:rich>
          </c:tx>
          <c:overlay val="0"/>
          <c:spPr>
            <a:noFill/>
            <a:ln>
              <a:noFill/>
            </a:ln>
            <a:effectLst/>
          </c:spPr>
          <c:txPr>
            <a:bodyPr rot="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22803440"/>
        <c:crosses val="autoZero"/>
        <c:auto val="1"/>
        <c:lblAlgn val="ctr"/>
        <c:lblOffset val="100"/>
        <c:noMultiLvlLbl val="0"/>
      </c:catAx>
      <c:valAx>
        <c:axId val="522803440"/>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title>
          <c:tx>
            <c:rich>
              <a:bodyPr rot="-540000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r>
                  <a:rPr lang="en-US" cap="none"/>
                  <a:t>Count</a:t>
                </a:r>
              </a:p>
            </c:rich>
          </c:tx>
          <c:overlay val="0"/>
          <c:spPr>
            <a:noFill/>
            <a:ln>
              <a:noFill/>
            </a:ln>
            <a:effectLst/>
          </c:spPr>
          <c:txPr>
            <a:bodyPr rot="-540000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22805360"/>
        <c:crosses val="autoZero"/>
        <c:crossBetween val="between"/>
      </c:valAx>
      <c:spPr>
        <a:noFill/>
        <a:ln>
          <a:noFill/>
        </a:ln>
        <a:effectLst/>
      </c:spPr>
    </c:plotArea>
    <c:legend>
      <c:legendPos val="r"/>
      <c:layout>
        <c:manualLayout>
          <c:xMode val="edge"/>
          <c:yMode val="edge"/>
          <c:x val="0.79514708809546952"/>
          <c:y val="0.70948260250244111"/>
          <c:w val="0.18382794743249689"/>
          <c:h val="0.288303804319353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[Children_Anemia_Analysis.xlsx]All!PivotTable9</c:name>
    <c:fmtId val="-1"/>
  </c:pivotSource>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t>Anemia Prevalance: Rural Vs. Urban Area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6724048117312298"/>
          <c:y val="0.20127930817158493"/>
          <c:w val="0.64095752849249488"/>
          <c:h val="0.58104013594045423"/>
        </c:manualLayout>
      </c:layout>
      <c:barChart>
        <c:barDir val="col"/>
        <c:grouping val="clustered"/>
        <c:varyColors val="0"/>
        <c:ser>
          <c:idx val="0"/>
          <c:order val="0"/>
          <c:tx>
            <c:strRef>
              <c:f>All!$B$42:$B$43</c:f>
              <c:strCache>
                <c:ptCount val="1"/>
                <c:pt idx="0">
                  <c:v>Middle</c:v>
                </c:pt>
              </c:strCache>
            </c:strRef>
          </c:tx>
          <c:spPr>
            <a:solidFill>
              <a:schemeClr val="accent1"/>
            </a:solidFill>
            <a:ln>
              <a:noFill/>
            </a:ln>
            <a:effectLst/>
          </c:spPr>
          <c:invertIfNegative val="0"/>
          <c:cat>
            <c:strRef>
              <c:f>All!$A$44:$A$46</c:f>
              <c:strCache>
                <c:ptCount val="2"/>
                <c:pt idx="0">
                  <c:v>Rural</c:v>
                </c:pt>
                <c:pt idx="1">
                  <c:v>Urban</c:v>
                </c:pt>
              </c:strCache>
            </c:strRef>
          </c:cat>
          <c:val>
            <c:numRef>
              <c:f>All!$B$44:$B$46</c:f>
              <c:numCache>
                <c:formatCode>General</c:formatCode>
                <c:ptCount val="2"/>
                <c:pt idx="0">
                  <c:v>1406</c:v>
                </c:pt>
                <c:pt idx="1">
                  <c:v>843</c:v>
                </c:pt>
              </c:numCache>
            </c:numRef>
          </c:val>
          <c:extLst>
            <c:ext xmlns:c16="http://schemas.microsoft.com/office/drawing/2014/chart" uri="{C3380CC4-5D6E-409C-BE32-E72D297353CC}">
              <c16:uniqueId val="{00000000-4287-472F-AF71-78B6D39BE606}"/>
            </c:ext>
          </c:extLst>
        </c:ser>
        <c:ser>
          <c:idx val="1"/>
          <c:order val="1"/>
          <c:tx>
            <c:strRef>
              <c:f>All!$C$42:$C$43</c:f>
              <c:strCache>
                <c:ptCount val="1"/>
                <c:pt idx="0">
                  <c:v>Poorer</c:v>
                </c:pt>
              </c:strCache>
            </c:strRef>
          </c:tx>
          <c:spPr>
            <a:solidFill>
              <a:schemeClr val="accent2"/>
            </a:solidFill>
            <a:ln>
              <a:noFill/>
            </a:ln>
            <a:effectLst/>
          </c:spPr>
          <c:invertIfNegative val="0"/>
          <c:cat>
            <c:strRef>
              <c:f>All!$A$44:$A$46</c:f>
              <c:strCache>
                <c:ptCount val="2"/>
                <c:pt idx="0">
                  <c:v>Rural</c:v>
                </c:pt>
                <c:pt idx="1">
                  <c:v>Urban</c:v>
                </c:pt>
              </c:strCache>
            </c:strRef>
          </c:cat>
          <c:val>
            <c:numRef>
              <c:f>All!$C$44:$C$46</c:f>
              <c:numCache>
                <c:formatCode>General</c:formatCode>
                <c:ptCount val="2"/>
                <c:pt idx="0">
                  <c:v>1705</c:v>
                </c:pt>
                <c:pt idx="1">
                  <c:v>331</c:v>
                </c:pt>
              </c:numCache>
            </c:numRef>
          </c:val>
          <c:extLst>
            <c:ext xmlns:c16="http://schemas.microsoft.com/office/drawing/2014/chart" uri="{C3380CC4-5D6E-409C-BE32-E72D297353CC}">
              <c16:uniqueId val="{00000001-4287-472F-AF71-78B6D39BE606}"/>
            </c:ext>
          </c:extLst>
        </c:ser>
        <c:ser>
          <c:idx val="2"/>
          <c:order val="2"/>
          <c:tx>
            <c:strRef>
              <c:f>All!$D$42:$D$43</c:f>
              <c:strCache>
                <c:ptCount val="1"/>
                <c:pt idx="0">
                  <c:v>Poorest</c:v>
                </c:pt>
              </c:strCache>
            </c:strRef>
          </c:tx>
          <c:spPr>
            <a:solidFill>
              <a:schemeClr val="accent3"/>
            </a:solidFill>
            <a:ln>
              <a:noFill/>
            </a:ln>
            <a:effectLst/>
          </c:spPr>
          <c:invertIfNegative val="0"/>
          <c:cat>
            <c:strRef>
              <c:f>All!$A$44:$A$46</c:f>
              <c:strCache>
                <c:ptCount val="2"/>
                <c:pt idx="0">
                  <c:v>Rural</c:v>
                </c:pt>
                <c:pt idx="1">
                  <c:v>Urban</c:v>
                </c:pt>
              </c:strCache>
            </c:strRef>
          </c:cat>
          <c:val>
            <c:numRef>
              <c:f>All!$D$44:$D$46</c:f>
              <c:numCache>
                <c:formatCode>General</c:formatCode>
                <c:ptCount val="2"/>
                <c:pt idx="0">
                  <c:v>1873</c:v>
                </c:pt>
                <c:pt idx="1">
                  <c:v>169</c:v>
                </c:pt>
              </c:numCache>
            </c:numRef>
          </c:val>
          <c:extLst>
            <c:ext xmlns:c16="http://schemas.microsoft.com/office/drawing/2014/chart" uri="{C3380CC4-5D6E-409C-BE32-E72D297353CC}">
              <c16:uniqueId val="{00000002-4287-472F-AF71-78B6D39BE606}"/>
            </c:ext>
          </c:extLst>
        </c:ser>
        <c:ser>
          <c:idx val="3"/>
          <c:order val="3"/>
          <c:tx>
            <c:strRef>
              <c:f>All!$E$42:$E$43</c:f>
              <c:strCache>
                <c:ptCount val="1"/>
                <c:pt idx="0">
                  <c:v>Richer</c:v>
                </c:pt>
              </c:strCache>
            </c:strRef>
          </c:tx>
          <c:spPr>
            <a:solidFill>
              <a:schemeClr val="accent4"/>
            </a:solidFill>
            <a:ln>
              <a:noFill/>
            </a:ln>
            <a:effectLst/>
          </c:spPr>
          <c:invertIfNegative val="0"/>
          <c:cat>
            <c:strRef>
              <c:f>All!$A$44:$A$46</c:f>
              <c:strCache>
                <c:ptCount val="2"/>
                <c:pt idx="0">
                  <c:v>Rural</c:v>
                </c:pt>
                <c:pt idx="1">
                  <c:v>Urban</c:v>
                </c:pt>
              </c:strCache>
            </c:strRef>
          </c:cat>
          <c:val>
            <c:numRef>
              <c:f>All!$E$44:$E$46</c:f>
              <c:numCache>
                <c:formatCode>General</c:formatCode>
                <c:ptCount val="2"/>
                <c:pt idx="0">
                  <c:v>834</c:v>
                </c:pt>
                <c:pt idx="1">
                  <c:v>1307</c:v>
                </c:pt>
              </c:numCache>
            </c:numRef>
          </c:val>
          <c:extLst>
            <c:ext xmlns:c16="http://schemas.microsoft.com/office/drawing/2014/chart" uri="{C3380CC4-5D6E-409C-BE32-E72D297353CC}">
              <c16:uniqueId val="{00000003-4287-472F-AF71-78B6D39BE606}"/>
            </c:ext>
          </c:extLst>
        </c:ser>
        <c:ser>
          <c:idx val="4"/>
          <c:order val="4"/>
          <c:tx>
            <c:strRef>
              <c:f>All!$F$42:$F$43</c:f>
              <c:strCache>
                <c:ptCount val="1"/>
                <c:pt idx="0">
                  <c:v>Richest</c:v>
                </c:pt>
              </c:strCache>
            </c:strRef>
          </c:tx>
          <c:spPr>
            <a:solidFill>
              <a:schemeClr val="accent5"/>
            </a:solidFill>
            <a:ln>
              <a:noFill/>
            </a:ln>
            <a:effectLst/>
          </c:spPr>
          <c:invertIfNegative val="0"/>
          <c:cat>
            <c:strRef>
              <c:f>All!$A$44:$A$46</c:f>
              <c:strCache>
                <c:ptCount val="2"/>
                <c:pt idx="0">
                  <c:v>Rural</c:v>
                </c:pt>
                <c:pt idx="1">
                  <c:v>Urban</c:v>
                </c:pt>
              </c:strCache>
            </c:strRef>
          </c:cat>
          <c:val>
            <c:numRef>
              <c:f>All!$F$44:$F$46</c:f>
              <c:numCache>
                <c:formatCode>General</c:formatCode>
                <c:ptCount val="2"/>
                <c:pt idx="0">
                  <c:v>401</c:v>
                </c:pt>
                <c:pt idx="1">
                  <c:v>1313</c:v>
                </c:pt>
              </c:numCache>
            </c:numRef>
          </c:val>
          <c:extLst>
            <c:ext xmlns:c16="http://schemas.microsoft.com/office/drawing/2014/chart" uri="{C3380CC4-5D6E-409C-BE32-E72D297353CC}">
              <c16:uniqueId val="{00000004-4287-472F-AF71-78B6D39BE606}"/>
            </c:ext>
          </c:extLst>
        </c:ser>
        <c:dLbls>
          <c:showLegendKey val="0"/>
          <c:showVal val="0"/>
          <c:showCatName val="0"/>
          <c:showSerName val="0"/>
          <c:showPercent val="0"/>
          <c:showBubbleSize val="0"/>
        </c:dLbls>
        <c:gapWidth val="219"/>
        <c:overlap val="-27"/>
        <c:axId val="522801520"/>
        <c:axId val="522802000"/>
      </c:barChart>
      <c:catAx>
        <c:axId val="522801520"/>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Resident type</a:t>
                </a:r>
              </a:p>
            </c:rich>
          </c:tx>
          <c:layout>
            <c:manualLayout>
              <c:xMode val="edge"/>
              <c:yMode val="edge"/>
              <c:x val="0.41396526199043476"/>
              <c:y val="0.88816855339891021"/>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22802000"/>
        <c:crosses val="autoZero"/>
        <c:auto val="1"/>
        <c:lblAlgn val="ctr"/>
        <c:lblOffset val="100"/>
        <c:noMultiLvlLbl val="0"/>
      </c:catAx>
      <c:valAx>
        <c:axId val="522802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t>Prevalence</a:t>
                </a:r>
              </a:p>
            </c:rich>
          </c:tx>
          <c:layout>
            <c:manualLayout>
              <c:xMode val="edge"/>
              <c:yMode val="edge"/>
              <c:x val="2.6375794803852191E-2"/>
              <c:y val="0.3314547383704696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22801520"/>
        <c:crosses val="autoZero"/>
        <c:crossBetween val="between"/>
      </c:valAx>
      <c:spPr>
        <a:noFill/>
        <a:ln>
          <a:noFill/>
        </a:ln>
        <a:effectLst/>
      </c:spPr>
    </c:plotArea>
    <c:legend>
      <c:legendPos val="r"/>
      <c:layout>
        <c:manualLayout>
          <c:xMode val="edge"/>
          <c:yMode val="edge"/>
          <c:x val="0.84200246397771705"/>
          <c:y val="0.60476565429321349"/>
          <c:w val="0.14148759976431519"/>
          <c:h val="0.38910761154855644"/>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TotalTime>
  <Pages>7</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AMARI APPHIA ABU</dc:creator>
  <cp:keywords/>
  <dc:description/>
  <cp:lastModifiedBy>AMARI APPHIA ABU</cp:lastModifiedBy>
  <cp:revision>7</cp:revision>
  <dcterms:created xsi:type="dcterms:W3CDTF">2026-09-23T10:26:00Z</dcterms:created>
  <dcterms:modified xsi:type="dcterms:W3CDTF">2026-09-23T16:12:00Z</dcterms:modified>
</cp:coreProperties>
</file>