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21D7" w14:textId="042CC2E6" w:rsidR="003342A2" w:rsidRDefault="0064370D" w:rsidP="006437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my Visualizations</w:t>
      </w:r>
    </w:p>
    <w:p w14:paraId="0DAE8189" w14:textId="417B43EB" w:rsidR="0064370D" w:rsidRDefault="0064370D" w:rsidP="00643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3791F">
        <w:rPr>
          <w:rFonts w:ascii="Times New Roman" w:hAnsi="Times New Roman" w:cs="Times New Roman"/>
          <w:sz w:val="24"/>
          <w:szCs w:val="24"/>
        </w:rPr>
        <w:t xml:space="preserve">first figure is a color sorted histogram displaying a relationship between the </w:t>
      </w:r>
      <w:r w:rsidR="008701C6">
        <w:rPr>
          <w:rFonts w:ascii="Times New Roman" w:hAnsi="Times New Roman" w:cs="Times New Roman"/>
          <w:sz w:val="24"/>
          <w:szCs w:val="24"/>
        </w:rPr>
        <w:t>student counts of schools and the</w:t>
      </w:r>
      <w:r w:rsidR="00F9057D">
        <w:rPr>
          <w:rFonts w:ascii="Times New Roman" w:hAnsi="Times New Roman" w:cs="Times New Roman"/>
          <w:sz w:val="24"/>
          <w:szCs w:val="24"/>
        </w:rPr>
        <w:t xml:space="preserve"> average dropout rates within those facets. Each vertical bar is </w:t>
      </w:r>
      <w:r w:rsidR="009B5E24">
        <w:rPr>
          <w:rFonts w:ascii="Times New Roman" w:hAnsi="Times New Roman" w:cs="Times New Roman"/>
          <w:sz w:val="24"/>
          <w:szCs w:val="24"/>
        </w:rPr>
        <w:t xml:space="preserve">an increasing measure of </w:t>
      </w:r>
      <w:r w:rsidR="00F2056F">
        <w:rPr>
          <w:rFonts w:ascii="Times New Roman" w:hAnsi="Times New Roman" w:cs="Times New Roman"/>
          <w:sz w:val="24"/>
          <w:szCs w:val="24"/>
        </w:rPr>
        <w:t>20 st</w:t>
      </w:r>
      <w:r w:rsidR="00DA275D">
        <w:rPr>
          <w:rFonts w:ascii="Times New Roman" w:hAnsi="Times New Roman" w:cs="Times New Roman"/>
          <w:sz w:val="24"/>
          <w:szCs w:val="24"/>
        </w:rPr>
        <w:t xml:space="preserve">udents. </w:t>
      </w:r>
      <w:r w:rsidR="00173D5F">
        <w:rPr>
          <w:rFonts w:ascii="Times New Roman" w:hAnsi="Times New Roman" w:cs="Times New Roman"/>
          <w:sz w:val="24"/>
          <w:szCs w:val="24"/>
        </w:rPr>
        <w:t xml:space="preserve">At its lowest points </w:t>
      </w:r>
      <w:r w:rsidR="00F74A33">
        <w:rPr>
          <w:rFonts w:ascii="Times New Roman" w:hAnsi="Times New Roman" w:cs="Times New Roman"/>
          <w:sz w:val="24"/>
          <w:szCs w:val="24"/>
        </w:rPr>
        <w:t>rates as low as 5 percent can be seen from the largest schools</w:t>
      </w:r>
      <w:r w:rsidR="00707143">
        <w:rPr>
          <w:rFonts w:ascii="Times New Roman" w:hAnsi="Times New Roman" w:cs="Times New Roman"/>
          <w:sz w:val="24"/>
          <w:szCs w:val="24"/>
        </w:rPr>
        <w:t xml:space="preserve"> while at its height the </w:t>
      </w:r>
      <w:r w:rsidR="00AA34D6">
        <w:rPr>
          <w:rFonts w:ascii="Times New Roman" w:hAnsi="Times New Roman" w:cs="Times New Roman"/>
          <w:sz w:val="24"/>
          <w:szCs w:val="24"/>
        </w:rPr>
        <w:t xml:space="preserve">schools with student populations between 60-80 and 300-320 </w:t>
      </w:r>
      <w:r w:rsidR="005B4198">
        <w:rPr>
          <w:rFonts w:ascii="Times New Roman" w:hAnsi="Times New Roman" w:cs="Times New Roman"/>
          <w:sz w:val="24"/>
          <w:szCs w:val="24"/>
        </w:rPr>
        <w:t>peak at 48 and 56 percent</w:t>
      </w:r>
      <w:r w:rsidR="007C3D8B">
        <w:rPr>
          <w:rFonts w:ascii="Times New Roman" w:hAnsi="Times New Roman" w:cs="Times New Roman"/>
          <w:sz w:val="24"/>
          <w:szCs w:val="24"/>
        </w:rPr>
        <w:t>.</w:t>
      </w:r>
    </w:p>
    <w:p w14:paraId="60AD561E" w14:textId="79C3801F" w:rsidR="00B6196E" w:rsidRDefault="007C3D8B" w:rsidP="00FD3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figure shows the average overall dropout rate by school type </w:t>
      </w:r>
      <w:r w:rsidR="00AC4F2A">
        <w:rPr>
          <w:rFonts w:ascii="Times New Roman" w:hAnsi="Times New Roman" w:cs="Times New Roman"/>
          <w:sz w:val="24"/>
          <w:szCs w:val="24"/>
        </w:rPr>
        <w:t xml:space="preserve">with each school type having the total of its campuses measured to show that </w:t>
      </w:r>
      <w:r w:rsidR="00D77DCA">
        <w:rPr>
          <w:rFonts w:ascii="Times New Roman" w:hAnsi="Times New Roman" w:cs="Times New Roman"/>
          <w:sz w:val="24"/>
          <w:szCs w:val="24"/>
        </w:rPr>
        <w:t xml:space="preserve">despite the previous figure leaning towards lower student populations having drastically higher dropout rates on average that it’s school’s located in what the state of Texas declares as “Large Cities” </w:t>
      </w:r>
      <w:r w:rsidR="00133639">
        <w:rPr>
          <w:rFonts w:ascii="Times New Roman" w:hAnsi="Times New Roman" w:cs="Times New Roman"/>
          <w:sz w:val="24"/>
          <w:szCs w:val="24"/>
        </w:rPr>
        <w:t xml:space="preserve">that have the highest average dropout rate with an overall average of </w:t>
      </w:r>
      <w:r w:rsidR="00B63A88">
        <w:rPr>
          <w:rFonts w:ascii="Times New Roman" w:hAnsi="Times New Roman" w:cs="Times New Roman"/>
          <w:sz w:val="24"/>
          <w:szCs w:val="24"/>
        </w:rPr>
        <w:t xml:space="preserve">2.59 percent opposed to the lowest rate coming from “Rural Remote” towns </w:t>
      </w:r>
      <w:r w:rsidR="00B6196E">
        <w:rPr>
          <w:rFonts w:ascii="Times New Roman" w:hAnsi="Times New Roman" w:cs="Times New Roman"/>
          <w:sz w:val="24"/>
          <w:szCs w:val="24"/>
        </w:rPr>
        <w:t>at barely 0.39 percent.</w:t>
      </w:r>
    </w:p>
    <w:p w14:paraId="7EC5DAD2" w14:textId="0CFC8CDD" w:rsidR="00FD34C6" w:rsidRPr="00FD34C6" w:rsidRDefault="00A14015" w:rsidP="00FD3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D34C6">
        <w:rPr>
          <w:rFonts w:ascii="Times New Roman" w:hAnsi="Times New Roman" w:cs="Times New Roman"/>
          <w:sz w:val="24"/>
          <w:szCs w:val="24"/>
        </w:rPr>
        <w:t xml:space="preserve">Fringe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D34C6">
        <w:rPr>
          <w:rFonts w:ascii="Times New Roman" w:hAnsi="Times New Roman" w:cs="Times New Roman"/>
          <w:sz w:val="24"/>
          <w:szCs w:val="24"/>
        </w:rPr>
        <w:t>owns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C3D6F">
        <w:rPr>
          <w:rFonts w:ascii="Times New Roman" w:hAnsi="Times New Roman" w:cs="Times New Roman"/>
          <w:sz w:val="24"/>
          <w:szCs w:val="24"/>
        </w:rPr>
        <w:t xml:space="preserve">, shown in the second figure, have the second highest </w:t>
      </w:r>
      <w:r>
        <w:rPr>
          <w:rFonts w:ascii="Times New Roman" w:hAnsi="Times New Roman" w:cs="Times New Roman"/>
          <w:sz w:val="24"/>
          <w:szCs w:val="24"/>
        </w:rPr>
        <w:t xml:space="preserve">school type dropout rate at 1.75 percent overall and in the first figure it’s noticeable that “Fringe Towns” are also the </w:t>
      </w:r>
      <w:r w:rsidR="00930EFC">
        <w:rPr>
          <w:rFonts w:ascii="Times New Roman" w:hAnsi="Times New Roman" w:cs="Times New Roman"/>
          <w:sz w:val="24"/>
          <w:szCs w:val="24"/>
        </w:rPr>
        <w:t xml:space="preserve">largest dropout rate in the </w:t>
      </w:r>
      <w:r w:rsidR="006C6D24">
        <w:rPr>
          <w:rFonts w:ascii="Times New Roman" w:hAnsi="Times New Roman" w:cs="Times New Roman"/>
          <w:sz w:val="24"/>
          <w:szCs w:val="24"/>
        </w:rPr>
        <w:t xml:space="preserve">four highest rates found in the first figure. </w:t>
      </w:r>
      <w:r w:rsidR="009B215C">
        <w:rPr>
          <w:rFonts w:ascii="Times New Roman" w:hAnsi="Times New Roman" w:cs="Times New Roman"/>
          <w:sz w:val="24"/>
          <w:szCs w:val="24"/>
        </w:rPr>
        <w:t xml:space="preserve">Ockham’s </w:t>
      </w:r>
      <w:r w:rsidR="002E6D95">
        <w:rPr>
          <w:rFonts w:ascii="Times New Roman" w:hAnsi="Times New Roman" w:cs="Times New Roman"/>
          <w:sz w:val="24"/>
          <w:szCs w:val="24"/>
        </w:rPr>
        <w:t xml:space="preserve">razor would suggest that Fringe towns are therefore the most likely to produce dropouts, but </w:t>
      </w:r>
      <w:r w:rsidR="009F7FB5">
        <w:rPr>
          <w:rFonts w:ascii="Times New Roman" w:hAnsi="Times New Roman" w:cs="Times New Roman"/>
          <w:sz w:val="24"/>
          <w:szCs w:val="24"/>
        </w:rPr>
        <w:t xml:space="preserve">I wanted slightly more than that. So figure 3 contains a box and whisker plot to eliminate any possible outliers and show that “Large Cities” are still </w:t>
      </w:r>
      <w:r w:rsidR="005B75C4">
        <w:rPr>
          <w:rFonts w:ascii="Times New Roman" w:hAnsi="Times New Roman" w:cs="Times New Roman"/>
          <w:sz w:val="24"/>
          <w:szCs w:val="24"/>
        </w:rPr>
        <w:t>have the highest rate without outliers</w:t>
      </w:r>
      <w:r w:rsidR="002A5823">
        <w:rPr>
          <w:rFonts w:ascii="Times New Roman" w:hAnsi="Times New Roman" w:cs="Times New Roman"/>
          <w:sz w:val="24"/>
          <w:szCs w:val="24"/>
        </w:rPr>
        <w:t>, having an upper fence of 6.1 percent.</w:t>
      </w:r>
    </w:p>
    <w:sectPr w:rsidR="00FD34C6" w:rsidRPr="00FD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C3AB5"/>
    <w:multiLevelType w:val="hybridMultilevel"/>
    <w:tmpl w:val="F56A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8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0D"/>
    <w:rsid w:val="00066CFC"/>
    <w:rsid w:val="00133639"/>
    <w:rsid w:val="00173D5F"/>
    <w:rsid w:val="002A5823"/>
    <w:rsid w:val="002E6D95"/>
    <w:rsid w:val="003342A2"/>
    <w:rsid w:val="004D7B1C"/>
    <w:rsid w:val="00533CDA"/>
    <w:rsid w:val="005B4198"/>
    <w:rsid w:val="005B75C4"/>
    <w:rsid w:val="0064370D"/>
    <w:rsid w:val="006C6D24"/>
    <w:rsid w:val="00707143"/>
    <w:rsid w:val="0073791F"/>
    <w:rsid w:val="007C3D8B"/>
    <w:rsid w:val="008701C6"/>
    <w:rsid w:val="00930EFC"/>
    <w:rsid w:val="009B215C"/>
    <w:rsid w:val="009B5E24"/>
    <w:rsid w:val="009C01EF"/>
    <w:rsid w:val="009C3D6F"/>
    <w:rsid w:val="009F7FB5"/>
    <w:rsid w:val="00A14015"/>
    <w:rsid w:val="00AA34D6"/>
    <w:rsid w:val="00AC4F2A"/>
    <w:rsid w:val="00B6196E"/>
    <w:rsid w:val="00B63A88"/>
    <w:rsid w:val="00C37416"/>
    <w:rsid w:val="00D77DCA"/>
    <w:rsid w:val="00DA275D"/>
    <w:rsid w:val="00E117FF"/>
    <w:rsid w:val="00F2056F"/>
    <w:rsid w:val="00F74A33"/>
    <w:rsid w:val="00F9057D"/>
    <w:rsid w:val="00FD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8698"/>
  <w15:chartTrackingRefBased/>
  <w15:docId w15:val="{C4F923E7-EB07-4CDD-8691-40E09544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Draper</cp:lastModifiedBy>
  <cp:revision>31</cp:revision>
  <dcterms:created xsi:type="dcterms:W3CDTF">2023-12-17T09:05:00Z</dcterms:created>
  <dcterms:modified xsi:type="dcterms:W3CDTF">2023-12-17T10:27:00Z</dcterms:modified>
</cp:coreProperties>
</file>