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Supplemental Information</w:t>
      </w:r>
    </w:p>
    <w:p>
      <w:pPr>
        <w:jc w:val="center"/>
      </w:pPr>
      <w:r>
        <w:rPr>
          <w:i/>
          <w:sz w:val="24"/>
        </w:rPr>
        <w:t>Document S1. Supplementary Note, Figures S1–S6, Tables S1–S7, and supplemental references.</w:t>
      </w:r>
    </w:p>
    <w:p>
      <w:pPr>
        <w:jc w:val="center"/>
      </w:pPr>
      <w:r>
        <w:rPr>
          <w:sz w:val="22"/>
        </w:rPr>
        <w:t>Multimodal causal gene prioritization and nonlinear tissue and cell-type interaction risk modeling reveal the regulatory architecture of childhood-onset asthma.</w:t>
      </w:r>
    </w:p>
    <w:p>
      <w:pPr>
        <w:jc w:val="center"/>
      </w:pPr>
      <w:r>
        <w:rPr>
          <w:sz w:val="20"/>
        </w:rPr>
        <w:t>Nan Huang*, Michelle F. Ragsac*, Xiaoyu Gui, Kelan G. Tantisira, Tiffany Amariuta⛒</w:t>
      </w:r>
    </w:p>
    <w:p/>
    <w:p>
      <w:r>
        <w:rPr>
          <w:b/>
          <w:sz w:val="30"/>
        </w:rPr>
        <w:t>Key (contents of this supplement)</w:t>
      </w:r>
    </w:p>
    <w:p>
      <w:r>
        <w:rPr>
          <w:b/>
          <w:sz w:val="26"/>
        </w:rPr>
        <w:t>Supplementary Note</w:t>
      </w:r>
    </w:p>
    <w:p>
      <w:pPr>
        <w:pStyle w:val="ListBullet"/>
      </w:pPr>
      <w:r>
        <w:rPr>
          <w:b/>
        </w:rPr>
        <w:t xml:space="preserve">Theoretical common-variant AUC ceiling. </w:t>
      </w:r>
      <w:r>
        <w:t>Liability-threshold–framework derivation of the maximum AUC attainable by a predictor that perfectly captures the common-variant genetic liability to asthma. Reports point estimate and a 95% confidence interval propagated from LDSC heritability.</w:t>
      </w:r>
    </w:p>
    <w:p>
      <w:r>
        <w:rPr>
          <w:b/>
          <w:sz w:val="26"/>
        </w:rPr>
        <w:t>Figures</w:t>
      </w:r>
    </w:p>
    <w:p>
      <w:pPr>
        <w:pStyle w:val="ListBullet"/>
      </w:pPr>
      <w:r>
        <w:rPr>
          <w:b/>
        </w:rPr>
        <w:t xml:space="preserve">Figure S1. </w:t>
      </w:r>
      <w:r>
        <w:t>FUSION TWAS Miami plots of gene–tissue associations across 39 bulk GTEx tissues.</w:t>
      </w:r>
    </w:p>
    <w:p>
      <w:pPr>
        <w:pStyle w:val="ListBullet"/>
      </w:pPr>
      <w:r>
        <w:rPr>
          <w:b/>
        </w:rPr>
        <w:t xml:space="preserve">Figure S2. </w:t>
      </w:r>
      <w:r>
        <w:t>FUSION TWAS Miami plots of gene–cell-type associations across 17 pseudobulked OneK1K PBMC cell types.</w:t>
      </w:r>
    </w:p>
    <w:p>
      <w:pPr>
        <w:pStyle w:val="ListBullet"/>
      </w:pPr>
      <w:r>
        <w:rPr>
          <w:b/>
        </w:rPr>
        <w:t xml:space="preserve">Figure S3. </w:t>
      </w:r>
      <w:r>
        <w:t>FUSION TWAS associations tested versus passing nominal filters across GTEx tissues and OneK1K cell types.</w:t>
      </w:r>
    </w:p>
    <w:p>
      <w:pPr>
        <w:pStyle w:val="ListBullet"/>
      </w:pPr>
      <w:r>
        <w:rPr>
          <w:b/>
        </w:rPr>
        <w:t xml:space="preserve">Figure S4. </w:t>
      </w:r>
      <w:r>
        <w:t>GO term enrichment of FDR-significant genes from FUSION TWAS gene–tissue and gene–cell-type associations.</w:t>
      </w:r>
    </w:p>
    <w:p>
      <w:pPr>
        <w:pStyle w:val="ListBullet"/>
      </w:pPr>
      <w:r>
        <w:rPr>
          <w:b/>
        </w:rPr>
        <w:t xml:space="preserve">Figure S5. </w:t>
      </w:r>
      <w:r>
        <w:t>Number of genes in the FOCUS 90% credible set per GTEx tissue and OneK1K cell type.</w:t>
      </w:r>
    </w:p>
    <w:p>
      <w:pPr>
        <w:pStyle w:val="ListBullet"/>
      </w:pPr>
      <w:r>
        <w:rPr>
          <w:b/>
        </w:rPr>
        <w:t xml:space="preserve">Figure S6. </w:t>
      </w:r>
      <w:r>
        <w:t>FOCUS posterior support is more concentrated in OneK1K cell types than in GTEx tissues.</w:t>
      </w:r>
    </w:p>
    <w:p>
      <w:r>
        <w:rPr>
          <w:b/>
          <w:sz w:val="26"/>
        </w:rPr>
        <w:t>Tables</w:t>
      </w:r>
    </w:p>
    <w:p>
      <w:pPr>
        <w:pStyle w:val="ListBullet"/>
      </w:pPr>
      <w:r>
        <w:rPr>
          <w:b/>
        </w:rPr>
        <w:t xml:space="preserve">Table S1. </w:t>
      </w:r>
      <w:r>
        <w:t>European-ancestry meta-analysis index variants — 275 independent GWS loci (P ≤ 5 × 10⁻⁸) from the TAGC + GBMI meta-analysis. Unchanged content.</w:t>
      </w:r>
    </w:p>
    <w:p>
      <w:pPr>
        <w:pStyle w:val="ListBullet"/>
      </w:pPr>
      <w:r>
        <w:rPr>
          <w:b/>
        </w:rPr>
        <w:t xml:space="preserve">Table S2. </w:t>
      </w:r>
      <w:r>
        <w:t>Gene–context pairs retained at each stage of TWAS and FOCUS fine-mapping — 3-row funnel across GTEx bulk tissue and OneK1K cell types. Unchanged content.</w:t>
      </w:r>
    </w:p>
    <w:p>
      <w:pPr>
        <w:pStyle w:val="ListBullet"/>
      </w:pPr>
      <w:r>
        <w:rPr>
          <w:b/>
        </w:rPr>
        <w:t xml:space="preserve">Table S3. </w:t>
      </w:r>
      <w:r>
        <w:t>Per-feature PTRS models retained by the cross-cohort consistency filter — TWAS P+T shortlist across all 4 candidate p-value thresholds × 2 modalities.</w:t>
      </w:r>
    </w:p>
    <w:p>
      <w:pPr>
        <w:pStyle w:val="ListBullet"/>
      </w:pPr>
      <w:r>
        <w:rPr>
          <w:b/>
        </w:rPr>
        <w:t xml:space="preserve">Table S4. </w:t>
      </w:r>
      <w:r>
        <w:t>Performance of tissue-level PTRS from the TWAS P+T pipeline (all p-value thresholds) and the MA-FOCUS pipeline — all classifiers. Two-block table distinguished by a Pipeline column.</w:t>
      </w:r>
    </w:p>
    <w:p>
      <w:pPr>
        <w:pStyle w:val="ListBullet"/>
      </w:pPr>
      <w:r>
        <w:rPr>
          <w:b/>
        </w:rPr>
        <w:t xml:space="preserve">Table S5. </w:t>
      </w:r>
      <w:r>
        <w:t>Performance of cell-type-level PTRS from the TWAS P+T pipeline (all p-value thresholds) and the MA-FOCUS pipeline — all classifiers. Same two-block layout as Table S4.</w:t>
      </w:r>
    </w:p>
    <w:p>
      <w:pPr>
        <w:pStyle w:val="ListBullet"/>
      </w:pPr>
      <w:r>
        <w:rPr>
          <w:b/>
        </w:rPr>
        <w:t xml:space="preserve">Table S6. </w:t>
      </w:r>
      <w:r>
        <w:t>Feature-count ablation for the cross-modal PTRS + PRS integration — 2 anchor baselines + 18 three-feature ablations × 2 PRS variants. All 18/18 negative, mean ΔAUC = −0.031.</w:t>
      </w:r>
    </w:p>
    <w:p>
      <w:pPr>
        <w:pStyle w:val="ListBullet"/>
      </w:pPr>
      <w:r>
        <w:rPr>
          <w:b/>
        </w:rPr>
        <w:t xml:space="preserve">Table S7. </w:t>
      </w:r>
      <w:r>
        <w:t>Best-performing models across scoring categories — one row per (PRS baseline, TWAS P+T single-feature, MA-FOCUS single-feature, unified PTRS per modality, cross-modal integrated per PRS). Ranked by CAMP-Balanced AUC.</w:t>
      </w:r>
    </w:p>
    <w:p>
      <w:r>
        <w:rPr>
          <w:b/>
          <w:sz w:val="26"/>
        </w:rPr>
        <w:t>Supplemental references</w:t>
      </w:r>
    </w:p>
    <w:p>
      <w:pPr>
        <w:pStyle w:val="ListBullet"/>
      </w:pPr>
      <w:r>
        <w:rPr>
          <w:b/>
        </w:rPr>
        <w:t xml:space="preserve">References list. </w:t>
      </w:r>
      <w:r>
        <w:t>Bibliographic references cited in the supplementary note and captions. To be finalized alongside the main manuscript reference list.</w:t>
      </w:r>
    </w:p>
    <w:p>
      <w:r>
        <w:br w:type="page"/>
      </w:r>
    </w:p>
    <w:p>
      <w:r>
        <w:rPr>
          <w:b/>
          <w:sz w:val="30"/>
        </w:rPr>
        <w:t>Supplementary Note — Theoretical common-variant AUC ceiling</w:t>
      </w:r>
    </w:p>
    <w:p>
      <w:r>
        <w:t>We estimated the theoretical maximum (AUC) attainable by a predictor that perfectly captures the common-variant genetic liability to asthma using the liability-threshold framework of Wray et al. (2010). Let  denote disease prevalence,  the liability threshold, and  the standard normal density at . The standardized selection intensities for cases and controls are:</w:t>
      </w:r>
    </w:p>
    <w:p/>
    <w:p/>
    <w:p>
      <w:r>
        <w:t>Assuming a standardized liability with common-variant SNP heritability , the conditional means of genetic liability among cases and controls are:</w:t>
      </w:r>
    </w:p>
    <w:p/>
    <w:p/>
    <w:p>
      <w:r>
        <w:t>and their corresponding variances are:</w:t>
      </w:r>
    </w:p>
    <w:p/>
    <w:p/>
    <w:p>
      <w:r>
        <w:t>The maximum AUC is therefore:</w:t>
      </w:r>
    </w:p>
    <w:p/>
    <w:p>
      <w:r>
        <w:t>Using the population prevalence applied in our LDSC analysis () gives , , , and . With , the resulting conditional parameters are , , , and . Consequently:</w:t>
      </w:r>
    </w:p>
    <w:p/>
    <w:p>
      <w:r>
        <w:t>Propagating the 95% confidence interval of the LDSC heritability estimate alone () produced an approximate AUC-ceiling interval of 0.633–0.651. This interval does not incorporate uncertainty in population prevalence or deviations from the liability-threshold assumptions. The estimate should therefore be interpreted as an approximate model-based benchmark rather than a fixed empirical upper bound, particularly because the heritability estimate was derived from an all-age European-ancestry asthma meta-analysis whereas model performance was evaluated in pediatric cohorts.</w:t>
      </w:r>
    </w:p>
    <w:p>
      <w:r>
        <w:br w:type="page"/>
      </w:r>
    </w:p>
    <w:p>
      <w:r>
        <w:rPr>
          <w:b/>
          <w:sz w:val="30"/>
        </w:rPr>
        <w:t>Figures S1–S6</w:t>
      </w:r>
    </w:p>
    <w:p>
      <w:r>
        <w:t>The figure PDFs / PNGs for Figures S1–S6 are provided as separate image files alongside this document. See the Key above for the one-line description of each figure. Full legends appear on the corresponding figure pages.</w:t>
      </w:r>
    </w:p>
    <w:p>
      <w:r>
        <w:br w:type="page"/>
      </w:r>
    </w:p>
    <w:p>
      <w:r>
        <w:rPr>
          <w:b/>
          <w:sz w:val="30"/>
        </w:rPr>
        <w:t>Tables S1–S7</w:t>
      </w:r>
    </w:p>
    <w:p>
      <w:r>
        <w:t>Supplementary Tables S1–S7 are provided as an Excel workbook (Supplementary_Tables_PTRS_fresh.xlsx) plus one standalone workbook for the cross-modal feature-count ablation (Supplementary_Table_Feature_Ablation_fresh.xlsx). Each sheet is prefixed with a bold title row and a wrapped caption row above the data header. See the Key above for one-line summaries.</w:t>
      </w:r>
    </w:p>
    <w:p>
      <w:r>
        <w:br w:type="page"/>
      </w:r>
    </w:p>
    <w:p>
      <w:r>
        <w:rPr>
          <w:b/>
          <w:sz w:val="30"/>
        </w:rPr>
        <w:t>Supplemental references</w:t>
      </w:r>
    </w:p>
    <w:p>
      <w:r>
        <w:t>[To be finalized. Copy the supplemental references block from the main manuscript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