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B2545"/>
          <w:sz w:val="48"/>
        </w:rPr>
        <w:t>FinTech Business Understanding</w:t>
      </w:r>
    </w:p>
    <w:p>
      <w:pPr>
        <w:spacing w:after="440"/>
        <w:jc w:val="center"/>
      </w:pPr>
      <w:r>
        <w:rPr>
          <w:rFonts w:ascii="Calibri" w:hAnsi="Calibri"/>
          <w:color w:val="666666"/>
          <w:sz w:val="28"/>
        </w:rPr>
        <w:t>Case Study: Groww - Digital Investing Platform</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E8EEF5"/>
            <w:vAlign w:val="center"/>
            <w:tcMar>
              <w:top w:w="100" w:type="dxa"/>
              <w:start w:w="100" w:type="dxa"/>
              <w:bottom w:w="100" w:type="dxa"/>
              <w:end w:w="100" w:type="dxa"/>
            </w:tcMar>
          </w:tcPr>
          <w:p>
            <w:pPr>
              <w:spacing w:after="0"/>
            </w:pPr>
            <w:r/>
            <w:r>
              <w:rPr>
                <w:rFonts w:ascii="Calibri" w:hAnsi="Calibri"/>
                <w:b/>
                <w:sz w:val="21"/>
              </w:rPr>
              <w:t>Topic</w:t>
            </w:r>
          </w:p>
        </w:tc>
        <w:tc>
          <w:tcPr>
            <w:tcW w:type="dxa" w:w="7056"/>
            <w:shd w:fill="E8EEF5"/>
            <w:vAlign w:val="center"/>
            <w:tcMar>
              <w:top w:w="100" w:type="dxa"/>
              <w:start w:w="100" w:type="dxa"/>
              <w:bottom w:w="100" w:type="dxa"/>
              <w:end w:w="100" w:type="dxa"/>
            </w:tcMar>
          </w:tcPr>
          <w:p>
            <w:pPr>
              <w:spacing w:after="0"/>
            </w:pPr>
            <w:r/>
            <w:r>
              <w:rPr>
                <w:rFonts w:ascii="Calibri" w:hAnsi="Calibri"/>
                <w:b/>
                <w:sz w:val="21"/>
              </w:rPr>
              <w:t>Summary</w:t>
            </w:r>
          </w:p>
        </w:tc>
      </w:tr>
      <w:tr>
        <w:tc>
          <w:tcPr>
            <w:tcW w:type="dxa" w:w="2232"/>
            <w:vAlign w:val="center"/>
            <w:tcMar>
              <w:top w:w="100" w:type="dxa"/>
              <w:start w:w="100" w:type="dxa"/>
              <w:bottom w:w="100" w:type="dxa"/>
              <w:end w:w="100" w:type="dxa"/>
            </w:tcMar>
          </w:tcPr>
          <w:p>
            <w:pPr>
              <w:spacing w:after="0"/>
            </w:pPr>
            <w:r/>
            <w:r>
              <w:rPr>
                <w:rFonts w:ascii="Calibri" w:hAnsi="Calibri"/>
                <w:b w:val="0"/>
                <w:sz w:val="21"/>
              </w:rPr>
              <w:t>Business problem</w:t>
            </w:r>
          </w:p>
        </w:tc>
        <w:tc>
          <w:tcPr>
            <w:tcW w:type="dxa" w:w="7056"/>
            <w:vAlign w:val="center"/>
            <w:tcMar>
              <w:top w:w="100" w:type="dxa"/>
              <w:start w:w="100" w:type="dxa"/>
              <w:bottom w:w="100" w:type="dxa"/>
              <w:end w:w="100" w:type="dxa"/>
            </w:tcMar>
          </w:tcPr>
          <w:p>
            <w:pPr>
              <w:spacing w:after="0"/>
            </w:pPr>
            <w:r/>
            <w:r>
              <w:rPr>
                <w:rFonts w:ascii="Calibri" w:hAnsi="Calibri"/>
                <w:b w:val="0"/>
                <w:sz w:val="21"/>
              </w:rPr>
              <w:t>Investing can feel complex, slow and difficult for first-time investors.</w:t>
            </w:r>
          </w:p>
        </w:tc>
      </w:tr>
      <w:tr>
        <w:tc>
          <w:tcPr>
            <w:tcW w:type="dxa" w:w="2232"/>
            <w:vAlign w:val="center"/>
            <w:tcMar>
              <w:top w:w="100" w:type="dxa"/>
              <w:start w:w="100" w:type="dxa"/>
              <w:bottom w:w="100" w:type="dxa"/>
              <w:end w:w="100" w:type="dxa"/>
            </w:tcMar>
          </w:tcPr>
          <w:p>
            <w:pPr>
              <w:spacing w:after="0"/>
            </w:pPr>
            <w:r/>
            <w:r>
              <w:rPr>
                <w:rFonts w:ascii="Calibri" w:hAnsi="Calibri"/>
                <w:b w:val="0"/>
                <w:sz w:val="21"/>
              </w:rPr>
              <w:t>FinTech solution</w:t>
            </w:r>
          </w:p>
        </w:tc>
        <w:tc>
          <w:tcPr>
            <w:tcW w:type="dxa" w:w="7056"/>
            <w:vAlign w:val="center"/>
            <w:tcMar>
              <w:top w:w="100" w:type="dxa"/>
              <w:start w:w="100" w:type="dxa"/>
              <w:bottom w:w="100" w:type="dxa"/>
              <w:end w:w="100" w:type="dxa"/>
            </w:tcMar>
          </w:tcPr>
          <w:p>
            <w:pPr>
              <w:spacing w:after="0"/>
            </w:pPr>
            <w:r/>
            <w:r>
              <w:rPr>
                <w:rFonts w:ascii="Calibri" w:hAnsi="Calibri"/>
                <w:b w:val="0"/>
                <w:sz w:val="21"/>
              </w:rPr>
              <w:t>A digital platform that lets users research, invest and track products in one place.</w:t>
            </w:r>
          </w:p>
        </w:tc>
      </w:tr>
      <w:tr>
        <w:tc>
          <w:tcPr>
            <w:tcW w:type="dxa" w:w="2232"/>
            <w:vAlign w:val="center"/>
            <w:tcMar>
              <w:top w:w="100" w:type="dxa"/>
              <w:start w:w="100" w:type="dxa"/>
              <w:bottom w:w="100" w:type="dxa"/>
              <w:end w:w="100" w:type="dxa"/>
            </w:tcMar>
          </w:tcPr>
          <w:p>
            <w:pPr>
              <w:spacing w:after="0"/>
            </w:pPr>
            <w:r/>
            <w:r>
              <w:rPr>
                <w:rFonts w:ascii="Calibri" w:hAnsi="Calibri"/>
                <w:b w:val="0"/>
                <w:sz w:val="21"/>
              </w:rPr>
              <w:t>Target users</w:t>
            </w:r>
          </w:p>
        </w:tc>
        <w:tc>
          <w:tcPr>
            <w:tcW w:type="dxa" w:w="7056"/>
            <w:vAlign w:val="center"/>
            <w:tcMar>
              <w:top w:w="100" w:type="dxa"/>
              <w:start w:w="100" w:type="dxa"/>
              <w:bottom w:w="100" w:type="dxa"/>
              <w:end w:w="100" w:type="dxa"/>
            </w:tcMar>
          </w:tcPr>
          <w:p>
            <w:pPr>
              <w:spacing w:after="0"/>
            </w:pPr>
            <w:r/>
            <w:r>
              <w:rPr>
                <w:rFonts w:ascii="Calibri" w:hAnsi="Calibri"/>
                <w:b w:val="0"/>
                <w:sz w:val="21"/>
              </w:rPr>
              <w:t>Retail investors, first-time investors, SIP users and active market participants.</w:t>
            </w:r>
          </w:p>
        </w:tc>
      </w:tr>
      <w:tr>
        <w:tc>
          <w:tcPr>
            <w:tcW w:type="dxa" w:w="2232"/>
            <w:vAlign w:val="center"/>
            <w:tcMar>
              <w:top w:w="100" w:type="dxa"/>
              <w:start w:w="100" w:type="dxa"/>
              <w:bottom w:w="100" w:type="dxa"/>
              <w:end w:w="100" w:type="dxa"/>
            </w:tcMar>
          </w:tcPr>
          <w:p>
            <w:pPr>
              <w:spacing w:after="0"/>
            </w:pPr>
            <w:r/>
            <w:r>
              <w:rPr>
                <w:rFonts w:ascii="Calibri" w:hAnsi="Calibri"/>
                <w:b w:val="0"/>
                <w:sz w:val="21"/>
              </w:rPr>
              <w:t>Connection to project</w:t>
            </w:r>
          </w:p>
        </w:tc>
        <w:tc>
          <w:tcPr>
            <w:tcW w:type="dxa" w:w="7056"/>
            <w:vAlign w:val="center"/>
            <w:tcMar>
              <w:top w:w="100" w:type="dxa"/>
              <w:start w:w="100" w:type="dxa"/>
              <w:bottom w:w="100" w:type="dxa"/>
              <w:end w:w="100" w:type="dxa"/>
            </w:tcMar>
          </w:tcPr>
          <w:p>
            <w:pPr>
              <w:spacing w:after="0"/>
            </w:pPr>
            <w:r/>
            <w:r>
              <w:rPr>
                <w:rFonts w:ascii="Calibri" w:hAnsi="Calibri"/>
                <w:b w:val="0"/>
                <w:sz w:val="21"/>
              </w:rPr>
              <w:t>A mutual-fund analytics dashboard can help users compare funds using risk, return and KPIs.</w:t>
            </w:r>
          </w:p>
        </w:tc>
      </w:tr>
    </w:tbl>
    <w:p>
      <w:pPr>
        <w:spacing w:after="40"/>
      </w:pPr>
    </w:p>
    <w:p>
      <w:pPr>
        <w:pStyle w:val="Heading1"/>
        <w:keepNext/>
      </w:pPr>
      <w:r>
        <w:rPr>
          <w:rFonts w:ascii="Calibri" w:hAnsi="Calibri"/>
          <w:color w:val="2E74B5"/>
        </w:rPr>
        <w:t>1. What is FinTech?</w:t>
      </w:r>
    </w:p>
    <w:p>
      <w:pPr>
        <w:spacing w:after="140" w:line="276" w:lineRule="auto"/>
      </w:pPr>
      <w:r>
        <w:rPr>
          <w:rFonts w:ascii="Calibri" w:hAnsi="Calibri"/>
          <w:sz w:val="22"/>
        </w:rPr>
        <w:t>FinTech means Financial Technology. It uses digital tools such as mobile apps, websites, data systems and secure online payments to make financial services easier to access and use.</w:t>
      </w:r>
    </w:p>
    <w:p>
      <w:pPr>
        <w:spacing w:after="140" w:line="276" w:lineRule="auto"/>
      </w:pPr>
      <w:r>
        <w:rPr>
          <w:rFonts w:ascii="Calibri" w:hAnsi="Calibri"/>
          <w:sz w:val="22"/>
        </w:rPr>
        <w:t>Examples include digital payments, online banking, insurance apps, lending platforms, stock-broking apps and mutual-fund investment platforms.</w:t>
      </w:r>
    </w:p>
    <w:p>
      <w:pPr>
        <w:pStyle w:val="Heading1"/>
        <w:keepNext/>
      </w:pPr>
      <w:r>
        <w:rPr>
          <w:rFonts w:ascii="Calibri" w:hAnsi="Calibri"/>
          <w:color w:val="2E74B5"/>
        </w:rPr>
        <w:t>2. Company Overview: Groww</w:t>
      </w:r>
    </w:p>
    <w:p>
      <w:pPr>
        <w:spacing w:after="140" w:line="276" w:lineRule="auto"/>
      </w:pPr>
      <w:r>
        <w:rPr>
          <w:rFonts w:ascii="Calibri" w:hAnsi="Calibri"/>
          <w:b/>
          <w:sz w:val="22"/>
        </w:rPr>
        <w:t>Groww is</w:t>
      </w:r>
      <w:r>
        <w:rPr>
          <w:rFonts w:ascii="Calibri" w:hAnsi="Calibri"/>
          <w:sz w:val="22"/>
        </w:rPr>
        <w:t xml:space="preserve"> a direct-to-customer digital investment platform. It began with mutual funds and now provides access to products such as mutual funds, stocks, ETFs, IPOs, derivatives, bonds, margin trading and selected credit products. Users can access the platform through an app or website.</w:t>
      </w:r>
    </w:p>
    <w:p>
      <w:pPr>
        <w:spacing w:after="140" w:line="276" w:lineRule="auto"/>
      </w:pPr>
      <w:r>
        <w:rPr>
          <w:rFonts w:ascii="Calibri" w:hAnsi="Calibri"/>
          <w:sz w:val="22"/>
        </w:rPr>
        <w:t>The platform focuses on making investing simpler, faster and more transparent. Groww provides tools and information to support self-directed decisions; it states that it does not provide investment advisory services for stocks or mutual funds.</w:t>
      </w:r>
    </w:p>
    <w:p>
      <w:pPr>
        <w:pStyle w:val="Heading1"/>
        <w:keepNext/>
      </w:pPr>
      <w:r>
        <w:rPr>
          <w:rFonts w:ascii="Calibri" w:hAnsi="Calibri"/>
          <w:color w:val="2E74B5"/>
        </w:rPr>
        <w:t>3. Business Problem and Solution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536"/>
            <w:shd w:fill="E8EEF5"/>
            <w:vAlign w:val="center"/>
            <w:tcMar>
              <w:top w:w="100" w:type="dxa"/>
              <w:start w:w="100" w:type="dxa"/>
              <w:bottom w:w="100" w:type="dxa"/>
              <w:end w:w="100" w:type="dxa"/>
            </w:tcMar>
          </w:tcPr>
          <w:p>
            <w:pPr>
              <w:spacing w:after="0"/>
            </w:pPr>
            <w:r/>
            <w:r>
              <w:rPr>
                <w:rFonts w:ascii="Calibri" w:hAnsi="Calibri"/>
                <w:b/>
                <w:sz w:val="21"/>
              </w:rPr>
              <w:t>Problem for users</w:t>
            </w:r>
          </w:p>
        </w:tc>
        <w:tc>
          <w:tcPr>
            <w:tcW w:type="dxa" w:w="4752"/>
            <w:shd w:fill="E8EEF5"/>
            <w:vAlign w:val="center"/>
            <w:tcMar>
              <w:top w:w="100" w:type="dxa"/>
              <w:start w:w="100" w:type="dxa"/>
              <w:bottom w:w="100" w:type="dxa"/>
              <w:end w:w="100" w:type="dxa"/>
            </w:tcMar>
          </w:tcPr>
          <w:p>
            <w:pPr>
              <w:spacing w:after="0"/>
            </w:pPr>
            <w:r/>
            <w:r>
              <w:rPr>
                <w:rFonts w:ascii="Calibri" w:hAnsi="Calibri"/>
                <w:b/>
                <w:sz w:val="21"/>
              </w:rPr>
              <w:t>How a FinTech platform helps</w:t>
            </w:r>
          </w:p>
        </w:tc>
      </w:tr>
      <w:tr>
        <w:tc>
          <w:tcPr>
            <w:tcW w:type="dxa" w:w="4536"/>
            <w:vAlign w:val="center"/>
            <w:tcMar>
              <w:top w:w="100" w:type="dxa"/>
              <w:start w:w="100" w:type="dxa"/>
              <w:bottom w:w="100" w:type="dxa"/>
              <w:end w:w="100" w:type="dxa"/>
            </w:tcMar>
          </w:tcPr>
          <w:p>
            <w:pPr>
              <w:spacing w:after="0"/>
            </w:pPr>
            <w:r/>
            <w:r>
              <w:rPr>
                <w:rFonts w:ascii="Calibri" w:hAnsi="Calibri"/>
                <w:b w:val="0"/>
                <w:sz w:val="21"/>
              </w:rPr>
              <w:t>Complex investing process</w:t>
            </w:r>
          </w:p>
        </w:tc>
        <w:tc>
          <w:tcPr>
            <w:tcW w:type="dxa" w:w="4752"/>
            <w:vAlign w:val="center"/>
            <w:tcMar>
              <w:top w:w="100" w:type="dxa"/>
              <w:start w:w="100" w:type="dxa"/>
              <w:bottom w:w="100" w:type="dxa"/>
              <w:end w:w="100" w:type="dxa"/>
            </w:tcMar>
          </w:tcPr>
          <w:p>
            <w:pPr>
              <w:spacing w:after="0"/>
            </w:pPr>
            <w:r/>
            <w:r>
              <w:rPr>
                <w:rFonts w:ascii="Calibri" w:hAnsi="Calibri"/>
                <w:b w:val="0"/>
                <w:sz w:val="21"/>
              </w:rPr>
              <w:t>A single app can combine account opening, fund discovery, investing and portfolio tracking.</w:t>
            </w:r>
          </w:p>
        </w:tc>
      </w:tr>
      <w:tr>
        <w:tc>
          <w:tcPr>
            <w:tcW w:type="dxa" w:w="4536"/>
            <w:vAlign w:val="center"/>
            <w:tcMar>
              <w:top w:w="100" w:type="dxa"/>
              <w:start w:w="100" w:type="dxa"/>
              <w:bottom w:w="100" w:type="dxa"/>
              <w:end w:w="100" w:type="dxa"/>
            </w:tcMar>
          </w:tcPr>
          <w:p>
            <w:pPr>
              <w:spacing w:after="0"/>
            </w:pPr>
            <w:r/>
            <w:r>
              <w:rPr>
                <w:rFonts w:ascii="Calibri" w:hAnsi="Calibri"/>
                <w:b w:val="0"/>
                <w:sz w:val="21"/>
              </w:rPr>
              <w:t>Limited financial knowledge</w:t>
            </w:r>
          </w:p>
        </w:tc>
        <w:tc>
          <w:tcPr>
            <w:tcW w:type="dxa" w:w="4752"/>
            <w:vAlign w:val="center"/>
            <w:tcMar>
              <w:top w:w="100" w:type="dxa"/>
              <w:start w:w="100" w:type="dxa"/>
              <w:bottom w:w="100" w:type="dxa"/>
              <w:end w:w="100" w:type="dxa"/>
            </w:tcMar>
          </w:tcPr>
          <w:p>
            <w:pPr>
              <w:spacing w:after="0"/>
            </w:pPr>
            <w:r/>
            <w:r>
              <w:rPr>
                <w:rFonts w:ascii="Calibri" w:hAnsi="Calibri"/>
                <w:b w:val="0"/>
                <w:sz w:val="21"/>
              </w:rPr>
              <w:t>Educational content, calculators, charts and product information can improve understanding.</w:t>
            </w:r>
          </w:p>
        </w:tc>
      </w:tr>
      <w:tr>
        <w:tc>
          <w:tcPr>
            <w:tcW w:type="dxa" w:w="4536"/>
            <w:vAlign w:val="center"/>
            <w:tcMar>
              <w:top w:w="100" w:type="dxa"/>
              <w:start w:w="100" w:type="dxa"/>
              <w:bottom w:w="100" w:type="dxa"/>
              <w:end w:w="100" w:type="dxa"/>
            </w:tcMar>
          </w:tcPr>
          <w:p>
            <w:pPr>
              <w:spacing w:after="0"/>
            </w:pPr>
            <w:r/>
            <w:r>
              <w:rPr>
                <w:rFonts w:ascii="Calibri" w:hAnsi="Calibri"/>
                <w:b w:val="0"/>
                <w:sz w:val="21"/>
              </w:rPr>
              <w:t>Paper-based or slow onboarding</w:t>
            </w:r>
          </w:p>
        </w:tc>
        <w:tc>
          <w:tcPr>
            <w:tcW w:type="dxa" w:w="4752"/>
            <w:vAlign w:val="center"/>
            <w:tcMar>
              <w:top w:w="100" w:type="dxa"/>
              <w:start w:w="100" w:type="dxa"/>
              <w:bottom w:w="100" w:type="dxa"/>
              <w:end w:w="100" w:type="dxa"/>
            </w:tcMar>
          </w:tcPr>
          <w:p>
            <w:pPr>
              <w:spacing w:after="0"/>
            </w:pPr>
            <w:r/>
            <w:r>
              <w:rPr>
                <w:rFonts w:ascii="Calibri" w:hAnsi="Calibri"/>
                <w:b w:val="0"/>
                <w:sz w:val="21"/>
              </w:rPr>
              <w:t>Digital KYC and online account opening reduce manual steps.</w:t>
            </w:r>
          </w:p>
        </w:tc>
      </w:tr>
      <w:tr>
        <w:tc>
          <w:tcPr>
            <w:tcW w:type="dxa" w:w="4536"/>
            <w:vAlign w:val="center"/>
            <w:tcMar>
              <w:top w:w="100" w:type="dxa"/>
              <w:start w:w="100" w:type="dxa"/>
              <w:bottom w:w="100" w:type="dxa"/>
              <w:end w:w="100" w:type="dxa"/>
            </w:tcMar>
          </w:tcPr>
          <w:p>
            <w:pPr>
              <w:spacing w:after="0"/>
            </w:pPr>
            <w:r/>
            <w:r>
              <w:rPr>
                <w:rFonts w:ascii="Calibri" w:hAnsi="Calibri"/>
                <w:b w:val="0"/>
                <w:sz w:val="21"/>
              </w:rPr>
              <w:t>Difficulty comparing investment choices</w:t>
            </w:r>
          </w:p>
        </w:tc>
        <w:tc>
          <w:tcPr>
            <w:tcW w:type="dxa" w:w="4752"/>
            <w:vAlign w:val="center"/>
            <w:tcMar>
              <w:top w:w="100" w:type="dxa"/>
              <w:start w:w="100" w:type="dxa"/>
              <w:bottom w:w="100" w:type="dxa"/>
              <w:end w:w="100" w:type="dxa"/>
            </w:tcMar>
          </w:tcPr>
          <w:p>
            <w:pPr>
              <w:spacing w:after="0"/>
            </w:pPr>
            <w:r/>
            <w:r>
              <w:rPr>
                <w:rFonts w:ascii="Calibri" w:hAnsi="Calibri"/>
                <w:b w:val="0"/>
                <w:sz w:val="21"/>
              </w:rPr>
              <w:t>Screeners and analytics can help users compare risk, return, cost and category information.</w:t>
            </w:r>
          </w:p>
        </w:tc>
      </w:tr>
    </w:tbl>
    <w:p>
      <w:pPr>
        <w:spacing w:after="40"/>
      </w:pPr>
    </w:p>
    <w:p>
      <w:pPr>
        <w:pStyle w:val="Heading1"/>
        <w:keepNext/>
      </w:pPr>
      <w:r>
        <w:rPr>
          <w:rFonts w:ascii="Calibri" w:hAnsi="Calibri"/>
          <w:color w:val="2E74B5"/>
        </w:rPr>
        <w:t>4. Customers and Value Provided</w:t>
      </w:r>
    </w:p>
    <w:p>
      <w:pPr>
        <w:spacing w:after="140" w:line="276" w:lineRule="auto"/>
      </w:pPr>
      <w:r>
        <w:rPr>
          <w:rFonts w:ascii="Calibri" w:hAnsi="Calibri"/>
          <w:sz w:val="22"/>
        </w:rPr>
        <w:t>Groww mainly serves retail investors. This includes people starting a monthly SIP, investors building long-term mutual-fund portfolios, people buying shares or ETFs, and more active traders.</w:t>
      </w:r>
    </w:p>
    <w:p>
      <w:pPr>
        <w:pStyle w:val="ListBullet"/>
        <w:spacing w:after="60" w:line="264" w:lineRule="auto"/>
      </w:pPr>
      <w:r>
        <w:rPr>
          <w:rFonts w:ascii="Calibri" w:hAnsi="Calibri"/>
          <w:sz w:val="22"/>
        </w:rPr>
        <w:t>Simple digital access: users can begin investing without visiting a physical branch.</w:t>
      </w:r>
    </w:p>
    <w:p>
      <w:pPr>
        <w:pStyle w:val="ListBullet"/>
        <w:spacing w:after="60" w:line="264" w:lineRule="auto"/>
      </w:pPr>
      <w:r>
        <w:rPr>
          <w:rFonts w:ascii="Calibri" w:hAnsi="Calibri"/>
          <w:sz w:val="22"/>
        </w:rPr>
        <w:t>Choice: users can access multiple investment products on one platform.</w:t>
      </w:r>
    </w:p>
    <w:p>
      <w:pPr>
        <w:pStyle w:val="ListBullet"/>
        <w:spacing w:after="60" w:line="264" w:lineRule="auto"/>
      </w:pPr>
      <w:r>
        <w:rPr>
          <w:rFonts w:ascii="Calibri" w:hAnsi="Calibri"/>
          <w:sz w:val="22"/>
        </w:rPr>
        <w:t>Information: charts, screeners and calculators support self-directed research.</w:t>
      </w:r>
    </w:p>
    <w:p>
      <w:pPr>
        <w:pStyle w:val="ListBullet"/>
        <w:spacing w:after="60" w:line="264" w:lineRule="auto"/>
      </w:pPr>
      <w:r>
        <w:rPr>
          <w:rFonts w:ascii="Calibri" w:hAnsi="Calibri"/>
          <w:sz w:val="22"/>
        </w:rPr>
        <w:t>Convenience: users can review holdings, transactions and returns in one place.</w:t>
      </w:r>
    </w:p>
    <w:p>
      <w:pPr>
        <w:pStyle w:val="Heading1"/>
        <w:keepNext/>
      </w:pPr>
      <w:r>
        <w:rPr>
          <w:rFonts w:ascii="Calibri" w:hAnsi="Calibri"/>
          <w:color w:val="2E74B5"/>
        </w:rPr>
        <w:t>5. How the Business Makes Money</w:t>
      </w:r>
    </w:p>
    <w:p>
      <w:pPr>
        <w:spacing w:after="140" w:line="276" w:lineRule="auto"/>
      </w:pPr>
      <w:r>
        <w:rPr>
          <w:rFonts w:ascii="Calibri" w:hAnsi="Calibri"/>
          <w:sz w:val="22"/>
        </w:rPr>
        <w:t>A fintech platform can earn through transaction-linked fees and financial-product services. For example, Groww lists brokerage charges for equity and derivatives trading, while mutual-fund investing on the platform is stated as free of charge to the user. Other regulatory or statutory charges may also apply to trading transactions.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168"/>
            <w:shd w:fill="E8EEF5"/>
            <w:vAlign w:val="center"/>
            <w:tcMar>
              <w:top w:w="100" w:type="dxa"/>
              <w:start w:w="100" w:type="dxa"/>
              <w:bottom w:w="100" w:type="dxa"/>
              <w:end w:w="100" w:type="dxa"/>
            </w:tcMar>
          </w:tcPr>
          <w:p>
            <w:pPr>
              <w:spacing w:after="0"/>
            </w:pPr>
            <w:r/>
            <w:r>
              <w:rPr>
                <w:rFonts w:ascii="Calibri" w:hAnsi="Calibri"/>
                <w:b/>
                <w:sz w:val="21"/>
              </w:rPr>
              <w:t>Revenue area</w:t>
            </w:r>
          </w:p>
        </w:tc>
        <w:tc>
          <w:tcPr>
            <w:tcW w:type="dxa" w:w="6120"/>
            <w:shd w:fill="E8EEF5"/>
            <w:vAlign w:val="center"/>
            <w:tcMar>
              <w:top w:w="100" w:type="dxa"/>
              <w:start w:w="100" w:type="dxa"/>
              <w:bottom w:w="100" w:type="dxa"/>
              <w:end w:w="100" w:type="dxa"/>
            </w:tcMar>
          </w:tcPr>
          <w:p>
            <w:pPr>
              <w:spacing w:after="0"/>
            </w:pPr>
            <w:r/>
            <w:r>
              <w:rPr>
                <w:rFonts w:ascii="Calibri" w:hAnsi="Calibri"/>
                <w:b/>
                <w:sz w:val="21"/>
              </w:rPr>
              <w:t>Simple explanation</w:t>
            </w:r>
          </w:p>
        </w:tc>
      </w:tr>
      <w:tr>
        <w:tc>
          <w:tcPr>
            <w:tcW w:type="dxa" w:w="3168"/>
            <w:vAlign w:val="center"/>
            <w:tcMar>
              <w:top w:w="100" w:type="dxa"/>
              <w:start w:w="100" w:type="dxa"/>
              <w:bottom w:w="100" w:type="dxa"/>
              <w:end w:w="100" w:type="dxa"/>
            </w:tcMar>
          </w:tcPr>
          <w:p>
            <w:pPr>
              <w:spacing w:after="0"/>
            </w:pPr>
            <w:r/>
            <w:r>
              <w:rPr>
                <w:rFonts w:ascii="Calibri" w:hAnsi="Calibri"/>
                <w:b w:val="0"/>
                <w:sz w:val="21"/>
              </w:rPr>
              <w:t>Brokerage</w:t>
            </w:r>
          </w:p>
        </w:tc>
        <w:tc>
          <w:tcPr>
            <w:tcW w:type="dxa" w:w="6120"/>
            <w:vAlign w:val="center"/>
            <w:tcMar>
              <w:top w:w="100" w:type="dxa"/>
              <w:start w:w="100" w:type="dxa"/>
              <w:bottom w:w="100" w:type="dxa"/>
              <w:end w:w="100" w:type="dxa"/>
            </w:tcMar>
          </w:tcPr>
          <w:p>
            <w:pPr>
              <w:spacing w:after="0"/>
            </w:pPr>
            <w:r/>
            <w:r>
              <w:rPr>
                <w:rFonts w:ascii="Calibri" w:hAnsi="Calibri"/>
                <w:b w:val="0"/>
                <w:sz w:val="21"/>
              </w:rPr>
              <w:t>A fee may be charged when users execute stock or derivatives trades.</w:t>
            </w:r>
          </w:p>
        </w:tc>
      </w:tr>
      <w:tr>
        <w:tc>
          <w:tcPr>
            <w:tcW w:type="dxa" w:w="3168"/>
            <w:vAlign w:val="center"/>
            <w:tcMar>
              <w:top w:w="100" w:type="dxa"/>
              <w:start w:w="100" w:type="dxa"/>
              <w:bottom w:w="100" w:type="dxa"/>
              <w:end w:w="100" w:type="dxa"/>
            </w:tcMar>
          </w:tcPr>
          <w:p>
            <w:pPr>
              <w:spacing w:after="0"/>
            </w:pPr>
            <w:r/>
            <w:r>
              <w:rPr>
                <w:rFonts w:ascii="Calibri" w:hAnsi="Calibri"/>
                <w:b w:val="0"/>
                <w:sz w:val="21"/>
              </w:rPr>
              <w:t>Depository and service fees</w:t>
            </w:r>
          </w:p>
        </w:tc>
        <w:tc>
          <w:tcPr>
            <w:tcW w:type="dxa" w:w="6120"/>
            <w:vAlign w:val="center"/>
            <w:tcMar>
              <w:top w:w="100" w:type="dxa"/>
              <w:start w:w="100" w:type="dxa"/>
              <w:bottom w:w="100" w:type="dxa"/>
              <w:end w:w="100" w:type="dxa"/>
            </w:tcMar>
          </w:tcPr>
          <w:p>
            <w:pPr>
              <w:spacing w:after="0"/>
            </w:pPr>
            <w:r/>
            <w:r>
              <w:rPr>
                <w:rFonts w:ascii="Calibri" w:hAnsi="Calibri"/>
                <w:b w:val="0"/>
                <w:sz w:val="21"/>
              </w:rPr>
              <w:t>Certain demat or transaction-related services can have applicable charges.</w:t>
            </w:r>
          </w:p>
        </w:tc>
      </w:tr>
      <w:tr>
        <w:tc>
          <w:tcPr>
            <w:tcW w:type="dxa" w:w="3168"/>
            <w:vAlign w:val="center"/>
            <w:tcMar>
              <w:top w:w="100" w:type="dxa"/>
              <w:start w:w="100" w:type="dxa"/>
              <w:bottom w:w="100" w:type="dxa"/>
              <w:end w:w="100" w:type="dxa"/>
            </w:tcMar>
          </w:tcPr>
          <w:p>
            <w:pPr>
              <w:spacing w:after="0"/>
            </w:pPr>
            <w:r/>
            <w:r>
              <w:rPr>
                <w:rFonts w:ascii="Calibri" w:hAnsi="Calibri"/>
                <w:b w:val="0"/>
                <w:sz w:val="21"/>
              </w:rPr>
              <w:t>Financial-product ecosystem</w:t>
            </w:r>
          </w:p>
        </w:tc>
        <w:tc>
          <w:tcPr>
            <w:tcW w:type="dxa" w:w="6120"/>
            <w:vAlign w:val="center"/>
            <w:tcMar>
              <w:top w:w="100" w:type="dxa"/>
              <w:start w:w="100" w:type="dxa"/>
              <w:bottom w:w="100" w:type="dxa"/>
              <w:end w:w="100" w:type="dxa"/>
            </w:tcMar>
          </w:tcPr>
          <w:p>
            <w:pPr>
              <w:spacing w:after="0"/>
            </w:pPr>
            <w:r/>
            <w:r>
              <w:rPr>
                <w:rFonts w:ascii="Calibri" w:hAnsi="Calibri"/>
                <w:b w:val="0"/>
                <w:sz w:val="21"/>
              </w:rPr>
              <w:t>The platform can offer services across broking, mutual funds, margin trading and other financial products, subject to applicable regulation.</w:t>
            </w:r>
          </w:p>
        </w:tc>
      </w:tr>
    </w:tbl>
    <w:p>
      <w:pPr>
        <w:spacing w:after="40"/>
      </w:pPr>
    </w:p>
    <w:p>
      <w:pPr>
        <w:pStyle w:val="Heading1"/>
        <w:keepNext/>
      </w:pPr>
      <w:r>
        <w:rPr>
          <w:rFonts w:ascii="Calibri" w:hAnsi="Calibri"/>
          <w:color w:val="2E74B5"/>
        </w:rPr>
        <w:t>6. Risks and Responsible Use</w:t>
      </w:r>
    </w:p>
    <w:p>
      <w:pPr>
        <w:pStyle w:val="ListBullet"/>
        <w:spacing w:after="60" w:line="264" w:lineRule="auto"/>
      </w:pPr>
      <w:r>
        <w:rPr>
          <w:rFonts w:ascii="Calibri" w:hAnsi="Calibri"/>
          <w:sz w:val="22"/>
        </w:rPr>
        <w:t>Market risk: the value of stocks and mutual funds can go up or down; returns are not guaranteed.</w:t>
      </w:r>
    </w:p>
    <w:p>
      <w:pPr>
        <w:pStyle w:val="ListBullet"/>
        <w:spacing w:after="60" w:line="264" w:lineRule="auto"/>
      </w:pPr>
      <w:r>
        <w:rPr>
          <w:rFonts w:ascii="Calibri" w:hAnsi="Calibri"/>
          <w:sz w:val="22"/>
        </w:rPr>
        <w:t>Cybersecurity risk: customer accounts and transactions require strong security controls.</w:t>
      </w:r>
    </w:p>
    <w:p>
      <w:pPr>
        <w:pStyle w:val="ListBullet"/>
        <w:spacing w:after="60" w:line="264" w:lineRule="auto"/>
      </w:pPr>
      <w:r>
        <w:rPr>
          <w:rFonts w:ascii="Calibri" w:hAnsi="Calibri"/>
          <w:sz w:val="22"/>
        </w:rPr>
        <w:t>Regulatory risk: financial platforms must follow rules from bodies such as SEBI, exchanges and depositories.</w:t>
      </w:r>
    </w:p>
    <w:p>
      <w:pPr>
        <w:pStyle w:val="ListBullet"/>
        <w:spacing w:after="60" w:line="264" w:lineRule="auto"/>
      </w:pPr>
      <w:r>
        <w:rPr>
          <w:rFonts w:ascii="Calibri" w:hAnsi="Calibri"/>
          <w:sz w:val="22"/>
        </w:rPr>
        <w:t>Customer-understanding risk: users may make unsuitable decisions if they do not understand product risk or charges.</w:t>
      </w:r>
    </w:p>
    <w:p>
      <w:pPr>
        <w:pStyle w:val="ListBullet"/>
        <w:spacing w:after="60" w:line="264" w:lineRule="auto"/>
      </w:pPr>
      <w:r>
        <w:rPr>
          <w:rFonts w:ascii="Calibri" w:hAnsi="Calibri"/>
          <w:sz w:val="22"/>
        </w:rPr>
        <w:t>Operational risk: outages, incorrect data or failed transactions can affect customer trust.</w:t>
      </w:r>
    </w:p>
    <w:p>
      <w:pPr>
        <w:spacing w:after="140" w:line="276" w:lineRule="auto"/>
      </w:pPr>
      <w:r>
        <w:rPr>
          <w:rFonts w:ascii="Calibri" w:hAnsi="Calibri"/>
          <w:sz w:val="22"/>
        </w:rPr>
        <w:t>Responsible investing means reading scheme and risk documents, understanding charges, diversifying where appropriate, and investing according to personal goals and risk tolerance.</w:t>
      </w:r>
    </w:p>
    <w:p>
      <w:pPr>
        <w:pStyle w:val="Heading1"/>
        <w:keepNext/>
      </w:pPr>
      <w:r>
        <w:rPr>
          <w:rFonts w:ascii="Calibri" w:hAnsi="Calibri"/>
          <w:color w:val="2E74B5"/>
        </w:rPr>
        <w:t>7. Link to the Mutual-Fund Analytics Project</w:t>
      </w:r>
    </w:p>
    <w:p>
      <w:pPr>
        <w:spacing w:after="140" w:line="276" w:lineRule="auto"/>
      </w:pPr>
      <w:r>
        <w:rPr>
          <w:rFonts w:ascii="Calibri" w:hAnsi="Calibri"/>
          <w:sz w:val="22"/>
        </w:rPr>
        <w:t>The mutual-fund analytics project supports the same user journey. It can collect fund data, clean it through a data pipeline, calculate metrics such as risk and return, and show results in a Power BI dashboard. This helps users compare funds using data rather than only headlines or past returns.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608"/>
            <w:shd w:fill="E8EEF5"/>
            <w:vAlign w:val="center"/>
            <w:tcMar>
              <w:top w:w="100" w:type="dxa"/>
              <w:start w:w="100" w:type="dxa"/>
              <w:bottom w:w="100" w:type="dxa"/>
              <w:end w:w="100" w:type="dxa"/>
            </w:tcMar>
          </w:tcPr>
          <w:p>
            <w:pPr>
              <w:spacing w:after="0"/>
            </w:pPr>
            <w:r/>
            <w:r>
              <w:rPr>
                <w:rFonts w:ascii="Calibri" w:hAnsi="Calibri"/>
                <w:b/>
                <w:sz w:val="21"/>
              </w:rPr>
              <w:t>Groww-type platform</w:t>
            </w:r>
          </w:p>
        </w:tc>
        <w:tc>
          <w:tcPr>
            <w:tcW w:type="dxa" w:w="4680"/>
            <w:shd w:fill="E8EEF5"/>
            <w:vAlign w:val="center"/>
            <w:tcMar>
              <w:top w:w="100" w:type="dxa"/>
              <w:start w:w="100" w:type="dxa"/>
              <w:bottom w:w="100" w:type="dxa"/>
              <w:end w:w="100" w:type="dxa"/>
            </w:tcMar>
          </w:tcPr>
          <w:p>
            <w:pPr>
              <w:spacing w:after="0"/>
            </w:pPr>
            <w:r/>
            <w:r>
              <w:rPr>
                <w:rFonts w:ascii="Calibri" w:hAnsi="Calibri"/>
                <w:b/>
                <w:sz w:val="21"/>
              </w:rPr>
              <w:t>Mutual-fund analytics project</w:t>
            </w:r>
          </w:p>
        </w:tc>
      </w:tr>
      <w:tr>
        <w:tc>
          <w:tcPr>
            <w:tcW w:type="dxa" w:w="4608"/>
            <w:vAlign w:val="center"/>
            <w:tcMar>
              <w:top w:w="100" w:type="dxa"/>
              <w:start w:w="100" w:type="dxa"/>
              <w:bottom w:w="100" w:type="dxa"/>
              <w:end w:w="100" w:type="dxa"/>
            </w:tcMar>
          </w:tcPr>
          <w:p>
            <w:pPr>
              <w:spacing w:after="0"/>
            </w:pPr>
            <w:r/>
            <w:r>
              <w:rPr>
                <w:rFonts w:ascii="Calibri" w:hAnsi="Calibri"/>
                <w:b w:val="0"/>
                <w:sz w:val="21"/>
              </w:rPr>
              <w:t>User opens an investing app</w:t>
            </w:r>
          </w:p>
        </w:tc>
        <w:tc>
          <w:tcPr>
            <w:tcW w:type="dxa" w:w="4680"/>
            <w:vAlign w:val="center"/>
            <w:tcMar>
              <w:top w:w="100" w:type="dxa"/>
              <w:start w:w="100" w:type="dxa"/>
              <w:bottom w:w="100" w:type="dxa"/>
              <w:end w:w="100" w:type="dxa"/>
            </w:tcMar>
          </w:tcPr>
          <w:p>
            <w:pPr>
              <w:spacing w:after="0"/>
            </w:pPr>
            <w:r/>
            <w:r>
              <w:rPr>
                <w:rFonts w:ascii="Calibri" w:hAnsi="Calibri"/>
                <w:b w:val="0"/>
                <w:sz w:val="21"/>
              </w:rPr>
              <w:t>User opens a Power BI dashboard</w:t>
            </w:r>
          </w:p>
        </w:tc>
      </w:tr>
      <w:tr>
        <w:tc>
          <w:tcPr>
            <w:tcW w:type="dxa" w:w="4608"/>
            <w:vAlign w:val="center"/>
            <w:tcMar>
              <w:top w:w="100" w:type="dxa"/>
              <w:start w:w="100" w:type="dxa"/>
              <w:bottom w:w="100" w:type="dxa"/>
              <w:end w:w="100" w:type="dxa"/>
            </w:tcMar>
          </w:tcPr>
          <w:p>
            <w:pPr>
              <w:spacing w:after="0"/>
            </w:pPr>
            <w:r/>
            <w:r>
              <w:rPr>
                <w:rFonts w:ascii="Calibri" w:hAnsi="Calibri"/>
                <w:b w:val="0"/>
                <w:sz w:val="21"/>
              </w:rPr>
              <w:t>Researches funds and products</w:t>
            </w:r>
          </w:p>
        </w:tc>
        <w:tc>
          <w:tcPr>
            <w:tcW w:type="dxa" w:w="4680"/>
            <w:vAlign w:val="center"/>
            <w:tcMar>
              <w:top w:w="100" w:type="dxa"/>
              <w:start w:w="100" w:type="dxa"/>
              <w:bottom w:w="100" w:type="dxa"/>
              <w:end w:w="100" w:type="dxa"/>
            </w:tcMar>
          </w:tcPr>
          <w:p>
            <w:pPr>
              <w:spacing w:after="0"/>
            </w:pPr>
            <w:r/>
            <w:r>
              <w:rPr>
                <w:rFonts w:ascii="Calibri" w:hAnsi="Calibri"/>
                <w:b w:val="0"/>
                <w:sz w:val="21"/>
              </w:rPr>
              <w:t>Filters and compares mutual-fund data</w:t>
            </w:r>
          </w:p>
        </w:tc>
      </w:tr>
      <w:tr>
        <w:tc>
          <w:tcPr>
            <w:tcW w:type="dxa" w:w="4608"/>
            <w:vAlign w:val="center"/>
            <w:tcMar>
              <w:top w:w="100" w:type="dxa"/>
              <w:start w:w="100" w:type="dxa"/>
              <w:bottom w:w="100" w:type="dxa"/>
              <w:end w:w="100" w:type="dxa"/>
            </w:tcMar>
          </w:tcPr>
          <w:p>
            <w:pPr>
              <w:spacing w:after="0"/>
            </w:pPr>
            <w:r/>
            <w:r>
              <w:rPr>
                <w:rFonts w:ascii="Calibri" w:hAnsi="Calibri"/>
                <w:b w:val="0"/>
                <w:sz w:val="21"/>
              </w:rPr>
              <w:t>Invests or tracks a portfolio</w:t>
            </w:r>
          </w:p>
        </w:tc>
        <w:tc>
          <w:tcPr>
            <w:tcW w:type="dxa" w:w="4680"/>
            <w:vAlign w:val="center"/>
            <w:tcMar>
              <w:top w:w="100" w:type="dxa"/>
              <w:start w:w="100" w:type="dxa"/>
              <w:bottom w:w="100" w:type="dxa"/>
              <w:end w:w="100" w:type="dxa"/>
            </w:tcMar>
          </w:tcPr>
          <w:p>
            <w:pPr>
              <w:spacing w:after="0"/>
            </w:pPr>
            <w:r/>
            <w:r>
              <w:rPr>
                <w:rFonts w:ascii="Calibri" w:hAnsi="Calibri"/>
                <w:b w:val="0"/>
                <w:sz w:val="21"/>
              </w:rPr>
              <w:t>Uses risk, return and KPI insights</w:t>
            </w:r>
          </w:p>
        </w:tc>
      </w:tr>
      <w:tr>
        <w:tc>
          <w:tcPr>
            <w:tcW w:type="dxa" w:w="4608"/>
            <w:vAlign w:val="center"/>
            <w:tcMar>
              <w:top w:w="100" w:type="dxa"/>
              <w:start w:w="100" w:type="dxa"/>
              <w:bottom w:w="100" w:type="dxa"/>
              <w:end w:w="100" w:type="dxa"/>
            </w:tcMar>
          </w:tcPr>
          <w:p>
            <w:pPr>
              <w:spacing w:after="0"/>
            </w:pPr>
            <w:r/>
            <w:r>
              <w:rPr>
                <w:rFonts w:ascii="Calibri" w:hAnsi="Calibri"/>
                <w:b w:val="0"/>
                <w:sz w:val="21"/>
              </w:rPr>
              <w:t>Needs clear, accurate information</w:t>
            </w:r>
          </w:p>
        </w:tc>
        <w:tc>
          <w:tcPr>
            <w:tcW w:type="dxa" w:w="4680"/>
            <w:vAlign w:val="center"/>
            <w:tcMar>
              <w:top w:w="100" w:type="dxa"/>
              <w:start w:w="100" w:type="dxa"/>
              <w:bottom w:w="100" w:type="dxa"/>
              <w:end w:w="100" w:type="dxa"/>
            </w:tcMar>
          </w:tcPr>
          <w:p>
            <w:pPr>
              <w:spacing w:after="0"/>
            </w:pPr>
            <w:r/>
            <w:r>
              <w:rPr>
                <w:rFonts w:ascii="Calibri" w:hAnsi="Calibri"/>
                <w:b w:val="0"/>
                <w:sz w:val="21"/>
              </w:rPr>
              <w:t>Needs clean data and transparent metrics</w:t>
            </w:r>
          </w:p>
        </w:tc>
      </w:tr>
    </w:tbl>
    <w:p>
      <w:pPr>
        <w:spacing w:after="40"/>
      </w:pPr>
    </w:p>
    <w:p>
      <w:pPr>
        <w:pStyle w:val="Heading1"/>
        <w:keepNext/>
      </w:pPr>
      <w:r>
        <w:rPr>
          <w:rFonts w:ascii="Calibri" w:hAnsi="Calibri"/>
          <w:color w:val="2E74B5"/>
        </w:rPr>
        <w:t>8. Conclusion</w:t>
      </w:r>
    </w:p>
    <w:p>
      <w:pPr>
        <w:spacing w:after="140" w:line="276" w:lineRule="auto"/>
      </w:pPr>
      <w:r>
        <w:rPr>
          <w:rFonts w:ascii="Calibri" w:hAnsi="Calibri"/>
          <w:sz w:val="22"/>
        </w:rPr>
        <w:t>Groww is an example of how FinTech can simplify access to investing. Its business model combines technology, digital onboarding, product information and transaction services. For users, the main benefit is easier access to investing tools and products. For a mutual-fund analytics project, the key learning is that clear data, transparent metrics and a simple dashboard can help users make more informed decisions.</w:t>
      </w:r>
    </w:p>
    <w:p>
      <w:pPr>
        <w:pStyle w:val="Heading2"/>
        <w:keepNext/>
      </w:pPr>
      <w:r>
        <w:rPr>
          <w:rFonts w:ascii="Calibri" w:hAnsi="Calibri"/>
          <w:color w:val="2E74B5"/>
        </w:rPr>
        <w:t>Sources</w:t>
      </w:r>
    </w:p>
    <w:p>
      <w:pPr>
        <w:spacing w:after="140" w:line="276" w:lineRule="auto"/>
      </w:pPr>
      <w:r>
        <w:rPr>
          <w:rFonts w:ascii="Calibri" w:hAnsi="Calibri"/>
          <w:sz w:val="22"/>
        </w:rPr>
        <w:t>Groww, "Our Story" and Investor Relations pages, accessed 28 August 2026: https://groww.in/investor-relations/our-story and https://groww.in/investor-relations</w:t>
      </w:r>
    </w:p>
    <w:p>
      <w:pPr>
        <w:spacing w:after="140" w:line="276" w:lineRule="auto"/>
      </w:pPr>
      <w:r>
        <w:rPr>
          <w:rFonts w:ascii="Calibri" w:hAnsi="Calibri"/>
          <w:sz w:val="22"/>
        </w:rPr>
        <w:t>Groww, "Brokerage Charges &amp; Pricing," accessed 28 August 2026: https://groww.in/pricing</w:t>
      </w:r>
    </w:p>
    <w:p>
      <w:pPr>
        <w:spacing w:after="140" w:line="276" w:lineRule="auto"/>
      </w:pPr>
      <w:r>
        <w:rPr>
          <w:rFonts w:ascii="Calibri" w:hAnsi="Calibri"/>
          <w:sz w:val="22"/>
        </w:rPr>
        <w:t>Groww Help, "What are the charges for mutual fund investments?" accessed 28 August 2026: https://groww.in/help/mutual-funds/searchable/what-are-the-charges-for-mutual-fund-investments--93</w:t>
      </w:r>
    </w:p>
    <w:p>
      <w:pPr>
        <w:spacing w:after="140" w:line="276" w:lineRule="auto"/>
      </w:pPr>
      <w:r>
        <w:rPr>
          <w:rFonts w:ascii="Calibri" w:hAnsi="Calibri"/>
          <w:sz w:val="22"/>
        </w:rPr>
        <w:t>Groww Help, "Does Groww do advisory for Stocks or Mutual Fund?" accessed 28 August 2026: https://groww.in/help/my-account/searchable/does-groww-do-advisory-for-stocks-or-mf--67</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Groww case study | Prepared for Week 2 prerequisite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Week 2 | FinTech Business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