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An article when sold at a gain of 5% yields Rs 15 more than when sold at a loss of 5%. What is the C.P</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64</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Rs 150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80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200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A person sold a horse at a gain of 15 %. Had it bought it for 25 % less and sold it for Rs 600 less, he would have made a profit of 32 %. The cost price of the horse was?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Rs 3,750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3,250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2,750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2,250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A man sold two chairs at Rs 1,200 each. On one he gained 20 % &amp; on the other he lost 20 % . His gain or loss in the whole transaction is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1 % loss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2 % loss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4 % loss </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15 % gain</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A dealer buys an article marked at Rs 25,000 with 20% and 5% off. He spends Rs 1,000 for its repairs and sells it for Rs 25,000. What is his gain or loss percent?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loss of 25%</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gain of 25%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gain of 10%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loss of 10%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In a certain store, the profit is 320% of the cost. If the cost increases by 25% but the selling price remains constant, approximately what percentage of the selling price is the profit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70%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80%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90%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A sells an article to B at a profit of 25%. B sells it to C at profit of 20%. C sells it D at a loss of 50%. And D sells it to E at a gain of 33 1/3 %. If E has paid Rs. 2000 for it, then what is difference between the Cost Prices of B and D in Rupees?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2,500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1,500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1,000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A man sold an article at a 20% profit. If he sells it for 240 more then he would have gained 36%. What is the Cost Price of the article in Rupees?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2,400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2,000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1,500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By selling 45 lemons for Rs 40, a man loses 20 %. How many should he sell for Rs 24 to gain 20 % in the transaction?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76%</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40%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39%</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A man is selling two articles for Rs.10400. What is his overall gain% if he gains 30% on one and loses 20% on the other?</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 Loss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10% Gain</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No Loss, No Gain</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A man is selling an article for Rs. 2400 by gaining 20%. What will be his actual gain/loss % if gives a discount of Rs. 200?</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 Loss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10% Gain</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No Loss, No Gain</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A seller buys 12 toys for Rs.100 and sells 10 toys for Rs.120. What is his profit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44%</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48%</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The cost price of 10 articles is equal to the selling price of 8 articles. What is the profit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25%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An article when sold at a gain of 5% yields Rs 15 more than when sold at a loss of 5%. What is the C.P</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64</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Rs 150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80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200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Gopal purchased 35 kg of rice at the rate of Rs 9.50 per kg and 30 kg at the rate of Rs i.Q.O per kg. He mixed the two. Approximately, at what price per kg should he sell the mixture to make 35 % profit in the transaction?.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12</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13</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12.50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Rs 13.50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A person sold a horse at a gain of 15 %. Had it bought it for 25 % less and sold it for Rs 600 less, he would have made a profit of 32 %. The cost price of the horse was?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Rs 3,750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3,250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2,750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2,250</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1,2 Profit&amp;loss</dc:title>
  <dc:subject>Generated by www.EasyTestMaker.com</dc:subject>
  <dc:creator>EasyTestMaker</dc:creator>
  <dc:description>Generated on Tuesday, June 30, 2015 at 4:25 AM</dc:description>
</cp:coreProperties>
</file>