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F4BAA" w14:textId="77777777" w:rsidR="00C9205D" w:rsidRPr="0070080E" w:rsidRDefault="00C9205D" w:rsidP="00C9205D">
      <w:pPr>
        <w:ind w:firstLine="0"/>
        <w:rPr>
          <w:rFonts w:ascii="Arial" w:hAnsi="Arial" w:cs="Arial"/>
        </w:rPr>
      </w:pPr>
      <w:r w:rsidRPr="0070080E">
        <w:rPr>
          <w:rFonts w:ascii="Arial" w:hAnsi="Arial" w:cs="Arial"/>
          <w:noProof/>
        </w:rPr>
        <w:drawing>
          <wp:anchor distT="0" distB="0" distL="114300" distR="114300" simplePos="0" relativeHeight="251656704" behindDoc="0" locked="0" layoutInCell="1" allowOverlap="1" wp14:anchorId="4F0C5780" wp14:editId="2785BBEB">
            <wp:simplePos x="0" y="0"/>
            <wp:positionH relativeFrom="margin">
              <wp:posOffset>2234392</wp:posOffset>
            </wp:positionH>
            <wp:positionV relativeFrom="paragraph">
              <wp:posOffset>7620</wp:posOffset>
            </wp:positionV>
            <wp:extent cx="2145600" cy="580501"/>
            <wp:effectExtent l="0" t="0" r="7620" b="0"/>
            <wp:wrapThrough wrapText="bothSides">
              <wp:wrapPolygon edited="0">
                <wp:start x="4220" y="0"/>
                <wp:lineTo x="3837" y="1418"/>
                <wp:lineTo x="3453" y="11344"/>
                <wp:lineTo x="0" y="15597"/>
                <wp:lineTo x="0" y="20560"/>
                <wp:lineTo x="21485" y="20560"/>
                <wp:lineTo x="21485" y="16306"/>
                <wp:lineTo x="17840" y="11344"/>
                <wp:lineTo x="18032" y="0"/>
                <wp:lineTo x="4220" y="0"/>
              </wp:wrapPolygon>
            </wp:wrapThrough>
            <wp:docPr id="3" name="Picture 3" descr="P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o 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5600" cy="580501"/>
                    </a:xfrm>
                    <a:prstGeom prst="rect">
                      <a:avLst/>
                    </a:prstGeom>
                  </pic:spPr>
                </pic:pic>
              </a:graphicData>
            </a:graphic>
            <wp14:sizeRelH relativeFrom="page">
              <wp14:pctWidth>0</wp14:pctWidth>
            </wp14:sizeRelH>
            <wp14:sizeRelV relativeFrom="page">
              <wp14:pctHeight>0</wp14:pctHeight>
            </wp14:sizeRelV>
          </wp:anchor>
        </w:drawing>
      </w:r>
    </w:p>
    <w:p w14:paraId="1496C57A" w14:textId="77777777" w:rsidR="00C9205D" w:rsidRPr="0070080E" w:rsidRDefault="00C9205D" w:rsidP="00C9205D">
      <w:pPr>
        <w:rPr>
          <w:rFonts w:ascii="Arial" w:hAnsi="Arial" w:cs="Arial"/>
        </w:rPr>
      </w:pPr>
    </w:p>
    <w:p w14:paraId="77229197" w14:textId="77777777" w:rsidR="00C9205D" w:rsidRPr="0070080E" w:rsidRDefault="00C9205D" w:rsidP="00C9205D">
      <w:pPr>
        <w:tabs>
          <w:tab w:val="left" w:pos="2268"/>
        </w:tabs>
        <w:jc w:val="center"/>
        <w:rPr>
          <w:rFonts w:ascii="Arial" w:hAnsi="Arial" w:cs="Arial"/>
          <w:b/>
          <w:smallCaps/>
          <w:sz w:val="28"/>
          <w:szCs w:val="28"/>
        </w:rPr>
      </w:pPr>
    </w:p>
    <w:p w14:paraId="04383782" w14:textId="77777777" w:rsidR="00C9205D" w:rsidRPr="0070080E" w:rsidRDefault="00C9205D" w:rsidP="00C9205D">
      <w:pPr>
        <w:tabs>
          <w:tab w:val="left" w:pos="2268"/>
        </w:tabs>
        <w:ind w:firstLine="0"/>
        <w:rPr>
          <w:rFonts w:cstheme="minorHAnsi"/>
          <w:b/>
          <w:smallCaps/>
          <w:sz w:val="28"/>
          <w:szCs w:val="28"/>
        </w:rPr>
      </w:pPr>
    </w:p>
    <w:p w14:paraId="7BB62E32"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Reducing Emotional Biases in Investment Portfolio Management</w:t>
      </w:r>
    </w:p>
    <w:p w14:paraId="1717284E" w14:textId="77777777" w:rsidR="00C9205D" w:rsidRPr="0070080E" w:rsidRDefault="00C9205D" w:rsidP="00C9205D">
      <w:pPr>
        <w:tabs>
          <w:tab w:val="left" w:pos="2268"/>
        </w:tabs>
        <w:ind w:firstLine="0"/>
        <w:rPr>
          <w:rFonts w:cstheme="minorHAnsi"/>
          <w:b/>
          <w:smallCaps/>
          <w:sz w:val="28"/>
          <w:szCs w:val="28"/>
        </w:rPr>
      </w:pPr>
    </w:p>
    <w:p w14:paraId="6E7200CA"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 xml:space="preserve">A Thesis </w:t>
      </w:r>
    </w:p>
    <w:p w14:paraId="26953806"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Presented to the Faculty of</w:t>
      </w:r>
    </w:p>
    <w:p w14:paraId="459314B9"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 xml:space="preserve">SBS Swiss Business School </w:t>
      </w:r>
    </w:p>
    <w:p w14:paraId="368ECF2E" w14:textId="77777777" w:rsidR="00C9205D" w:rsidRPr="0070080E" w:rsidRDefault="00C9205D" w:rsidP="00C9205D">
      <w:pPr>
        <w:tabs>
          <w:tab w:val="left" w:pos="2268"/>
        </w:tabs>
        <w:jc w:val="center"/>
        <w:rPr>
          <w:rFonts w:cstheme="minorHAnsi"/>
          <w:b/>
          <w:smallCaps/>
          <w:sz w:val="28"/>
          <w:szCs w:val="28"/>
        </w:rPr>
      </w:pPr>
    </w:p>
    <w:p w14:paraId="1FAEE69D"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In Partial Fulfillment</w:t>
      </w:r>
    </w:p>
    <w:p w14:paraId="13D1D2C7"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Of the Requirements for the Degree of</w:t>
      </w:r>
    </w:p>
    <w:p w14:paraId="738FE98B" w14:textId="122C6991" w:rsidR="00C9205D" w:rsidRPr="0070080E" w:rsidRDefault="003D53D4" w:rsidP="00C9205D">
      <w:pPr>
        <w:tabs>
          <w:tab w:val="left" w:pos="2268"/>
        </w:tabs>
        <w:jc w:val="center"/>
        <w:rPr>
          <w:rFonts w:cstheme="minorHAnsi"/>
          <w:b/>
          <w:smallCaps/>
          <w:sz w:val="28"/>
          <w:szCs w:val="28"/>
        </w:rPr>
      </w:pPr>
      <w:r w:rsidRPr="0070080E">
        <w:rPr>
          <w:rFonts w:cstheme="minorHAnsi"/>
          <w:b/>
          <w:smallCaps/>
          <w:sz w:val="28"/>
          <w:szCs w:val="28"/>
        </w:rPr>
        <w:t xml:space="preserve">Executive </w:t>
      </w:r>
      <w:r w:rsidR="00C9205D" w:rsidRPr="0070080E">
        <w:rPr>
          <w:rFonts w:cstheme="minorHAnsi"/>
          <w:b/>
          <w:smallCaps/>
          <w:sz w:val="28"/>
          <w:szCs w:val="28"/>
        </w:rPr>
        <w:t>Master of Business Administration</w:t>
      </w:r>
    </w:p>
    <w:p w14:paraId="72FF5DBF" w14:textId="77777777" w:rsidR="00C9205D" w:rsidRPr="0070080E" w:rsidRDefault="00C9205D" w:rsidP="00C9205D">
      <w:pPr>
        <w:tabs>
          <w:tab w:val="left" w:pos="2268"/>
        </w:tabs>
        <w:jc w:val="center"/>
        <w:rPr>
          <w:rFonts w:cstheme="minorHAnsi"/>
          <w:b/>
          <w:smallCaps/>
          <w:sz w:val="28"/>
          <w:szCs w:val="28"/>
        </w:rPr>
      </w:pPr>
    </w:p>
    <w:p w14:paraId="49BC6A16" w14:textId="77777777" w:rsidR="00C9205D" w:rsidRPr="0070080E" w:rsidRDefault="00C9205D" w:rsidP="00C9205D">
      <w:pPr>
        <w:tabs>
          <w:tab w:val="left" w:pos="2268"/>
        </w:tabs>
        <w:jc w:val="center"/>
        <w:rPr>
          <w:rFonts w:cstheme="minorHAnsi"/>
          <w:b/>
          <w:smallCaps/>
          <w:sz w:val="28"/>
          <w:szCs w:val="28"/>
        </w:rPr>
      </w:pPr>
      <w:r w:rsidRPr="0070080E">
        <w:rPr>
          <w:rFonts w:cstheme="minorHAnsi"/>
          <w:b/>
          <w:smallCaps/>
          <w:sz w:val="28"/>
          <w:szCs w:val="28"/>
        </w:rPr>
        <w:t>By</w:t>
      </w:r>
    </w:p>
    <w:p w14:paraId="5C3EB804" w14:textId="77777777" w:rsidR="00C9205D" w:rsidRPr="0070080E" w:rsidRDefault="00C9205D" w:rsidP="00C9205D">
      <w:pPr>
        <w:tabs>
          <w:tab w:val="left" w:pos="2268"/>
        </w:tabs>
        <w:spacing w:line="240" w:lineRule="auto"/>
        <w:jc w:val="center"/>
        <w:rPr>
          <w:rFonts w:cstheme="minorHAnsi"/>
          <w:b/>
          <w:smallCaps/>
          <w:sz w:val="28"/>
          <w:szCs w:val="28"/>
        </w:rPr>
      </w:pPr>
      <w:r w:rsidRPr="0070080E">
        <w:rPr>
          <w:rFonts w:cstheme="minorHAnsi"/>
          <w:b/>
          <w:smallCaps/>
          <w:sz w:val="28"/>
          <w:szCs w:val="28"/>
        </w:rPr>
        <w:t>Aliaksei Malashonak</w:t>
      </w:r>
    </w:p>
    <w:p w14:paraId="6D264C1D" w14:textId="77777777" w:rsidR="00C9205D" w:rsidRPr="0070080E" w:rsidRDefault="00C9205D" w:rsidP="00C9205D">
      <w:pPr>
        <w:tabs>
          <w:tab w:val="left" w:pos="2268"/>
        </w:tabs>
        <w:spacing w:line="240" w:lineRule="auto"/>
        <w:jc w:val="center"/>
        <w:rPr>
          <w:rFonts w:cstheme="minorHAnsi"/>
          <w:b/>
          <w:smallCaps/>
          <w:sz w:val="28"/>
          <w:szCs w:val="28"/>
        </w:rPr>
      </w:pPr>
      <w:r w:rsidRPr="0070080E">
        <w:rPr>
          <w:rFonts w:cstheme="minorHAnsi"/>
          <w:b/>
          <w:smallCaps/>
          <w:sz w:val="28"/>
          <w:szCs w:val="28"/>
        </w:rPr>
        <w:t>On</w:t>
      </w:r>
    </w:p>
    <w:p w14:paraId="7142EC7E" w14:textId="6C6A1964" w:rsidR="00C9205D" w:rsidRPr="0070080E" w:rsidRDefault="00234787" w:rsidP="00C9205D">
      <w:pPr>
        <w:tabs>
          <w:tab w:val="left" w:pos="2268"/>
        </w:tabs>
        <w:spacing w:line="240" w:lineRule="auto"/>
        <w:jc w:val="center"/>
        <w:rPr>
          <w:rFonts w:ascii="Arial" w:hAnsi="Arial" w:cs="Arial"/>
          <w:b/>
          <w:smallCaps/>
          <w:sz w:val="28"/>
          <w:szCs w:val="28"/>
        </w:rPr>
      </w:pPr>
      <w:r w:rsidRPr="0070080E">
        <w:rPr>
          <w:rFonts w:cstheme="minorHAnsi"/>
          <w:b/>
          <w:smallCaps/>
          <w:sz w:val="28"/>
          <w:szCs w:val="28"/>
        </w:rPr>
        <w:t>June</w:t>
      </w:r>
      <w:r w:rsidR="00C9205D" w:rsidRPr="0070080E">
        <w:rPr>
          <w:rFonts w:cstheme="minorHAnsi"/>
          <w:b/>
          <w:smallCaps/>
          <w:sz w:val="28"/>
          <w:szCs w:val="28"/>
        </w:rPr>
        <w:t xml:space="preserve"> </w:t>
      </w:r>
      <w:r w:rsidRPr="0070080E">
        <w:rPr>
          <w:rFonts w:cstheme="minorHAnsi"/>
          <w:b/>
          <w:smallCaps/>
          <w:sz w:val="28"/>
          <w:szCs w:val="28"/>
        </w:rPr>
        <w:t>2</w:t>
      </w:r>
      <w:r w:rsidR="00C9205D" w:rsidRPr="0070080E">
        <w:rPr>
          <w:rFonts w:cstheme="minorHAnsi"/>
          <w:b/>
          <w:smallCaps/>
          <w:sz w:val="28"/>
          <w:szCs w:val="28"/>
        </w:rPr>
        <w:t>1, 2026</w:t>
      </w:r>
    </w:p>
    <w:p w14:paraId="2F7796A2" w14:textId="77777777" w:rsidR="00C9205D" w:rsidRPr="0070080E" w:rsidRDefault="00C9205D" w:rsidP="00C9205D">
      <w:pPr>
        <w:tabs>
          <w:tab w:val="left" w:pos="2268"/>
        </w:tabs>
        <w:jc w:val="center"/>
        <w:rPr>
          <w:rFonts w:ascii="Arial" w:hAnsi="Arial" w:cs="Arial"/>
          <w:b/>
          <w:smallCaps/>
          <w:sz w:val="28"/>
          <w:szCs w:val="28"/>
        </w:rPr>
      </w:pPr>
    </w:p>
    <w:p w14:paraId="19DA9E3E" w14:textId="77777777" w:rsidR="00C9205D" w:rsidRPr="0070080E" w:rsidRDefault="00C9205D" w:rsidP="00C9205D">
      <w:pPr>
        <w:tabs>
          <w:tab w:val="left" w:pos="2268"/>
        </w:tabs>
        <w:jc w:val="center"/>
        <w:rPr>
          <w:rFonts w:ascii="Arial" w:hAnsi="Arial" w:cs="Arial"/>
          <w:b/>
          <w:smallCaps/>
          <w:sz w:val="28"/>
          <w:szCs w:val="28"/>
        </w:rPr>
      </w:pPr>
    </w:p>
    <w:p w14:paraId="72F57EBF" w14:textId="77777777" w:rsidR="00C9205D" w:rsidRPr="0070080E" w:rsidRDefault="00C9205D" w:rsidP="00C9205D">
      <w:pPr>
        <w:tabs>
          <w:tab w:val="left" w:pos="2268"/>
        </w:tabs>
        <w:jc w:val="center"/>
        <w:rPr>
          <w:rFonts w:ascii="Arial" w:hAnsi="Arial" w:cs="Arial"/>
          <w:b/>
          <w:smallCaps/>
          <w:sz w:val="28"/>
          <w:szCs w:val="28"/>
        </w:rPr>
      </w:pPr>
      <w:r w:rsidRPr="0070080E">
        <w:rPr>
          <w:rFonts w:ascii="Arial" w:hAnsi="Arial" w:cs="Arial"/>
          <w:b/>
          <w:smallCaps/>
          <w:sz w:val="28"/>
          <w:szCs w:val="28"/>
        </w:rPr>
        <w:t>Mentor: Dr. Stefano Canossa</w:t>
      </w:r>
      <w:r w:rsidRPr="0070080E">
        <w:rPr>
          <w:rFonts w:ascii="Arial" w:hAnsi="Arial" w:cs="Arial"/>
          <w:b/>
          <w:smallCaps/>
          <w:sz w:val="28"/>
          <w:szCs w:val="28"/>
        </w:rPr>
        <w:br w:type="page"/>
      </w:r>
    </w:p>
    <w:p w14:paraId="2C2D0F59" w14:textId="77777777" w:rsidR="00F33967" w:rsidRPr="0070080E" w:rsidRDefault="00F33967">
      <w:pPr>
        <w:pStyle w:val="Title"/>
      </w:pPr>
    </w:p>
    <w:p w14:paraId="784AC1C3" w14:textId="77777777" w:rsidR="00F33967" w:rsidRPr="0070080E" w:rsidRDefault="00F33967">
      <w:pPr>
        <w:pStyle w:val="Title"/>
      </w:pPr>
    </w:p>
    <w:p w14:paraId="5D1897A0" w14:textId="77777777" w:rsidR="00F33967" w:rsidRPr="0070080E" w:rsidRDefault="00F33967">
      <w:pPr>
        <w:pStyle w:val="Title"/>
      </w:pPr>
    </w:p>
    <w:p w14:paraId="597CD694" w14:textId="77777777" w:rsidR="00F33967" w:rsidRPr="0070080E" w:rsidRDefault="00F33967">
      <w:pPr>
        <w:pStyle w:val="Title"/>
      </w:pPr>
    </w:p>
    <w:p w14:paraId="44E60F12" w14:textId="77777777" w:rsidR="00F33967" w:rsidRPr="0070080E" w:rsidRDefault="00F33967">
      <w:pPr>
        <w:pStyle w:val="Title"/>
      </w:pPr>
    </w:p>
    <w:p w14:paraId="6066679C" w14:textId="77777777" w:rsidR="00F33967" w:rsidRPr="0070080E" w:rsidRDefault="00F33967">
      <w:pPr>
        <w:pStyle w:val="Title"/>
      </w:pPr>
    </w:p>
    <w:p w14:paraId="7B998149" w14:textId="77777777" w:rsidR="00F33967" w:rsidRPr="0070080E" w:rsidRDefault="00F33967">
      <w:pPr>
        <w:pStyle w:val="Title"/>
      </w:pPr>
    </w:p>
    <w:p w14:paraId="3CB0FE57" w14:textId="53A1A73C" w:rsidR="00F67DDB" w:rsidRPr="0070080E" w:rsidRDefault="0094076D">
      <w:pPr>
        <w:pStyle w:val="Title"/>
      </w:pPr>
      <w:r w:rsidRPr="0070080E">
        <w:t>Reducing Emotional Biases in Investment Portfolio Management</w:t>
      </w:r>
    </w:p>
    <w:p w14:paraId="1C7803D3" w14:textId="77777777" w:rsidR="00F33967" w:rsidRPr="0070080E" w:rsidRDefault="00F33967" w:rsidP="00F33967">
      <w:pPr>
        <w:pStyle w:val="BodyText"/>
      </w:pPr>
    </w:p>
    <w:p w14:paraId="3CB0FE58" w14:textId="77777777" w:rsidR="00F67DDB" w:rsidRPr="0070080E" w:rsidRDefault="0094076D">
      <w:pPr>
        <w:pStyle w:val="Author"/>
      </w:pPr>
      <w:r w:rsidRPr="0070080E">
        <w:t>Aliaksei Malashonak</w:t>
      </w:r>
    </w:p>
    <w:p w14:paraId="3CB0FE59" w14:textId="77777777" w:rsidR="00F67DDB" w:rsidRPr="0070080E" w:rsidRDefault="0094076D">
      <w:pPr>
        <w:pStyle w:val="Author"/>
      </w:pPr>
      <w:r w:rsidRPr="0070080E">
        <w:t>Student ID: 19795 | Matriculation: 24891798</w:t>
      </w:r>
    </w:p>
    <w:p w14:paraId="3CB0FE5A" w14:textId="77777777" w:rsidR="00F67DDB" w:rsidRPr="0070080E" w:rsidRDefault="0094076D">
      <w:pPr>
        <w:pStyle w:val="Author"/>
      </w:pPr>
      <w:r w:rsidRPr="0070080E">
        <w:t>Mentor: Dr. Stefano Canossa</w:t>
      </w:r>
    </w:p>
    <w:p w14:paraId="3CB0FE5B" w14:textId="55866164" w:rsidR="00F67DDB" w:rsidRPr="0070080E" w:rsidRDefault="00234787">
      <w:pPr>
        <w:pStyle w:val="Date"/>
      </w:pPr>
      <w:r w:rsidRPr="0070080E">
        <w:t>June</w:t>
      </w:r>
      <w:r w:rsidR="0094076D" w:rsidRPr="0070080E">
        <w:t xml:space="preserve"> 2026</w:t>
      </w:r>
    </w:p>
    <w:p w14:paraId="3CB0FE5C" w14:textId="77777777" w:rsidR="00F67DDB" w:rsidRPr="0070080E" w:rsidRDefault="0094076D">
      <w:pPr>
        <w:pStyle w:val="Heading1"/>
      </w:pPr>
      <w:bookmarkStart w:id="0" w:name="_Toc231913419"/>
      <w:bookmarkStart w:id="1" w:name="authentication-of-work"/>
      <w:r w:rsidRPr="0070080E">
        <w:lastRenderedPageBreak/>
        <w:t>Authentication of Work</w:t>
      </w:r>
      <w:bookmarkEnd w:id="0"/>
    </w:p>
    <w:p w14:paraId="3CB0FE5D" w14:textId="77777777" w:rsidR="00F67DDB" w:rsidRPr="0070080E" w:rsidRDefault="0094076D">
      <w:pPr>
        <w:pStyle w:val="FirstParagraph"/>
      </w:pPr>
      <w:r w:rsidRPr="0070080E">
        <w:t>I, Aliaksei Malashonak (Student ID: 19795, Matriculation Number: 24891798), hereby declare that this thesis, submitted in partial fulfillment of the requirements for the degree of Executive Master of Business Administration at SBS Swiss Business School, Kloten-Zurich, Switzerland, is my own work. All sources consulted have been acknowledged in the references. This thesis has not been submitted for any other degree or qualification at any other institution.</w:t>
      </w:r>
    </w:p>
    <w:p w14:paraId="3CB0FE5E" w14:textId="35D3AEEA" w:rsidR="00F67DDB" w:rsidRPr="0070080E" w:rsidRDefault="0094076D">
      <w:pPr>
        <w:pStyle w:val="BodyText"/>
      </w:pPr>
      <w:r w:rsidRPr="0070080E">
        <w:t xml:space="preserve">Signature: </w:t>
      </w:r>
      <w:r w:rsidR="00CE08D4" w:rsidRPr="0070080E">
        <w:tab/>
      </w:r>
      <w:r w:rsidR="00CE08D4" w:rsidRPr="0070080E">
        <w:tab/>
      </w:r>
      <w:r w:rsidR="00CE08D4" w:rsidRPr="0070080E">
        <w:tab/>
      </w:r>
      <w:r w:rsidRPr="0070080E">
        <w:t>______________________________</w:t>
      </w:r>
    </w:p>
    <w:p w14:paraId="3CB0FE5F" w14:textId="14D092C6" w:rsidR="00F67DDB" w:rsidRPr="0070080E" w:rsidRDefault="0094076D">
      <w:pPr>
        <w:pStyle w:val="BodyText"/>
      </w:pPr>
      <w:r w:rsidRPr="0070080E">
        <w:t xml:space="preserve">Date: </w:t>
      </w:r>
      <w:r w:rsidR="00CE08D4" w:rsidRPr="0070080E">
        <w:tab/>
      </w:r>
      <w:r w:rsidR="00CE08D4" w:rsidRPr="0070080E">
        <w:tab/>
      </w:r>
      <w:r w:rsidR="00CE08D4" w:rsidRPr="0070080E">
        <w:tab/>
      </w:r>
      <w:r w:rsidR="00CE08D4" w:rsidRPr="0070080E">
        <w:tab/>
      </w:r>
      <w:r w:rsidRPr="0070080E">
        <w:t>______________________________</w:t>
      </w:r>
    </w:p>
    <w:p w14:paraId="3CB0FE60" w14:textId="77777777" w:rsidR="00F67DDB" w:rsidRPr="0070080E" w:rsidRDefault="0094076D">
      <w:pPr>
        <w:pStyle w:val="BodyText"/>
      </w:pPr>
      <w:r w:rsidRPr="0070080E">
        <w:t>Mentor certification: I, Dr. Stefano Canossa, confirm that this thesis meets the academic standards required for the Executive Master of Business Administration program at SBS Swiss Business School.</w:t>
      </w:r>
    </w:p>
    <w:p w14:paraId="3CB0FE61" w14:textId="2A3FF321" w:rsidR="00F67DDB" w:rsidRPr="0070080E" w:rsidRDefault="0094076D">
      <w:pPr>
        <w:pStyle w:val="BodyText"/>
      </w:pPr>
      <w:r w:rsidRPr="0070080E">
        <w:t xml:space="preserve">Mentor signature: </w:t>
      </w:r>
      <w:r w:rsidR="00CE08D4" w:rsidRPr="0070080E">
        <w:tab/>
      </w:r>
      <w:r w:rsidR="00CE08D4" w:rsidRPr="0070080E">
        <w:tab/>
      </w:r>
      <w:r w:rsidRPr="0070080E">
        <w:t>______________________________</w:t>
      </w:r>
    </w:p>
    <w:p w14:paraId="3CB0FE62" w14:textId="1D3ECA43" w:rsidR="00F67DDB" w:rsidRPr="0070080E" w:rsidRDefault="0094076D">
      <w:pPr>
        <w:pStyle w:val="BodyText"/>
      </w:pPr>
      <w:r w:rsidRPr="0070080E">
        <w:t xml:space="preserve">Date: </w:t>
      </w:r>
      <w:r w:rsidR="00CE08D4" w:rsidRPr="0070080E">
        <w:tab/>
      </w:r>
      <w:r w:rsidR="00CE08D4" w:rsidRPr="0070080E">
        <w:tab/>
      </w:r>
      <w:r w:rsidR="00CE08D4" w:rsidRPr="0070080E">
        <w:tab/>
      </w:r>
      <w:r w:rsidR="00CE08D4" w:rsidRPr="0070080E">
        <w:tab/>
      </w:r>
      <w:r w:rsidRPr="0070080E">
        <w:t>______________________________</w:t>
      </w:r>
    </w:p>
    <w:p w14:paraId="3CB0FE63" w14:textId="77777777" w:rsidR="00F67DDB" w:rsidRPr="0070080E" w:rsidRDefault="0094076D">
      <w:pPr>
        <w:pStyle w:val="Heading1"/>
      </w:pPr>
      <w:bookmarkStart w:id="2" w:name="_Toc231913420"/>
      <w:bookmarkStart w:id="3" w:name="foreword"/>
      <w:bookmarkEnd w:id="1"/>
      <w:r w:rsidRPr="0070080E">
        <w:lastRenderedPageBreak/>
        <w:t>Foreword</w:t>
      </w:r>
      <w:bookmarkEnd w:id="2"/>
    </w:p>
    <w:p w14:paraId="3CB0FE64" w14:textId="77777777" w:rsidR="00F67DDB" w:rsidRPr="0070080E" w:rsidRDefault="0094076D">
      <w:pPr>
        <w:pStyle w:val="FirstParagraph"/>
      </w:pPr>
      <w:r w:rsidRPr="0070080E">
        <w:t>This thesis asks whether behavioral bias in professional equity portfolio management can be measured, predicted, and ultimately moderated using a structured, quantitative indicator. The question emerged from direct professional experience in financial risk management, where a persistent gap separates the theoretical predictions of behavioral finance from the practical tools available to investment practitioners. Despite extensive evidence that investors make systematic decision errors under information overload and emotional pressure, the field has produced few operational instruments that identify such errors at the point of decision.</w:t>
      </w:r>
    </w:p>
    <w:p w14:paraId="3CB0FE65" w14:textId="068DD441" w:rsidR="00F67DDB" w:rsidRPr="0070080E" w:rsidRDefault="0094076D">
      <w:pPr>
        <w:pStyle w:val="BodyText"/>
      </w:pPr>
      <w:r w:rsidRPr="0070080E">
        <w:t>The Shock Score, developed and evaluated in this thesis, is an attempt to close that gap. It combines real-time market and news-sentiment signals into a single composite indicator of how intense an external information event is. The central and most robust result of the thesis is that this indicator predicts a systematic shift in managers’ risk decisions. A secondary question</w:t>
      </w:r>
      <w:r w:rsidR="000A66AA">
        <w:t>—</w:t>
      </w:r>
      <w:r w:rsidRPr="0070080E">
        <w:t>whether displaying the indicator to managers moderates that behavior</w:t>
      </w:r>
      <w:r w:rsidR="000A66AA">
        <w:t>—</w:t>
      </w:r>
      <w:r w:rsidRPr="0070080E">
        <w:t>did not produce a statistically significant effect in the present sample.</w:t>
      </w:r>
    </w:p>
    <w:p w14:paraId="0DC9C148" w14:textId="77777777" w:rsidR="00D8083D" w:rsidRPr="0070080E" w:rsidRDefault="0094076D">
      <w:pPr>
        <w:pStyle w:val="BodyText"/>
      </w:pPr>
      <w:r w:rsidRPr="0070080E">
        <w:t>The work draws on the behavioral finance literature, quantitative methods in financial economics, and applied survey design. Its primary contribution is to measure, predict, and decompose behavioral bias into interpretable components; it also offers a candidate decision-support tool and a research design for testing such tools in professional investment settings.</w:t>
      </w:r>
    </w:p>
    <w:p w14:paraId="5D13DAEE" w14:textId="77777777" w:rsidR="0080658E" w:rsidRPr="0070080E" w:rsidRDefault="00AF74C3" w:rsidP="0080658E">
      <w:pPr>
        <w:pStyle w:val="Heading1"/>
        <w:rPr>
          <w:noProof/>
        </w:rPr>
      </w:pPr>
      <w:bookmarkStart w:id="4" w:name="_Toc231913421"/>
      <w:r w:rsidRPr="0070080E">
        <w:lastRenderedPageBreak/>
        <w:t>Contents</w:t>
      </w:r>
      <w:bookmarkEnd w:id="4"/>
      <w:r w:rsidR="0080658E" w:rsidRPr="0070080E">
        <w:fldChar w:fldCharType="begin"/>
      </w:r>
      <w:r w:rsidR="0080658E" w:rsidRPr="0070080E">
        <w:instrText xml:space="preserve"> TOC \o "1-2" \h \z \u </w:instrText>
      </w:r>
      <w:r w:rsidR="0080658E" w:rsidRPr="0070080E">
        <w:fldChar w:fldCharType="separate"/>
      </w:r>
    </w:p>
    <w:p w14:paraId="143F9DF9" w14:textId="16E8DF58"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19" w:history="1">
        <w:r w:rsidR="0080658E" w:rsidRPr="0070080E">
          <w:rPr>
            <w:rStyle w:val="Hyperlink"/>
            <w:noProof/>
          </w:rPr>
          <w:t>Authentication of Work</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_Toc231913419 \h </w:instrText>
        </w:r>
        <w:r w:rsidR="0080658E" w:rsidRPr="0070080E">
          <w:rPr>
            <w:noProof/>
            <w:webHidden/>
          </w:rPr>
        </w:r>
        <w:r w:rsidR="0080658E" w:rsidRPr="0070080E">
          <w:rPr>
            <w:noProof/>
            <w:webHidden/>
          </w:rPr>
          <w:fldChar w:fldCharType="separate"/>
        </w:r>
        <w:r w:rsidR="00B932C3">
          <w:rPr>
            <w:noProof/>
            <w:webHidden/>
          </w:rPr>
          <w:t>2</w:t>
        </w:r>
        <w:r w:rsidR="0080658E" w:rsidRPr="0070080E">
          <w:rPr>
            <w:noProof/>
            <w:webHidden/>
          </w:rPr>
          <w:fldChar w:fldCharType="end"/>
        </w:r>
      </w:hyperlink>
    </w:p>
    <w:p w14:paraId="679C0CEE" w14:textId="3E669210"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0" w:history="1">
        <w:r w:rsidR="0080658E" w:rsidRPr="0070080E">
          <w:rPr>
            <w:rStyle w:val="Hyperlink"/>
            <w:noProof/>
          </w:rPr>
          <w:t>Foreword</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_Toc231913420 \h </w:instrText>
        </w:r>
        <w:r w:rsidR="0080658E" w:rsidRPr="0070080E">
          <w:rPr>
            <w:noProof/>
            <w:webHidden/>
          </w:rPr>
        </w:r>
        <w:r w:rsidR="0080658E" w:rsidRPr="0070080E">
          <w:rPr>
            <w:noProof/>
            <w:webHidden/>
          </w:rPr>
          <w:fldChar w:fldCharType="separate"/>
        </w:r>
        <w:r w:rsidR="00B932C3">
          <w:rPr>
            <w:noProof/>
            <w:webHidden/>
          </w:rPr>
          <w:t>3</w:t>
        </w:r>
        <w:r w:rsidR="0080658E" w:rsidRPr="0070080E">
          <w:rPr>
            <w:noProof/>
            <w:webHidden/>
          </w:rPr>
          <w:fldChar w:fldCharType="end"/>
        </w:r>
      </w:hyperlink>
    </w:p>
    <w:p w14:paraId="68A8FE7E" w14:textId="56B8DBBB"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1" w:history="1">
        <w:r w:rsidR="0080658E" w:rsidRPr="0070080E">
          <w:rPr>
            <w:rStyle w:val="Hyperlink"/>
            <w:noProof/>
          </w:rPr>
          <w:t>Contents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_Toc231913421 \h </w:instrText>
        </w:r>
        <w:r w:rsidR="0080658E" w:rsidRPr="0070080E">
          <w:rPr>
            <w:noProof/>
            <w:webHidden/>
          </w:rPr>
        </w:r>
        <w:r w:rsidR="0080658E" w:rsidRPr="0070080E">
          <w:rPr>
            <w:noProof/>
            <w:webHidden/>
          </w:rPr>
          <w:fldChar w:fldCharType="separate"/>
        </w:r>
        <w:r w:rsidR="00B932C3">
          <w:rPr>
            <w:noProof/>
            <w:webHidden/>
          </w:rPr>
          <w:t>4</w:t>
        </w:r>
        <w:r w:rsidR="0080658E" w:rsidRPr="0070080E">
          <w:rPr>
            <w:noProof/>
            <w:webHidden/>
          </w:rPr>
          <w:fldChar w:fldCharType="end"/>
        </w:r>
      </w:hyperlink>
    </w:p>
    <w:p w14:paraId="36382787" w14:textId="01496416"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2" w:history="1">
        <w:r w:rsidR="0080658E" w:rsidRPr="0070080E">
          <w:rPr>
            <w:rStyle w:val="Hyperlink"/>
            <w:noProof/>
          </w:rPr>
          <w:t>List of Tables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_Toc231913422 \h </w:instrText>
        </w:r>
        <w:r w:rsidR="0080658E" w:rsidRPr="0070080E">
          <w:rPr>
            <w:noProof/>
            <w:webHidden/>
          </w:rPr>
        </w:r>
        <w:r w:rsidR="0080658E" w:rsidRPr="0070080E">
          <w:rPr>
            <w:noProof/>
            <w:webHidden/>
          </w:rPr>
          <w:fldChar w:fldCharType="separate"/>
        </w:r>
        <w:r w:rsidR="00B932C3">
          <w:rPr>
            <w:noProof/>
            <w:webHidden/>
          </w:rPr>
          <w:t>8</w:t>
        </w:r>
        <w:r w:rsidR="0080658E" w:rsidRPr="0070080E">
          <w:rPr>
            <w:noProof/>
            <w:webHidden/>
          </w:rPr>
          <w:fldChar w:fldCharType="end"/>
        </w:r>
      </w:hyperlink>
    </w:p>
    <w:p w14:paraId="23513445" w14:textId="1DCBADCE"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3" w:history="1">
        <w:r w:rsidR="0080658E" w:rsidRPr="0070080E">
          <w:rPr>
            <w:rStyle w:val="Hyperlink"/>
            <w:noProof/>
          </w:rPr>
          <w:t>List of Figures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_Toc231913423 \h </w:instrText>
        </w:r>
        <w:r w:rsidR="0080658E" w:rsidRPr="0070080E">
          <w:rPr>
            <w:noProof/>
            <w:webHidden/>
          </w:rPr>
        </w:r>
        <w:r w:rsidR="0080658E" w:rsidRPr="0070080E">
          <w:rPr>
            <w:noProof/>
            <w:webHidden/>
          </w:rPr>
          <w:fldChar w:fldCharType="separate"/>
        </w:r>
        <w:r w:rsidR="00B932C3">
          <w:rPr>
            <w:noProof/>
            <w:webHidden/>
          </w:rPr>
          <w:t>9</w:t>
        </w:r>
        <w:r w:rsidR="0080658E" w:rsidRPr="0070080E">
          <w:rPr>
            <w:noProof/>
            <w:webHidden/>
          </w:rPr>
          <w:fldChar w:fldCharType="end"/>
        </w:r>
      </w:hyperlink>
    </w:p>
    <w:p w14:paraId="7D4F06D1" w14:textId="47C3F32A"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4" w:history="1">
        <w:r w:rsidR="0080658E" w:rsidRPr="0070080E">
          <w:rPr>
            <w:rStyle w:val="Hyperlink"/>
            <w:noProof/>
          </w:rPr>
          <w:t>List of Abbreviations and Acronyms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_Toc231913424 \h </w:instrText>
        </w:r>
        <w:r w:rsidR="0080658E" w:rsidRPr="0070080E">
          <w:rPr>
            <w:noProof/>
            <w:webHidden/>
          </w:rPr>
        </w:r>
        <w:r w:rsidR="0080658E" w:rsidRPr="0070080E">
          <w:rPr>
            <w:noProof/>
            <w:webHidden/>
          </w:rPr>
          <w:fldChar w:fldCharType="separate"/>
        </w:r>
        <w:r w:rsidR="00B932C3">
          <w:rPr>
            <w:noProof/>
            <w:webHidden/>
          </w:rPr>
          <w:t>10</w:t>
        </w:r>
        <w:r w:rsidR="0080658E" w:rsidRPr="0070080E">
          <w:rPr>
            <w:noProof/>
            <w:webHidden/>
          </w:rPr>
          <w:fldChar w:fldCharType="end"/>
        </w:r>
      </w:hyperlink>
    </w:p>
    <w:p w14:paraId="5BC57244" w14:textId="1BA3ABA6"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5" w:history="1">
        <w:r w:rsidR="0080658E" w:rsidRPr="0070080E">
          <w:rPr>
            <w:rStyle w:val="Hyperlink"/>
            <w:noProof/>
          </w:rPr>
          <w:t>Executive Summary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_Toc231913425 \h </w:instrText>
        </w:r>
        <w:r w:rsidR="0080658E" w:rsidRPr="0070080E">
          <w:rPr>
            <w:noProof/>
            <w:webHidden/>
          </w:rPr>
        </w:r>
        <w:r w:rsidR="0080658E" w:rsidRPr="0070080E">
          <w:rPr>
            <w:noProof/>
            <w:webHidden/>
          </w:rPr>
          <w:fldChar w:fldCharType="separate"/>
        </w:r>
        <w:r w:rsidR="00B932C3">
          <w:rPr>
            <w:noProof/>
            <w:webHidden/>
          </w:rPr>
          <w:t>11</w:t>
        </w:r>
        <w:r w:rsidR="0080658E" w:rsidRPr="0070080E">
          <w:rPr>
            <w:noProof/>
            <w:webHidden/>
          </w:rPr>
          <w:fldChar w:fldCharType="end"/>
        </w:r>
      </w:hyperlink>
    </w:p>
    <w:p w14:paraId="40BD7BBC" w14:textId="2C321400"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26" w:history="1">
        <w:r w:rsidR="0080658E" w:rsidRPr="0070080E">
          <w:rPr>
            <w:rStyle w:val="Hyperlink"/>
            <w:noProof/>
          </w:rPr>
          <w:t>Chapter 1. Introduction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_Toc231913426 \h </w:instrText>
        </w:r>
        <w:r w:rsidR="0080658E" w:rsidRPr="0070080E">
          <w:rPr>
            <w:noProof/>
            <w:webHidden/>
          </w:rPr>
        </w:r>
        <w:r w:rsidR="0080658E" w:rsidRPr="0070080E">
          <w:rPr>
            <w:noProof/>
            <w:webHidden/>
          </w:rPr>
          <w:fldChar w:fldCharType="separate"/>
        </w:r>
        <w:r w:rsidR="00B932C3">
          <w:rPr>
            <w:noProof/>
            <w:webHidden/>
          </w:rPr>
          <w:t>13</w:t>
        </w:r>
        <w:r w:rsidR="0080658E" w:rsidRPr="0070080E">
          <w:rPr>
            <w:noProof/>
            <w:webHidden/>
          </w:rPr>
          <w:fldChar w:fldCharType="end"/>
        </w:r>
      </w:hyperlink>
    </w:p>
    <w:p w14:paraId="4040BDC1" w14:textId="6A274C32"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27" w:history="1">
        <w:r w:rsidR="0080658E" w:rsidRPr="0070080E">
          <w:rPr>
            <w:rStyle w:val="Hyperlink"/>
            <w:noProof/>
          </w:rPr>
          <w:t>1.1 Background of the Problem</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_Toc231913427 \h </w:instrText>
        </w:r>
        <w:r w:rsidR="0080658E" w:rsidRPr="0070080E">
          <w:rPr>
            <w:noProof/>
            <w:webHidden/>
          </w:rPr>
        </w:r>
        <w:r w:rsidR="0080658E" w:rsidRPr="0070080E">
          <w:rPr>
            <w:noProof/>
            <w:webHidden/>
          </w:rPr>
          <w:fldChar w:fldCharType="separate"/>
        </w:r>
        <w:r w:rsidR="00B932C3">
          <w:rPr>
            <w:noProof/>
            <w:webHidden/>
          </w:rPr>
          <w:t>13</w:t>
        </w:r>
        <w:r w:rsidR="0080658E" w:rsidRPr="0070080E">
          <w:rPr>
            <w:noProof/>
            <w:webHidden/>
          </w:rPr>
          <w:fldChar w:fldCharType="end"/>
        </w:r>
      </w:hyperlink>
    </w:p>
    <w:p w14:paraId="0EBC6284" w14:textId="0A65AEC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28" w:history="1">
        <w:r w:rsidR="0080658E" w:rsidRPr="0070080E">
          <w:rPr>
            <w:rStyle w:val="Hyperlink"/>
            <w:noProof/>
          </w:rPr>
          <w:t>1.2 Background of the Study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_Toc231913428 \h </w:instrText>
        </w:r>
        <w:r w:rsidR="0080658E" w:rsidRPr="0070080E">
          <w:rPr>
            <w:noProof/>
            <w:webHidden/>
          </w:rPr>
        </w:r>
        <w:r w:rsidR="0080658E" w:rsidRPr="0070080E">
          <w:rPr>
            <w:noProof/>
            <w:webHidden/>
          </w:rPr>
          <w:fldChar w:fldCharType="separate"/>
        </w:r>
        <w:r w:rsidR="00B932C3">
          <w:rPr>
            <w:noProof/>
            <w:webHidden/>
          </w:rPr>
          <w:t>16</w:t>
        </w:r>
        <w:r w:rsidR="0080658E" w:rsidRPr="0070080E">
          <w:rPr>
            <w:noProof/>
            <w:webHidden/>
          </w:rPr>
          <w:fldChar w:fldCharType="end"/>
        </w:r>
      </w:hyperlink>
    </w:p>
    <w:p w14:paraId="6C1C2DC7" w14:textId="53257A17"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29" w:history="1">
        <w:r w:rsidR="0080658E" w:rsidRPr="0070080E">
          <w:rPr>
            <w:rStyle w:val="Hyperlink"/>
            <w:noProof/>
          </w:rPr>
          <w:t>1.3 Purpose of the Study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_Toc231913429 \h </w:instrText>
        </w:r>
        <w:r w:rsidR="0080658E" w:rsidRPr="0070080E">
          <w:rPr>
            <w:noProof/>
            <w:webHidden/>
          </w:rPr>
        </w:r>
        <w:r w:rsidR="0080658E" w:rsidRPr="0070080E">
          <w:rPr>
            <w:noProof/>
            <w:webHidden/>
          </w:rPr>
          <w:fldChar w:fldCharType="separate"/>
        </w:r>
        <w:r w:rsidR="00B932C3">
          <w:rPr>
            <w:noProof/>
            <w:webHidden/>
          </w:rPr>
          <w:t>19</w:t>
        </w:r>
        <w:r w:rsidR="0080658E" w:rsidRPr="0070080E">
          <w:rPr>
            <w:noProof/>
            <w:webHidden/>
          </w:rPr>
          <w:fldChar w:fldCharType="end"/>
        </w:r>
      </w:hyperlink>
    </w:p>
    <w:p w14:paraId="1015249B" w14:textId="541FFD5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0" w:history="1">
        <w:r w:rsidR="0080658E" w:rsidRPr="0070080E">
          <w:rPr>
            <w:rStyle w:val="Hyperlink"/>
            <w:noProof/>
          </w:rPr>
          <w:t>1.4 Significance of the Study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_Toc231913430 \h </w:instrText>
        </w:r>
        <w:r w:rsidR="0080658E" w:rsidRPr="0070080E">
          <w:rPr>
            <w:noProof/>
            <w:webHidden/>
          </w:rPr>
        </w:r>
        <w:r w:rsidR="0080658E" w:rsidRPr="0070080E">
          <w:rPr>
            <w:noProof/>
            <w:webHidden/>
          </w:rPr>
          <w:fldChar w:fldCharType="separate"/>
        </w:r>
        <w:r w:rsidR="00B932C3">
          <w:rPr>
            <w:noProof/>
            <w:webHidden/>
          </w:rPr>
          <w:t>21</w:t>
        </w:r>
        <w:r w:rsidR="0080658E" w:rsidRPr="0070080E">
          <w:rPr>
            <w:noProof/>
            <w:webHidden/>
          </w:rPr>
          <w:fldChar w:fldCharType="end"/>
        </w:r>
      </w:hyperlink>
    </w:p>
    <w:p w14:paraId="162A04C9" w14:textId="34A036D1"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1" w:history="1">
        <w:r w:rsidR="0080658E" w:rsidRPr="0070080E">
          <w:rPr>
            <w:rStyle w:val="Hyperlink"/>
            <w:noProof/>
          </w:rPr>
          <w:t>1.5 Scope and Delimitations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_Toc231913431 \h </w:instrText>
        </w:r>
        <w:r w:rsidR="0080658E" w:rsidRPr="0070080E">
          <w:rPr>
            <w:noProof/>
            <w:webHidden/>
          </w:rPr>
        </w:r>
        <w:r w:rsidR="0080658E" w:rsidRPr="0070080E">
          <w:rPr>
            <w:noProof/>
            <w:webHidden/>
          </w:rPr>
          <w:fldChar w:fldCharType="separate"/>
        </w:r>
        <w:r w:rsidR="00B932C3">
          <w:rPr>
            <w:noProof/>
            <w:webHidden/>
          </w:rPr>
          <w:t>23</w:t>
        </w:r>
        <w:r w:rsidR="0080658E" w:rsidRPr="0070080E">
          <w:rPr>
            <w:noProof/>
            <w:webHidden/>
          </w:rPr>
          <w:fldChar w:fldCharType="end"/>
        </w:r>
      </w:hyperlink>
    </w:p>
    <w:p w14:paraId="65064884" w14:textId="6C00F8B8"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2" w:history="1">
        <w:r w:rsidR="0080658E" w:rsidRPr="0070080E">
          <w:rPr>
            <w:rStyle w:val="Hyperlink"/>
            <w:noProof/>
          </w:rPr>
          <w:t>1.6 Structure of the Thesis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_Toc231913432 \h </w:instrText>
        </w:r>
        <w:r w:rsidR="0080658E" w:rsidRPr="0070080E">
          <w:rPr>
            <w:noProof/>
            <w:webHidden/>
          </w:rPr>
        </w:r>
        <w:r w:rsidR="0080658E" w:rsidRPr="0070080E">
          <w:rPr>
            <w:noProof/>
            <w:webHidden/>
          </w:rPr>
          <w:fldChar w:fldCharType="separate"/>
        </w:r>
        <w:r w:rsidR="00B932C3">
          <w:rPr>
            <w:noProof/>
            <w:webHidden/>
          </w:rPr>
          <w:t>26</w:t>
        </w:r>
        <w:r w:rsidR="0080658E" w:rsidRPr="0070080E">
          <w:rPr>
            <w:noProof/>
            <w:webHidden/>
          </w:rPr>
          <w:fldChar w:fldCharType="end"/>
        </w:r>
      </w:hyperlink>
    </w:p>
    <w:p w14:paraId="3D18E451" w14:textId="06BE7396"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33" w:history="1">
        <w:r w:rsidR="0080658E" w:rsidRPr="0070080E">
          <w:rPr>
            <w:rStyle w:val="Hyperlink"/>
            <w:noProof/>
          </w:rPr>
          <w:t>Chapter 2. Objectives of the Study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_Toc231913433 \h </w:instrText>
        </w:r>
        <w:r w:rsidR="0080658E" w:rsidRPr="0070080E">
          <w:rPr>
            <w:noProof/>
            <w:webHidden/>
          </w:rPr>
        </w:r>
        <w:r w:rsidR="0080658E" w:rsidRPr="0070080E">
          <w:rPr>
            <w:noProof/>
            <w:webHidden/>
          </w:rPr>
          <w:fldChar w:fldCharType="separate"/>
        </w:r>
        <w:r w:rsidR="00B932C3">
          <w:rPr>
            <w:noProof/>
            <w:webHidden/>
          </w:rPr>
          <w:t>27</w:t>
        </w:r>
        <w:r w:rsidR="0080658E" w:rsidRPr="0070080E">
          <w:rPr>
            <w:noProof/>
            <w:webHidden/>
          </w:rPr>
          <w:fldChar w:fldCharType="end"/>
        </w:r>
      </w:hyperlink>
    </w:p>
    <w:p w14:paraId="7EFBD4A2" w14:textId="61FCEC70"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4" w:history="1">
        <w:r w:rsidR="0080658E" w:rsidRPr="0070080E">
          <w:rPr>
            <w:rStyle w:val="Hyperlink"/>
            <w:noProof/>
          </w:rPr>
          <w:t>2.1 Chapter Introduction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_Toc231913434 \h </w:instrText>
        </w:r>
        <w:r w:rsidR="0080658E" w:rsidRPr="0070080E">
          <w:rPr>
            <w:noProof/>
            <w:webHidden/>
          </w:rPr>
        </w:r>
        <w:r w:rsidR="0080658E" w:rsidRPr="0070080E">
          <w:rPr>
            <w:noProof/>
            <w:webHidden/>
          </w:rPr>
          <w:fldChar w:fldCharType="separate"/>
        </w:r>
        <w:r w:rsidR="00B932C3">
          <w:rPr>
            <w:noProof/>
            <w:webHidden/>
          </w:rPr>
          <w:t>27</w:t>
        </w:r>
        <w:r w:rsidR="0080658E" w:rsidRPr="0070080E">
          <w:rPr>
            <w:noProof/>
            <w:webHidden/>
          </w:rPr>
          <w:fldChar w:fldCharType="end"/>
        </w:r>
      </w:hyperlink>
    </w:p>
    <w:p w14:paraId="1E19498F" w14:textId="1BB91093"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5" w:history="1">
        <w:r w:rsidR="0080658E" w:rsidRPr="0070080E">
          <w:rPr>
            <w:rStyle w:val="Hyperlink"/>
            <w:noProof/>
          </w:rPr>
          <w:t>2.2 Problem Statement</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_Toc231913435 \h </w:instrText>
        </w:r>
        <w:r w:rsidR="0080658E" w:rsidRPr="0070080E">
          <w:rPr>
            <w:noProof/>
            <w:webHidden/>
          </w:rPr>
        </w:r>
        <w:r w:rsidR="0080658E" w:rsidRPr="0070080E">
          <w:rPr>
            <w:noProof/>
            <w:webHidden/>
          </w:rPr>
          <w:fldChar w:fldCharType="separate"/>
        </w:r>
        <w:r w:rsidR="00B932C3">
          <w:rPr>
            <w:noProof/>
            <w:webHidden/>
          </w:rPr>
          <w:t>27</w:t>
        </w:r>
        <w:r w:rsidR="0080658E" w:rsidRPr="0070080E">
          <w:rPr>
            <w:noProof/>
            <w:webHidden/>
          </w:rPr>
          <w:fldChar w:fldCharType="end"/>
        </w:r>
      </w:hyperlink>
    </w:p>
    <w:p w14:paraId="4B27AC6B" w14:textId="772341C4"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6" w:history="1">
        <w:r w:rsidR="0080658E" w:rsidRPr="0070080E">
          <w:rPr>
            <w:rStyle w:val="Hyperlink"/>
            <w:noProof/>
          </w:rPr>
          <w:t>2.3 Objectives of the Study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_Toc231913436 \h </w:instrText>
        </w:r>
        <w:r w:rsidR="0080658E" w:rsidRPr="0070080E">
          <w:rPr>
            <w:noProof/>
            <w:webHidden/>
          </w:rPr>
        </w:r>
        <w:r w:rsidR="0080658E" w:rsidRPr="0070080E">
          <w:rPr>
            <w:noProof/>
            <w:webHidden/>
          </w:rPr>
          <w:fldChar w:fldCharType="separate"/>
        </w:r>
        <w:r w:rsidR="00B932C3">
          <w:rPr>
            <w:noProof/>
            <w:webHidden/>
          </w:rPr>
          <w:t>31</w:t>
        </w:r>
        <w:r w:rsidR="0080658E" w:rsidRPr="0070080E">
          <w:rPr>
            <w:noProof/>
            <w:webHidden/>
          </w:rPr>
          <w:fldChar w:fldCharType="end"/>
        </w:r>
      </w:hyperlink>
    </w:p>
    <w:p w14:paraId="4C0E6AEC" w14:textId="50D09B5C"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7" w:history="1">
        <w:r w:rsidR="0080658E" w:rsidRPr="0070080E">
          <w:rPr>
            <w:rStyle w:val="Hyperlink"/>
            <w:noProof/>
          </w:rPr>
          <w:t>2.4 Research Questions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_Toc231913437 \h </w:instrText>
        </w:r>
        <w:r w:rsidR="0080658E" w:rsidRPr="0070080E">
          <w:rPr>
            <w:noProof/>
            <w:webHidden/>
          </w:rPr>
        </w:r>
        <w:r w:rsidR="0080658E" w:rsidRPr="0070080E">
          <w:rPr>
            <w:noProof/>
            <w:webHidden/>
          </w:rPr>
          <w:fldChar w:fldCharType="separate"/>
        </w:r>
        <w:r w:rsidR="00B932C3">
          <w:rPr>
            <w:noProof/>
            <w:webHidden/>
          </w:rPr>
          <w:t>34</w:t>
        </w:r>
        <w:r w:rsidR="0080658E" w:rsidRPr="0070080E">
          <w:rPr>
            <w:noProof/>
            <w:webHidden/>
          </w:rPr>
          <w:fldChar w:fldCharType="end"/>
        </w:r>
      </w:hyperlink>
    </w:p>
    <w:p w14:paraId="6028C8B5" w14:textId="04A75513"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8" w:history="1">
        <w:r w:rsidR="0080658E" w:rsidRPr="0070080E">
          <w:rPr>
            <w:rStyle w:val="Hyperlink"/>
            <w:noProof/>
          </w:rPr>
          <w:t>2.5 Hypothesis Statement</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_Toc231913438 \h </w:instrText>
        </w:r>
        <w:r w:rsidR="0080658E" w:rsidRPr="0070080E">
          <w:rPr>
            <w:noProof/>
            <w:webHidden/>
          </w:rPr>
        </w:r>
        <w:r w:rsidR="0080658E" w:rsidRPr="0070080E">
          <w:rPr>
            <w:noProof/>
            <w:webHidden/>
          </w:rPr>
          <w:fldChar w:fldCharType="separate"/>
        </w:r>
        <w:r w:rsidR="00B932C3">
          <w:rPr>
            <w:noProof/>
            <w:webHidden/>
          </w:rPr>
          <w:t>34</w:t>
        </w:r>
        <w:r w:rsidR="0080658E" w:rsidRPr="0070080E">
          <w:rPr>
            <w:noProof/>
            <w:webHidden/>
          </w:rPr>
          <w:fldChar w:fldCharType="end"/>
        </w:r>
      </w:hyperlink>
    </w:p>
    <w:p w14:paraId="17A8B3F4" w14:textId="5A333957"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39" w:history="1">
        <w:r w:rsidR="0080658E" w:rsidRPr="0070080E">
          <w:rPr>
            <w:rStyle w:val="Hyperlink"/>
            <w:noProof/>
          </w:rPr>
          <w:t>2.6 Definitions of Key Terms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_Toc231913439 \h </w:instrText>
        </w:r>
        <w:r w:rsidR="0080658E" w:rsidRPr="0070080E">
          <w:rPr>
            <w:noProof/>
            <w:webHidden/>
          </w:rPr>
        </w:r>
        <w:r w:rsidR="0080658E" w:rsidRPr="0070080E">
          <w:rPr>
            <w:noProof/>
            <w:webHidden/>
          </w:rPr>
          <w:fldChar w:fldCharType="separate"/>
        </w:r>
        <w:r w:rsidR="00B932C3">
          <w:rPr>
            <w:noProof/>
            <w:webHidden/>
          </w:rPr>
          <w:t>36</w:t>
        </w:r>
        <w:r w:rsidR="0080658E" w:rsidRPr="0070080E">
          <w:rPr>
            <w:noProof/>
            <w:webHidden/>
          </w:rPr>
          <w:fldChar w:fldCharType="end"/>
        </w:r>
      </w:hyperlink>
    </w:p>
    <w:p w14:paraId="3E0C5635" w14:textId="7863FDFA"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0" w:history="1">
        <w:r w:rsidR="0080658E" w:rsidRPr="0070080E">
          <w:rPr>
            <w:rStyle w:val="Hyperlink"/>
            <w:noProof/>
          </w:rPr>
          <w:t>2.7 Assumptions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_Toc231913440 \h </w:instrText>
        </w:r>
        <w:r w:rsidR="0080658E" w:rsidRPr="0070080E">
          <w:rPr>
            <w:noProof/>
            <w:webHidden/>
          </w:rPr>
        </w:r>
        <w:r w:rsidR="0080658E" w:rsidRPr="0070080E">
          <w:rPr>
            <w:noProof/>
            <w:webHidden/>
          </w:rPr>
          <w:fldChar w:fldCharType="separate"/>
        </w:r>
        <w:r w:rsidR="00B932C3">
          <w:rPr>
            <w:noProof/>
            <w:webHidden/>
          </w:rPr>
          <w:t>38</w:t>
        </w:r>
        <w:r w:rsidR="0080658E" w:rsidRPr="0070080E">
          <w:rPr>
            <w:noProof/>
            <w:webHidden/>
          </w:rPr>
          <w:fldChar w:fldCharType="end"/>
        </w:r>
      </w:hyperlink>
    </w:p>
    <w:p w14:paraId="7A53FC6D" w14:textId="126C398E"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1" w:history="1">
        <w:r w:rsidR="0080658E" w:rsidRPr="0070080E">
          <w:rPr>
            <w:rStyle w:val="Hyperlink"/>
            <w:noProof/>
          </w:rPr>
          <w:t>2.8 Limitations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_Toc231913441 \h </w:instrText>
        </w:r>
        <w:r w:rsidR="0080658E" w:rsidRPr="0070080E">
          <w:rPr>
            <w:noProof/>
            <w:webHidden/>
          </w:rPr>
        </w:r>
        <w:r w:rsidR="0080658E" w:rsidRPr="0070080E">
          <w:rPr>
            <w:noProof/>
            <w:webHidden/>
          </w:rPr>
          <w:fldChar w:fldCharType="separate"/>
        </w:r>
        <w:r w:rsidR="00B932C3">
          <w:rPr>
            <w:noProof/>
            <w:webHidden/>
          </w:rPr>
          <w:t>38</w:t>
        </w:r>
        <w:r w:rsidR="0080658E" w:rsidRPr="0070080E">
          <w:rPr>
            <w:noProof/>
            <w:webHidden/>
          </w:rPr>
          <w:fldChar w:fldCharType="end"/>
        </w:r>
      </w:hyperlink>
    </w:p>
    <w:p w14:paraId="0307E540" w14:textId="6649C0E3"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2" w:history="1">
        <w:r w:rsidR="0080658E" w:rsidRPr="0070080E">
          <w:rPr>
            <w:rStyle w:val="Hyperlink"/>
            <w:noProof/>
          </w:rPr>
          <w:t>2.9 Chapter Conclusion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_Toc231913442 \h </w:instrText>
        </w:r>
        <w:r w:rsidR="0080658E" w:rsidRPr="0070080E">
          <w:rPr>
            <w:noProof/>
            <w:webHidden/>
          </w:rPr>
        </w:r>
        <w:r w:rsidR="0080658E" w:rsidRPr="0070080E">
          <w:rPr>
            <w:noProof/>
            <w:webHidden/>
          </w:rPr>
          <w:fldChar w:fldCharType="separate"/>
        </w:r>
        <w:r w:rsidR="00B932C3">
          <w:rPr>
            <w:noProof/>
            <w:webHidden/>
          </w:rPr>
          <w:t>41</w:t>
        </w:r>
        <w:r w:rsidR="0080658E" w:rsidRPr="0070080E">
          <w:rPr>
            <w:noProof/>
            <w:webHidden/>
          </w:rPr>
          <w:fldChar w:fldCharType="end"/>
        </w:r>
      </w:hyperlink>
    </w:p>
    <w:p w14:paraId="60F28145" w14:textId="75A92640"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43" w:history="1">
        <w:r w:rsidR="0080658E" w:rsidRPr="0070080E">
          <w:rPr>
            <w:rStyle w:val="Hyperlink"/>
            <w:noProof/>
          </w:rPr>
          <w:t>Chapter 3. Literature Review</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_Toc231913443 \h </w:instrText>
        </w:r>
        <w:r w:rsidR="0080658E" w:rsidRPr="0070080E">
          <w:rPr>
            <w:noProof/>
            <w:webHidden/>
          </w:rPr>
        </w:r>
        <w:r w:rsidR="0080658E" w:rsidRPr="0070080E">
          <w:rPr>
            <w:noProof/>
            <w:webHidden/>
          </w:rPr>
          <w:fldChar w:fldCharType="separate"/>
        </w:r>
        <w:r w:rsidR="00B932C3">
          <w:rPr>
            <w:noProof/>
            <w:webHidden/>
          </w:rPr>
          <w:t>42</w:t>
        </w:r>
        <w:r w:rsidR="0080658E" w:rsidRPr="0070080E">
          <w:rPr>
            <w:noProof/>
            <w:webHidden/>
          </w:rPr>
          <w:fldChar w:fldCharType="end"/>
        </w:r>
      </w:hyperlink>
    </w:p>
    <w:p w14:paraId="525616AC" w14:textId="69520831"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4" w:history="1">
        <w:r w:rsidR="0080658E" w:rsidRPr="0070080E">
          <w:rPr>
            <w:rStyle w:val="Hyperlink"/>
            <w:noProof/>
          </w:rPr>
          <w:t>3.1 Link Between Literature and Research Hypotheses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_Toc231913444 \h </w:instrText>
        </w:r>
        <w:r w:rsidR="0080658E" w:rsidRPr="0070080E">
          <w:rPr>
            <w:noProof/>
            <w:webHidden/>
          </w:rPr>
        </w:r>
        <w:r w:rsidR="0080658E" w:rsidRPr="0070080E">
          <w:rPr>
            <w:noProof/>
            <w:webHidden/>
          </w:rPr>
          <w:fldChar w:fldCharType="separate"/>
        </w:r>
        <w:r w:rsidR="00B932C3">
          <w:rPr>
            <w:noProof/>
            <w:webHidden/>
          </w:rPr>
          <w:t>42</w:t>
        </w:r>
        <w:r w:rsidR="0080658E" w:rsidRPr="0070080E">
          <w:rPr>
            <w:noProof/>
            <w:webHidden/>
          </w:rPr>
          <w:fldChar w:fldCharType="end"/>
        </w:r>
      </w:hyperlink>
    </w:p>
    <w:p w14:paraId="4BB0B6D3" w14:textId="300AB573"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5" w:history="1">
        <w:r w:rsidR="0080658E" w:rsidRPr="0070080E">
          <w:rPr>
            <w:rStyle w:val="Hyperlink"/>
            <w:noProof/>
          </w:rPr>
          <w:t>3.2 Behavioral Biases in Investment Decision-Making</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_Toc231913445 \h </w:instrText>
        </w:r>
        <w:r w:rsidR="0080658E" w:rsidRPr="0070080E">
          <w:rPr>
            <w:noProof/>
            <w:webHidden/>
          </w:rPr>
        </w:r>
        <w:r w:rsidR="0080658E" w:rsidRPr="0070080E">
          <w:rPr>
            <w:noProof/>
            <w:webHidden/>
          </w:rPr>
          <w:fldChar w:fldCharType="separate"/>
        </w:r>
        <w:r w:rsidR="00B932C3">
          <w:rPr>
            <w:noProof/>
            <w:webHidden/>
          </w:rPr>
          <w:t>44</w:t>
        </w:r>
        <w:r w:rsidR="0080658E" w:rsidRPr="0070080E">
          <w:rPr>
            <w:noProof/>
            <w:webHidden/>
          </w:rPr>
          <w:fldChar w:fldCharType="end"/>
        </w:r>
      </w:hyperlink>
    </w:p>
    <w:p w14:paraId="55629D89" w14:textId="164D87AE"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6" w:history="1">
        <w:r w:rsidR="0080658E" w:rsidRPr="0070080E">
          <w:rPr>
            <w:rStyle w:val="Hyperlink"/>
            <w:noProof/>
          </w:rPr>
          <w:t>3.3 Managerial Decision-Making Under Uncertainty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_Toc231913446 \h </w:instrText>
        </w:r>
        <w:r w:rsidR="0080658E" w:rsidRPr="0070080E">
          <w:rPr>
            <w:noProof/>
            <w:webHidden/>
          </w:rPr>
        </w:r>
        <w:r w:rsidR="0080658E" w:rsidRPr="0070080E">
          <w:rPr>
            <w:noProof/>
            <w:webHidden/>
          </w:rPr>
          <w:fldChar w:fldCharType="separate"/>
        </w:r>
        <w:r w:rsidR="00B932C3">
          <w:rPr>
            <w:noProof/>
            <w:webHidden/>
          </w:rPr>
          <w:t>51</w:t>
        </w:r>
        <w:r w:rsidR="0080658E" w:rsidRPr="0070080E">
          <w:rPr>
            <w:noProof/>
            <w:webHidden/>
          </w:rPr>
          <w:fldChar w:fldCharType="end"/>
        </w:r>
      </w:hyperlink>
    </w:p>
    <w:p w14:paraId="4342654A" w14:textId="31002C0F"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7" w:history="1">
        <w:r w:rsidR="0080658E" w:rsidRPr="0070080E">
          <w:rPr>
            <w:rStyle w:val="Hyperlink"/>
            <w:noProof/>
          </w:rPr>
          <w:t>3.4 Tools to Mitigate Emotional and Behavioral Bias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_Toc231913447 \h </w:instrText>
        </w:r>
        <w:r w:rsidR="0080658E" w:rsidRPr="0070080E">
          <w:rPr>
            <w:noProof/>
            <w:webHidden/>
          </w:rPr>
        </w:r>
        <w:r w:rsidR="0080658E" w:rsidRPr="0070080E">
          <w:rPr>
            <w:noProof/>
            <w:webHidden/>
          </w:rPr>
          <w:fldChar w:fldCharType="separate"/>
        </w:r>
        <w:r w:rsidR="00B932C3">
          <w:rPr>
            <w:noProof/>
            <w:webHidden/>
          </w:rPr>
          <w:t>55</w:t>
        </w:r>
        <w:r w:rsidR="0080658E" w:rsidRPr="0070080E">
          <w:rPr>
            <w:noProof/>
            <w:webHidden/>
          </w:rPr>
          <w:fldChar w:fldCharType="end"/>
        </w:r>
      </w:hyperlink>
    </w:p>
    <w:p w14:paraId="65349D86" w14:textId="1BD43EF4"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8" w:history="1">
        <w:r w:rsidR="0080658E" w:rsidRPr="0070080E">
          <w:rPr>
            <w:rStyle w:val="Hyperlink"/>
            <w:noProof/>
          </w:rPr>
          <w:t>3.5 Implications for Portfolio Management</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_Toc231913448 \h </w:instrText>
        </w:r>
        <w:r w:rsidR="0080658E" w:rsidRPr="0070080E">
          <w:rPr>
            <w:noProof/>
            <w:webHidden/>
          </w:rPr>
        </w:r>
        <w:r w:rsidR="0080658E" w:rsidRPr="0070080E">
          <w:rPr>
            <w:noProof/>
            <w:webHidden/>
          </w:rPr>
          <w:fldChar w:fldCharType="separate"/>
        </w:r>
        <w:r w:rsidR="00B932C3">
          <w:rPr>
            <w:noProof/>
            <w:webHidden/>
          </w:rPr>
          <w:t>58</w:t>
        </w:r>
        <w:r w:rsidR="0080658E" w:rsidRPr="0070080E">
          <w:rPr>
            <w:noProof/>
            <w:webHidden/>
          </w:rPr>
          <w:fldChar w:fldCharType="end"/>
        </w:r>
      </w:hyperlink>
    </w:p>
    <w:p w14:paraId="2E8C0F1F" w14:textId="1A8226AD"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49" w:history="1">
        <w:r w:rsidR="0080658E" w:rsidRPr="0070080E">
          <w:rPr>
            <w:rStyle w:val="Hyperlink"/>
            <w:noProof/>
          </w:rPr>
          <w:t>3.6 Limitations in Behavioral Finance Research</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_Toc231913449 \h </w:instrText>
        </w:r>
        <w:r w:rsidR="0080658E" w:rsidRPr="0070080E">
          <w:rPr>
            <w:noProof/>
            <w:webHidden/>
          </w:rPr>
        </w:r>
        <w:r w:rsidR="0080658E" w:rsidRPr="0070080E">
          <w:rPr>
            <w:noProof/>
            <w:webHidden/>
          </w:rPr>
          <w:fldChar w:fldCharType="separate"/>
        </w:r>
        <w:r w:rsidR="00B932C3">
          <w:rPr>
            <w:noProof/>
            <w:webHidden/>
          </w:rPr>
          <w:t>61</w:t>
        </w:r>
        <w:r w:rsidR="0080658E" w:rsidRPr="0070080E">
          <w:rPr>
            <w:noProof/>
            <w:webHidden/>
          </w:rPr>
          <w:fldChar w:fldCharType="end"/>
        </w:r>
      </w:hyperlink>
    </w:p>
    <w:p w14:paraId="4E2CF240" w14:textId="74BA70D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0" w:history="1">
        <w:r w:rsidR="0080658E" w:rsidRPr="0070080E">
          <w:rPr>
            <w:rStyle w:val="Hyperlink"/>
            <w:noProof/>
          </w:rPr>
          <w:t>3.7 Chapter Conclusion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_Toc231913450 \h </w:instrText>
        </w:r>
        <w:r w:rsidR="0080658E" w:rsidRPr="0070080E">
          <w:rPr>
            <w:noProof/>
            <w:webHidden/>
          </w:rPr>
        </w:r>
        <w:r w:rsidR="0080658E" w:rsidRPr="0070080E">
          <w:rPr>
            <w:noProof/>
            <w:webHidden/>
          </w:rPr>
          <w:fldChar w:fldCharType="separate"/>
        </w:r>
        <w:r w:rsidR="00B932C3">
          <w:rPr>
            <w:noProof/>
            <w:webHidden/>
          </w:rPr>
          <w:t>72</w:t>
        </w:r>
        <w:r w:rsidR="0080658E" w:rsidRPr="0070080E">
          <w:rPr>
            <w:noProof/>
            <w:webHidden/>
          </w:rPr>
          <w:fldChar w:fldCharType="end"/>
        </w:r>
      </w:hyperlink>
    </w:p>
    <w:p w14:paraId="2D5660DC" w14:textId="073C2640"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51" w:history="1">
        <w:r w:rsidR="0080658E" w:rsidRPr="0070080E">
          <w:rPr>
            <w:rStyle w:val="Hyperlink"/>
            <w:noProof/>
          </w:rPr>
          <w:t>Chapter 4. Research Data and Primary Data Collection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_Toc231913451 \h </w:instrText>
        </w:r>
        <w:r w:rsidR="0080658E" w:rsidRPr="0070080E">
          <w:rPr>
            <w:noProof/>
            <w:webHidden/>
          </w:rPr>
        </w:r>
        <w:r w:rsidR="0080658E" w:rsidRPr="0070080E">
          <w:rPr>
            <w:noProof/>
            <w:webHidden/>
          </w:rPr>
          <w:fldChar w:fldCharType="separate"/>
        </w:r>
        <w:r w:rsidR="00B932C3">
          <w:rPr>
            <w:noProof/>
            <w:webHidden/>
          </w:rPr>
          <w:t>74</w:t>
        </w:r>
        <w:r w:rsidR="0080658E" w:rsidRPr="0070080E">
          <w:rPr>
            <w:noProof/>
            <w:webHidden/>
          </w:rPr>
          <w:fldChar w:fldCharType="end"/>
        </w:r>
      </w:hyperlink>
    </w:p>
    <w:p w14:paraId="65CEA911" w14:textId="30B392AF"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2" w:history="1">
        <w:r w:rsidR="0080658E" w:rsidRPr="0070080E">
          <w:rPr>
            <w:rStyle w:val="Hyperlink"/>
            <w:noProof/>
          </w:rPr>
          <w:t>4.1 Chapter Introduction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_Toc231913452 \h </w:instrText>
        </w:r>
        <w:r w:rsidR="0080658E" w:rsidRPr="0070080E">
          <w:rPr>
            <w:noProof/>
            <w:webHidden/>
          </w:rPr>
        </w:r>
        <w:r w:rsidR="0080658E" w:rsidRPr="0070080E">
          <w:rPr>
            <w:noProof/>
            <w:webHidden/>
          </w:rPr>
          <w:fldChar w:fldCharType="separate"/>
        </w:r>
        <w:r w:rsidR="00B932C3">
          <w:rPr>
            <w:noProof/>
            <w:webHidden/>
          </w:rPr>
          <w:t>74</w:t>
        </w:r>
        <w:r w:rsidR="0080658E" w:rsidRPr="0070080E">
          <w:rPr>
            <w:noProof/>
            <w:webHidden/>
          </w:rPr>
          <w:fldChar w:fldCharType="end"/>
        </w:r>
      </w:hyperlink>
    </w:p>
    <w:p w14:paraId="4438E683" w14:textId="01EE286F"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3" w:history="1">
        <w:r w:rsidR="0080658E" w:rsidRPr="0070080E">
          <w:rPr>
            <w:rStyle w:val="Hyperlink"/>
            <w:noProof/>
          </w:rPr>
          <w:t>4.2 Research Design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_Toc231913453 \h </w:instrText>
        </w:r>
        <w:r w:rsidR="0080658E" w:rsidRPr="0070080E">
          <w:rPr>
            <w:noProof/>
            <w:webHidden/>
          </w:rPr>
        </w:r>
        <w:r w:rsidR="0080658E" w:rsidRPr="0070080E">
          <w:rPr>
            <w:noProof/>
            <w:webHidden/>
          </w:rPr>
          <w:fldChar w:fldCharType="separate"/>
        </w:r>
        <w:r w:rsidR="00B932C3">
          <w:rPr>
            <w:noProof/>
            <w:webHidden/>
          </w:rPr>
          <w:t>74</w:t>
        </w:r>
        <w:r w:rsidR="0080658E" w:rsidRPr="0070080E">
          <w:rPr>
            <w:noProof/>
            <w:webHidden/>
          </w:rPr>
          <w:fldChar w:fldCharType="end"/>
        </w:r>
      </w:hyperlink>
    </w:p>
    <w:p w14:paraId="55F01AA9" w14:textId="00E53CE8"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4" w:history="1">
        <w:r w:rsidR="0080658E" w:rsidRPr="0070080E">
          <w:rPr>
            <w:rStyle w:val="Hyperlink"/>
            <w:noProof/>
          </w:rPr>
          <w:t>4.3 Market and Events Data</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_Toc231913454 \h </w:instrText>
        </w:r>
        <w:r w:rsidR="0080658E" w:rsidRPr="0070080E">
          <w:rPr>
            <w:noProof/>
            <w:webHidden/>
          </w:rPr>
        </w:r>
        <w:r w:rsidR="0080658E" w:rsidRPr="0070080E">
          <w:rPr>
            <w:noProof/>
            <w:webHidden/>
          </w:rPr>
          <w:fldChar w:fldCharType="separate"/>
        </w:r>
        <w:r w:rsidR="00B932C3">
          <w:rPr>
            <w:noProof/>
            <w:webHidden/>
          </w:rPr>
          <w:t>77</w:t>
        </w:r>
        <w:r w:rsidR="0080658E" w:rsidRPr="0070080E">
          <w:rPr>
            <w:noProof/>
            <w:webHidden/>
          </w:rPr>
          <w:fldChar w:fldCharType="end"/>
        </w:r>
      </w:hyperlink>
    </w:p>
    <w:p w14:paraId="773BB4E3" w14:textId="3CFE13C7"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5" w:history="1">
        <w:r w:rsidR="0080658E" w:rsidRPr="0070080E">
          <w:rPr>
            <w:rStyle w:val="Hyperlink"/>
            <w:noProof/>
          </w:rPr>
          <w:t>4.4 Design of the Survey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_Toc231913455 \h </w:instrText>
        </w:r>
        <w:r w:rsidR="0080658E" w:rsidRPr="0070080E">
          <w:rPr>
            <w:noProof/>
            <w:webHidden/>
          </w:rPr>
        </w:r>
        <w:r w:rsidR="0080658E" w:rsidRPr="0070080E">
          <w:rPr>
            <w:noProof/>
            <w:webHidden/>
          </w:rPr>
          <w:fldChar w:fldCharType="separate"/>
        </w:r>
        <w:r w:rsidR="00B932C3">
          <w:rPr>
            <w:noProof/>
            <w:webHidden/>
          </w:rPr>
          <w:t>90</w:t>
        </w:r>
        <w:r w:rsidR="0080658E" w:rsidRPr="0070080E">
          <w:rPr>
            <w:noProof/>
            <w:webHidden/>
          </w:rPr>
          <w:fldChar w:fldCharType="end"/>
        </w:r>
      </w:hyperlink>
    </w:p>
    <w:p w14:paraId="48974D18" w14:textId="749585E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6" w:history="1">
        <w:r w:rsidR="0080658E" w:rsidRPr="0070080E">
          <w:rPr>
            <w:rStyle w:val="Hyperlink"/>
            <w:noProof/>
          </w:rPr>
          <w:t>4.5 Analytical Framework</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_Toc231913456 \h </w:instrText>
        </w:r>
        <w:r w:rsidR="0080658E" w:rsidRPr="0070080E">
          <w:rPr>
            <w:noProof/>
            <w:webHidden/>
          </w:rPr>
        </w:r>
        <w:r w:rsidR="0080658E" w:rsidRPr="0070080E">
          <w:rPr>
            <w:noProof/>
            <w:webHidden/>
          </w:rPr>
          <w:fldChar w:fldCharType="separate"/>
        </w:r>
        <w:r w:rsidR="00B932C3">
          <w:rPr>
            <w:noProof/>
            <w:webHidden/>
          </w:rPr>
          <w:t>98</w:t>
        </w:r>
        <w:r w:rsidR="0080658E" w:rsidRPr="0070080E">
          <w:rPr>
            <w:noProof/>
            <w:webHidden/>
          </w:rPr>
          <w:fldChar w:fldCharType="end"/>
        </w:r>
      </w:hyperlink>
    </w:p>
    <w:p w14:paraId="6F756975" w14:textId="2D389CC7"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7" w:history="1">
        <w:r w:rsidR="0080658E" w:rsidRPr="0070080E">
          <w:rPr>
            <w:rStyle w:val="Hyperlink"/>
            <w:noProof/>
          </w:rPr>
          <w:t>4.6 Chapter Conclusion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_Toc231913457 \h </w:instrText>
        </w:r>
        <w:r w:rsidR="0080658E" w:rsidRPr="0070080E">
          <w:rPr>
            <w:noProof/>
            <w:webHidden/>
          </w:rPr>
        </w:r>
        <w:r w:rsidR="0080658E" w:rsidRPr="0070080E">
          <w:rPr>
            <w:noProof/>
            <w:webHidden/>
          </w:rPr>
          <w:fldChar w:fldCharType="separate"/>
        </w:r>
        <w:r w:rsidR="00B932C3">
          <w:rPr>
            <w:noProof/>
            <w:webHidden/>
          </w:rPr>
          <w:t>101</w:t>
        </w:r>
        <w:r w:rsidR="0080658E" w:rsidRPr="0070080E">
          <w:rPr>
            <w:noProof/>
            <w:webHidden/>
          </w:rPr>
          <w:fldChar w:fldCharType="end"/>
        </w:r>
      </w:hyperlink>
    </w:p>
    <w:p w14:paraId="065BA23F" w14:textId="7F430752"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58" w:history="1">
        <w:r w:rsidR="0080658E" w:rsidRPr="0070080E">
          <w:rPr>
            <w:rStyle w:val="Hyperlink"/>
            <w:noProof/>
          </w:rPr>
          <w:t>Chapter 5. Analysis and Conclusions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_Toc231913458 \h </w:instrText>
        </w:r>
        <w:r w:rsidR="0080658E" w:rsidRPr="0070080E">
          <w:rPr>
            <w:noProof/>
            <w:webHidden/>
          </w:rPr>
        </w:r>
        <w:r w:rsidR="0080658E" w:rsidRPr="0070080E">
          <w:rPr>
            <w:noProof/>
            <w:webHidden/>
          </w:rPr>
          <w:fldChar w:fldCharType="separate"/>
        </w:r>
        <w:r w:rsidR="00B932C3">
          <w:rPr>
            <w:noProof/>
            <w:webHidden/>
          </w:rPr>
          <w:t>103</w:t>
        </w:r>
        <w:r w:rsidR="0080658E" w:rsidRPr="0070080E">
          <w:rPr>
            <w:noProof/>
            <w:webHidden/>
          </w:rPr>
          <w:fldChar w:fldCharType="end"/>
        </w:r>
      </w:hyperlink>
    </w:p>
    <w:p w14:paraId="046BFE5E" w14:textId="57488BE5"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59" w:history="1">
        <w:r w:rsidR="0080658E" w:rsidRPr="0070080E">
          <w:rPr>
            <w:rStyle w:val="Hyperlink"/>
            <w:noProof/>
          </w:rPr>
          <w:t>5.1 Chapter Introduction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_Toc231913459 \h </w:instrText>
        </w:r>
        <w:r w:rsidR="0080658E" w:rsidRPr="0070080E">
          <w:rPr>
            <w:noProof/>
            <w:webHidden/>
          </w:rPr>
        </w:r>
        <w:r w:rsidR="0080658E" w:rsidRPr="0070080E">
          <w:rPr>
            <w:noProof/>
            <w:webHidden/>
          </w:rPr>
          <w:fldChar w:fldCharType="separate"/>
        </w:r>
        <w:r w:rsidR="00B932C3">
          <w:rPr>
            <w:noProof/>
            <w:webHidden/>
          </w:rPr>
          <w:t>103</w:t>
        </w:r>
        <w:r w:rsidR="0080658E" w:rsidRPr="0070080E">
          <w:rPr>
            <w:noProof/>
            <w:webHidden/>
          </w:rPr>
          <w:fldChar w:fldCharType="end"/>
        </w:r>
      </w:hyperlink>
    </w:p>
    <w:p w14:paraId="3E0A0775" w14:textId="49DB8769"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0" w:history="1">
        <w:r w:rsidR="0080658E" w:rsidRPr="0070080E">
          <w:rPr>
            <w:rStyle w:val="Hyperlink"/>
            <w:noProof/>
          </w:rPr>
          <w:t>5.2 Descriptive Statistics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_Toc231913460 \h </w:instrText>
        </w:r>
        <w:r w:rsidR="0080658E" w:rsidRPr="0070080E">
          <w:rPr>
            <w:noProof/>
            <w:webHidden/>
          </w:rPr>
        </w:r>
        <w:r w:rsidR="0080658E" w:rsidRPr="0070080E">
          <w:rPr>
            <w:noProof/>
            <w:webHidden/>
          </w:rPr>
          <w:fldChar w:fldCharType="separate"/>
        </w:r>
        <w:r w:rsidR="00B932C3">
          <w:rPr>
            <w:noProof/>
            <w:webHidden/>
          </w:rPr>
          <w:t>103</w:t>
        </w:r>
        <w:r w:rsidR="0080658E" w:rsidRPr="0070080E">
          <w:rPr>
            <w:noProof/>
            <w:webHidden/>
          </w:rPr>
          <w:fldChar w:fldCharType="end"/>
        </w:r>
      </w:hyperlink>
    </w:p>
    <w:p w14:paraId="21CCECE5" w14:textId="7C4D4E9F"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1" w:history="1">
        <w:r w:rsidR="0080658E" w:rsidRPr="0070080E">
          <w:rPr>
            <w:rStyle w:val="Hyperlink"/>
            <w:noProof/>
          </w:rPr>
          <w:t>5.3 Scenario Selection Outcomes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_Toc231913461 \h </w:instrText>
        </w:r>
        <w:r w:rsidR="0080658E" w:rsidRPr="0070080E">
          <w:rPr>
            <w:noProof/>
            <w:webHidden/>
          </w:rPr>
        </w:r>
        <w:r w:rsidR="0080658E" w:rsidRPr="0070080E">
          <w:rPr>
            <w:noProof/>
            <w:webHidden/>
          </w:rPr>
          <w:fldChar w:fldCharType="separate"/>
        </w:r>
        <w:r w:rsidR="00B932C3">
          <w:rPr>
            <w:noProof/>
            <w:webHidden/>
          </w:rPr>
          <w:t>108</w:t>
        </w:r>
        <w:r w:rsidR="0080658E" w:rsidRPr="0070080E">
          <w:rPr>
            <w:noProof/>
            <w:webHidden/>
          </w:rPr>
          <w:fldChar w:fldCharType="end"/>
        </w:r>
      </w:hyperlink>
    </w:p>
    <w:p w14:paraId="4DA8DB6B" w14:textId="495B3ADD"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2" w:history="1">
        <w:r w:rsidR="0080658E" w:rsidRPr="0070080E">
          <w:rPr>
            <w:rStyle w:val="Hyperlink"/>
            <w:noProof/>
          </w:rPr>
          <w:t>5.4 Tests for Normality and Reliability</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_Toc231913462 \h </w:instrText>
        </w:r>
        <w:r w:rsidR="0080658E" w:rsidRPr="0070080E">
          <w:rPr>
            <w:noProof/>
            <w:webHidden/>
          </w:rPr>
        </w:r>
        <w:r w:rsidR="0080658E" w:rsidRPr="0070080E">
          <w:rPr>
            <w:noProof/>
            <w:webHidden/>
          </w:rPr>
          <w:fldChar w:fldCharType="separate"/>
        </w:r>
        <w:r w:rsidR="00B932C3">
          <w:rPr>
            <w:noProof/>
            <w:webHidden/>
          </w:rPr>
          <w:t>111</w:t>
        </w:r>
        <w:r w:rsidR="0080658E" w:rsidRPr="0070080E">
          <w:rPr>
            <w:noProof/>
            <w:webHidden/>
          </w:rPr>
          <w:fldChar w:fldCharType="end"/>
        </w:r>
      </w:hyperlink>
    </w:p>
    <w:p w14:paraId="61F6639F" w14:textId="05BF6289"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3" w:history="1">
        <w:r w:rsidR="0080658E" w:rsidRPr="0070080E">
          <w:rPr>
            <w:rStyle w:val="Hyperlink"/>
            <w:noProof/>
          </w:rPr>
          <w:t>5.5 Hypothesis Testing</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_Toc231913463 \h </w:instrText>
        </w:r>
        <w:r w:rsidR="0080658E" w:rsidRPr="0070080E">
          <w:rPr>
            <w:noProof/>
            <w:webHidden/>
          </w:rPr>
        </w:r>
        <w:r w:rsidR="0080658E" w:rsidRPr="0070080E">
          <w:rPr>
            <w:noProof/>
            <w:webHidden/>
          </w:rPr>
          <w:fldChar w:fldCharType="separate"/>
        </w:r>
        <w:r w:rsidR="00B932C3">
          <w:rPr>
            <w:noProof/>
            <w:webHidden/>
          </w:rPr>
          <w:t>114</w:t>
        </w:r>
        <w:r w:rsidR="0080658E" w:rsidRPr="0070080E">
          <w:rPr>
            <w:noProof/>
            <w:webHidden/>
          </w:rPr>
          <w:fldChar w:fldCharType="end"/>
        </w:r>
      </w:hyperlink>
    </w:p>
    <w:p w14:paraId="4458BD1A" w14:textId="4FA89928"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4" w:history="1">
        <w:r w:rsidR="0080658E" w:rsidRPr="0070080E">
          <w:rPr>
            <w:rStyle w:val="Hyperlink"/>
            <w:noProof/>
          </w:rPr>
          <w:t>5.6 Results Interpretation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_Toc231913464 \h </w:instrText>
        </w:r>
        <w:r w:rsidR="0080658E" w:rsidRPr="0070080E">
          <w:rPr>
            <w:noProof/>
            <w:webHidden/>
          </w:rPr>
        </w:r>
        <w:r w:rsidR="0080658E" w:rsidRPr="0070080E">
          <w:rPr>
            <w:noProof/>
            <w:webHidden/>
          </w:rPr>
          <w:fldChar w:fldCharType="separate"/>
        </w:r>
        <w:r w:rsidR="00B932C3">
          <w:rPr>
            <w:noProof/>
            <w:webHidden/>
          </w:rPr>
          <w:t>123</w:t>
        </w:r>
        <w:r w:rsidR="0080658E" w:rsidRPr="0070080E">
          <w:rPr>
            <w:noProof/>
            <w:webHidden/>
          </w:rPr>
          <w:fldChar w:fldCharType="end"/>
        </w:r>
      </w:hyperlink>
    </w:p>
    <w:p w14:paraId="1B5B6F55" w14:textId="67EE4BF7"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5" w:history="1">
        <w:r w:rsidR="0080658E" w:rsidRPr="0070080E">
          <w:rPr>
            <w:rStyle w:val="Hyperlink"/>
            <w:noProof/>
          </w:rPr>
          <w:t>5.7 Interim Conclusions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_Toc231913465 \h </w:instrText>
        </w:r>
        <w:r w:rsidR="0080658E" w:rsidRPr="0070080E">
          <w:rPr>
            <w:noProof/>
            <w:webHidden/>
          </w:rPr>
        </w:r>
        <w:r w:rsidR="0080658E" w:rsidRPr="0070080E">
          <w:rPr>
            <w:noProof/>
            <w:webHidden/>
          </w:rPr>
          <w:fldChar w:fldCharType="separate"/>
        </w:r>
        <w:r w:rsidR="00B932C3">
          <w:rPr>
            <w:noProof/>
            <w:webHidden/>
          </w:rPr>
          <w:t>126</w:t>
        </w:r>
        <w:r w:rsidR="0080658E" w:rsidRPr="0070080E">
          <w:rPr>
            <w:noProof/>
            <w:webHidden/>
          </w:rPr>
          <w:fldChar w:fldCharType="end"/>
        </w:r>
      </w:hyperlink>
    </w:p>
    <w:p w14:paraId="1DCABE0A" w14:textId="650EFEF4"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6" w:history="1">
        <w:r w:rsidR="0080658E" w:rsidRPr="0070080E">
          <w:rPr>
            <w:rStyle w:val="Hyperlink"/>
            <w:noProof/>
          </w:rPr>
          <w:t>5.8 Limitations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_Toc231913466 \h </w:instrText>
        </w:r>
        <w:r w:rsidR="0080658E" w:rsidRPr="0070080E">
          <w:rPr>
            <w:noProof/>
            <w:webHidden/>
          </w:rPr>
        </w:r>
        <w:r w:rsidR="0080658E" w:rsidRPr="0070080E">
          <w:rPr>
            <w:noProof/>
            <w:webHidden/>
          </w:rPr>
          <w:fldChar w:fldCharType="separate"/>
        </w:r>
        <w:r w:rsidR="00B932C3">
          <w:rPr>
            <w:noProof/>
            <w:webHidden/>
          </w:rPr>
          <w:t>127</w:t>
        </w:r>
        <w:r w:rsidR="0080658E" w:rsidRPr="0070080E">
          <w:rPr>
            <w:noProof/>
            <w:webHidden/>
          </w:rPr>
          <w:fldChar w:fldCharType="end"/>
        </w:r>
      </w:hyperlink>
    </w:p>
    <w:p w14:paraId="05E934EB" w14:textId="3E454E6A"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7" w:history="1">
        <w:r w:rsidR="0080658E" w:rsidRPr="0070080E">
          <w:rPr>
            <w:rStyle w:val="Hyperlink"/>
            <w:noProof/>
          </w:rPr>
          <w:t>5.9 Chapter Conclusion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_Toc231913467 \h </w:instrText>
        </w:r>
        <w:r w:rsidR="0080658E" w:rsidRPr="0070080E">
          <w:rPr>
            <w:noProof/>
            <w:webHidden/>
          </w:rPr>
        </w:r>
        <w:r w:rsidR="0080658E" w:rsidRPr="0070080E">
          <w:rPr>
            <w:noProof/>
            <w:webHidden/>
          </w:rPr>
          <w:fldChar w:fldCharType="separate"/>
        </w:r>
        <w:r w:rsidR="00B932C3">
          <w:rPr>
            <w:noProof/>
            <w:webHidden/>
          </w:rPr>
          <w:t>128</w:t>
        </w:r>
        <w:r w:rsidR="0080658E" w:rsidRPr="0070080E">
          <w:rPr>
            <w:noProof/>
            <w:webHidden/>
          </w:rPr>
          <w:fldChar w:fldCharType="end"/>
        </w:r>
      </w:hyperlink>
    </w:p>
    <w:p w14:paraId="5E9FC016" w14:textId="7B9D790A"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68" w:history="1">
        <w:r w:rsidR="0080658E" w:rsidRPr="0070080E">
          <w:rPr>
            <w:rStyle w:val="Hyperlink"/>
            <w:noProof/>
          </w:rPr>
          <w:t>Chapter 6. Conclusions and Recommendations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_Toc231913468 \h </w:instrText>
        </w:r>
        <w:r w:rsidR="0080658E" w:rsidRPr="0070080E">
          <w:rPr>
            <w:noProof/>
            <w:webHidden/>
          </w:rPr>
        </w:r>
        <w:r w:rsidR="0080658E" w:rsidRPr="0070080E">
          <w:rPr>
            <w:noProof/>
            <w:webHidden/>
          </w:rPr>
          <w:fldChar w:fldCharType="separate"/>
        </w:r>
        <w:r w:rsidR="00B932C3">
          <w:rPr>
            <w:noProof/>
            <w:webHidden/>
          </w:rPr>
          <w:t>129</w:t>
        </w:r>
        <w:r w:rsidR="0080658E" w:rsidRPr="0070080E">
          <w:rPr>
            <w:noProof/>
            <w:webHidden/>
          </w:rPr>
          <w:fldChar w:fldCharType="end"/>
        </w:r>
      </w:hyperlink>
    </w:p>
    <w:p w14:paraId="3198E5FB" w14:textId="2FBC96A0"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69" w:history="1">
        <w:r w:rsidR="0080658E" w:rsidRPr="0070080E">
          <w:rPr>
            <w:rStyle w:val="Hyperlink"/>
            <w:noProof/>
          </w:rPr>
          <w:t>6.1 Chapter Introduction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_Toc231913469 \h </w:instrText>
        </w:r>
        <w:r w:rsidR="0080658E" w:rsidRPr="0070080E">
          <w:rPr>
            <w:noProof/>
            <w:webHidden/>
          </w:rPr>
        </w:r>
        <w:r w:rsidR="0080658E" w:rsidRPr="0070080E">
          <w:rPr>
            <w:noProof/>
            <w:webHidden/>
          </w:rPr>
          <w:fldChar w:fldCharType="separate"/>
        </w:r>
        <w:r w:rsidR="00B932C3">
          <w:rPr>
            <w:noProof/>
            <w:webHidden/>
          </w:rPr>
          <w:t>129</w:t>
        </w:r>
        <w:r w:rsidR="0080658E" w:rsidRPr="0070080E">
          <w:rPr>
            <w:noProof/>
            <w:webHidden/>
          </w:rPr>
          <w:fldChar w:fldCharType="end"/>
        </w:r>
      </w:hyperlink>
    </w:p>
    <w:p w14:paraId="51BBADCB" w14:textId="0A8F9221"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0" w:history="1">
        <w:r w:rsidR="0080658E" w:rsidRPr="0070080E">
          <w:rPr>
            <w:rStyle w:val="Hyperlink"/>
            <w:noProof/>
          </w:rPr>
          <w:t>6.2 Summary of Findings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_Toc231913470 \h </w:instrText>
        </w:r>
        <w:r w:rsidR="0080658E" w:rsidRPr="0070080E">
          <w:rPr>
            <w:noProof/>
            <w:webHidden/>
          </w:rPr>
        </w:r>
        <w:r w:rsidR="0080658E" w:rsidRPr="0070080E">
          <w:rPr>
            <w:noProof/>
            <w:webHidden/>
          </w:rPr>
          <w:fldChar w:fldCharType="separate"/>
        </w:r>
        <w:r w:rsidR="00B932C3">
          <w:rPr>
            <w:noProof/>
            <w:webHidden/>
          </w:rPr>
          <w:t>129</w:t>
        </w:r>
        <w:r w:rsidR="0080658E" w:rsidRPr="0070080E">
          <w:rPr>
            <w:noProof/>
            <w:webHidden/>
          </w:rPr>
          <w:fldChar w:fldCharType="end"/>
        </w:r>
      </w:hyperlink>
    </w:p>
    <w:p w14:paraId="280715E5" w14:textId="44671279"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1" w:history="1">
        <w:r w:rsidR="0080658E" w:rsidRPr="0070080E">
          <w:rPr>
            <w:rStyle w:val="Hyperlink"/>
            <w:noProof/>
          </w:rPr>
          <w:t>6.3 Overall Conclusions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_Toc231913471 \h </w:instrText>
        </w:r>
        <w:r w:rsidR="0080658E" w:rsidRPr="0070080E">
          <w:rPr>
            <w:noProof/>
            <w:webHidden/>
          </w:rPr>
        </w:r>
        <w:r w:rsidR="0080658E" w:rsidRPr="0070080E">
          <w:rPr>
            <w:noProof/>
            <w:webHidden/>
          </w:rPr>
          <w:fldChar w:fldCharType="separate"/>
        </w:r>
        <w:r w:rsidR="00B932C3">
          <w:rPr>
            <w:noProof/>
            <w:webHidden/>
          </w:rPr>
          <w:t>131</w:t>
        </w:r>
        <w:r w:rsidR="0080658E" w:rsidRPr="0070080E">
          <w:rPr>
            <w:noProof/>
            <w:webHidden/>
          </w:rPr>
          <w:fldChar w:fldCharType="end"/>
        </w:r>
      </w:hyperlink>
    </w:p>
    <w:p w14:paraId="32DFC12B" w14:textId="4C301A6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2" w:history="1">
        <w:r w:rsidR="0080658E" w:rsidRPr="0070080E">
          <w:rPr>
            <w:rStyle w:val="Hyperlink"/>
            <w:noProof/>
          </w:rPr>
          <w:t>6.4 Recommendations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_Toc231913472 \h </w:instrText>
        </w:r>
        <w:r w:rsidR="0080658E" w:rsidRPr="0070080E">
          <w:rPr>
            <w:noProof/>
            <w:webHidden/>
          </w:rPr>
        </w:r>
        <w:r w:rsidR="0080658E" w:rsidRPr="0070080E">
          <w:rPr>
            <w:noProof/>
            <w:webHidden/>
          </w:rPr>
          <w:fldChar w:fldCharType="separate"/>
        </w:r>
        <w:r w:rsidR="00B932C3">
          <w:rPr>
            <w:noProof/>
            <w:webHidden/>
          </w:rPr>
          <w:t>135</w:t>
        </w:r>
        <w:r w:rsidR="0080658E" w:rsidRPr="0070080E">
          <w:rPr>
            <w:noProof/>
            <w:webHidden/>
          </w:rPr>
          <w:fldChar w:fldCharType="end"/>
        </w:r>
      </w:hyperlink>
    </w:p>
    <w:p w14:paraId="4D025354" w14:textId="5CD721F3"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3" w:history="1">
        <w:r w:rsidR="0080658E" w:rsidRPr="0070080E">
          <w:rPr>
            <w:rStyle w:val="Hyperlink"/>
            <w:noProof/>
          </w:rPr>
          <w:t>6.5 Areas for Future Research</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_Toc231913473 \h </w:instrText>
        </w:r>
        <w:r w:rsidR="0080658E" w:rsidRPr="0070080E">
          <w:rPr>
            <w:noProof/>
            <w:webHidden/>
          </w:rPr>
        </w:r>
        <w:r w:rsidR="0080658E" w:rsidRPr="0070080E">
          <w:rPr>
            <w:noProof/>
            <w:webHidden/>
          </w:rPr>
          <w:fldChar w:fldCharType="separate"/>
        </w:r>
        <w:r w:rsidR="00B932C3">
          <w:rPr>
            <w:noProof/>
            <w:webHidden/>
          </w:rPr>
          <w:t>137</w:t>
        </w:r>
        <w:r w:rsidR="0080658E" w:rsidRPr="0070080E">
          <w:rPr>
            <w:noProof/>
            <w:webHidden/>
          </w:rPr>
          <w:fldChar w:fldCharType="end"/>
        </w:r>
      </w:hyperlink>
    </w:p>
    <w:p w14:paraId="6D43AD02" w14:textId="22CAF3C8"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4" w:history="1">
        <w:r w:rsidR="0080658E" w:rsidRPr="0070080E">
          <w:rPr>
            <w:rStyle w:val="Hyperlink"/>
            <w:noProof/>
          </w:rPr>
          <w:t>6.6 Lessons Learned</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_Toc231913474 \h </w:instrText>
        </w:r>
        <w:r w:rsidR="0080658E" w:rsidRPr="0070080E">
          <w:rPr>
            <w:noProof/>
            <w:webHidden/>
          </w:rPr>
        </w:r>
        <w:r w:rsidR="0080658E" w:rsidRPr="0070080E">
          <w:rPr>
            <w:noProof/>
            <w:webHidden/>
          </w:rPr>
          <w:fldChar w:fldCharType="separate"/>
        </w:r>
        <w:r w:rsidR="00B932C3">
          <w:rPr>
            <w:noProof/>
            <w:webHidden/>
          </w:rPr>
          <w:t>138</w:t>
        </w:r>
        <w:r w:rsidR="0080658E" w:rsidRPr="0070080E">
          <w:rPr>
            <w:noProof/>
            <w:webHidden/>
          </w:rPr>
          <w:fldChar w:fldCharType="end"/>
        </w:r>
      </w:hyperlink>
    </w:p>
    <w:p w14:paraId="58510A5B" w14:textId="43AEE774"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5" w:history="1">
        <w:r w:rsidR="0080658E" w:rsidRPr="0070080E">
          <w:rPr>
            <w:rStyle w:val="Hyperlink"/>
            <w:noProof/>
          </w:rPr>
          <w:t>6.7 Ethical Considerations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_Toc231913475 \h </w:instrText>
        </w:r>
        <w:r w:rsidR="0080658E" w:rsidRPr="0070080E">
          <w:rPr>
            <w:noProof/>
            <w:webHidden/>
          </w:rPr>
        </w:r>
        <w:r w:rsidR="0080658E" w:rsidRPr="0070080E">
          <w:rPr>
            <w:noProof/>
            <w:webHidden/>
          </w:rPr>
          <w:fldChar w:fldCharType="separate"/>
        </w:r>
        <w:r w:rsidR="00B932C3">
          <w:rPr>
            <w:noProof/>
            <w:webHidden/>
          </w:rPr>
          <w:t>140</w:t>
        </w:r>
        <w:r w:rsidR="0080658E" w:rsidRPr="0070080E">
          <w:rPr>
            <w:noProof/>
            <w:webHidden/>
          </w:rPr>
          <w:fldChar w:fldCharType="end"/>
        </w:r>
      </w:hyperlink>
    </w:p>
    <w:p w14:paraId="38071CCD" w14:textId="1007BA46"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6" w:history="1">
        <w:r w:rsidR="0080658E" w:rsidRPr="0070080E">
          <w:rPr>
            <w:rStyle w:val="Hyperlink"/>
            <w:noProof/>
          </w:rPr>
          <w:t>6.8 Implications for Sustainable Development Goals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_Toc231913476 \h </w:instrText>
        </w:r>
        <w:r w:rsidR="0080658E" w:rsidRPr="0070080E">
          <w:rPr>
            <w:noProof/>
            <w:webHidden/>
          </w:rPr>
        </w:r>
        <w:r w:rsidR="0080658E" w:rsidRPr="0070080E">
          <w:rPr>
            <w:noProof/>
            <w:webHidden/>
          </w:rPr>
          <w:fldChar w:fldCharType="separate"/>
        </w:r>
        <w:r w:rsidR="00B932C3">
          <w:rPr>
            <w:noProof/>
            <w:webHidden/>
          </w:rPr>
          <w:t>144</w:t>
        </w:r>
        <w:r w:rsidR="0080658E" w:rsidRPr="0070080E">
          <w:rPr>
            <w:noProof/>
            <w:webHidden/>
          </w:rPr>
          <w:fldChar w:fldCharType="end"/>
        </w:r>
      </w:hyperlink>
    </w:p>
    <w:p w14:paraId="03E8B2DA" w14:textId="73335A8E" w:rsidR="0080658E" w:rsidRPr="0070080E" w:rsidRDefault="00000000">
      <w:pPr>
        <w:pStyle w:val="TOC2"/>
        <w:tabs>
          <w:tab w:val="right" w:leader="dot" w:pos="9350"/>
        </w:tabs>
        <w:rPr>
          <w:rFonts w:asciiTheme="minorHAnsi" w:hAnsiTheme="minorHAnsi"/>
          <w:noProof/>
          <w:kern w:val="2"/>
          <w:sz w:val="24"/>
          <w14:ligatures w14:val="standardContextual"/>
        </w:rPr>
      </w:pPr>
      <w:hyperlink w:anchor="_Toc231913477" w:history="1">
        <w:r w:rsidR="0080658E" w:rsidRPr="0070080E">
          <w:rPr>
            <w:rStyle w:val="Hyperlink"/>
            <w:noProof/>
          </w:rPr>
          <w:t>6.9 Chapter Conclusion</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_Toc231913477 \h </w:instrText>
        </w:r>
        <w:r w:rsidR="0080658E" w:rsidRPr="0070080E">
          <w:rPr>
            <w:noProof/>
            <w:webHidden/>
          </w:rPr>
        </w:r>
        <w:r w:rsidR="0080658E" w:rsidRPr="0070080E">
          <w:rPr>
            <w:noProof/>
            <w:webHidden/>
          </w:rPr>
          <w:fldChar w:fldCharType="separate"/>
        </w:r>
        <w:r w:rsidR="00B932C3">
          <w:rPr>
            <w:noProof/>
            <w:webHidden/>
          </w:rPr>
          <w:t>146</w:t>
        </w:r>
        <w:r w:rsidR="0080658E" w:rsidRPr="0070080E">
          <w:rPr>
            <w:noProof/>
            <w:webHidden/>
          </w:rPr>
          <w:fldChar w:fldCharType="end"/>
        </w:r>
      </w:hyperlink>
    </w:p>
    <w:p w14:paraId="11220886" w14:textId="0EC19995"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78" w:history="1">
        <w:r w:rsidR="0080658E" w:rsidRPr="0070080E">
          <w:rPr>
            <w:rStyle w:val="Hyperlink"/>
            <w:noProof/>
          </w:rPr>
          <w:t>References</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_Toc231913478 \h </w:instrText>
        </w:r>
        <w:r w:rsidR="0080658E" w:rsidRPr="0070080E">
          <w:rPr>
            <w:noProof/>
            <w:webHidden/>
          </w:rPr>
        </w:r>
        <w:r w:rsidR="0080658E" w:rsidRPr="0070080E">
          <w:rPr>
            <w:noProof/>
            <w:webHidden/>
          </w:rPr>
          <w:fldChar w:fldCharType="separate"/>
        </w:r>
        <w:r w:rsidR="00B932C3">
          <w:rPr>
            <w:noProof/>
            <w:webHidden/>
          </w:rPr>
          <w:t>148</w:t>
        </w:r>
        <w:r w:rsidR="0080658E" w:rsidRPr="0070080E">
          <w:rPr>
            <w:noProof/>
            <w:webHidden/>
          </w:rPr>
          <w:fldChar w:fldCharType="end"/>
        </w:r>
      </w:hyperlink>
    </w:p>
    <w:p w14:paraId="61ADC06A" w14:textId="56D4C159"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79" w:history="1">
        <w:r w:rsidR="0080658E" w:rsidRPr="0070080E">
          <w:rPr>
            <w:rStyle w:val="Hyperlink"/>
            <w:noProof/>
          </w:rPr>
          <w:t>Appendix 1. Thesis Proposal Approval Form</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_Toc231913479 \h </w:instrText>
        </w:r>
        <w:r w:rsidR="0080658E" w:rsidRPr="0070080E">
          <w:rPr>
            <w:noProof/>
            <w:webHidden/>
          </w:rPr>
        </w:r>
        <w:r w:rsidR="0080658E" w:rsidRPr="0070080E">
          <w:rPr>
            <w:noProof/>
            <w:webHidden/>
          </w:rPr>
          <w:fldChar w:fldCharType="separate"/>
        </w:r>
        <w:r w:rsidR="00B932C3">
          <w:rPr>
            <w:noProof/>
            <w:webHidden/>
          </w:rPr>
          <w:t>158</w:t>
        </w:r>
        <w:r w:rsidR="0080658E" w:rsidRPr="0070080E">
          <w:rPr>
            <w:noProof/>
            <w:webHidden/>
          </w:rPr>
          <w:fldChar w:fldCharType="end"/>
        </w:r>
      </w:hyperlink>
    </w:p>
    <w:p w14:paraId="61BB8423" w14:textId="1656361D"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80" w:history="1">
        <w:r w:rsidR="0080658E" w:rsidRPr="0070080E">
          <w:rPr>
            <w:rStyle w:val="Hyperlink"/>
            <w:noProof/>
          </w:rPr>
          <w:t>Appendix 2. AI Disclosure Statement</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_Toc231913480 \h </w:instrText>
        </w:r>
        <w:r w:rsidR="0080658E" w:rsidRPr="0070080E">
          <w:rPr>
            <w:noProof/>
            <w:webHidden/>
          </w:rPr>
        </w:r>
        <w:r w:rsidR="0080658E" w:rsidRPr="0070080E">
          <w:rPr>
            <w:noProof/>
            <w:webHidden/>
          </w:rPr>
          <w:fldChar w:fldCharType="separate"/>
        </w:r>
        <w:r w:rsidR="00B932C3">
          <w:rPr>
            <w:noProof/>
            <w:webHidden/>
          </w:rPr>
          <w:t>159</w:t>
        </w:r>
        <w:r w:rsidR="0080658E" w:rsidRPr="0070080E">
          <w:rPr>
            <w:noProof/>
            <w:webHidden/>
          </w:rPr>
          <w:fldChar w:fldCharType="end"/>
        </w:r>
      </w:hyperlink>
    </w:p>
    <w:p w14:paraId="71C9268D" w14:textId="74D98120"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81" w:history="1">
        <w:r w:rsidR="0080658E" w:rsidRPr="0070080E">
          <w:rPr>
            <w:rStyle w:val="Hyperlink"/>
            <w:noProof/>
          </w:rPr>
          <w:t>Appendix 3. Thesis Turn-In Checklist</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_Toc231913481 \h </w:instrText>
        </w:r>
        <w:r w:rsidR="0080658E" w:rsidRPr="0070080E">
          <w:rPr>
            <w:noProof/>
            <w:webHidden/>
          </w:rPr>
        </w:r>
        <w:r w:rsidR="0080658E" w:rsidRPr="0070080E">
          <w:rPr>
            <w:noProof/>
            <w:webHidden/>
          </w:rPr>
          <w:fldChar w:fldCharType="separate"/>
        </w:r>
        <w:r w:rsidR="00B932C3">
          <w:rPr>
            <w:noProof/>
            <w:webHidden/>
          </w:rPr>
          <w:t>161</w:t>
        </w:r>
        <w:r w:rsidR="0080658E" w:rsidRPr="0070080E">
          <w:rPr>
            <w:noProof/>
            <w:webHidden/>
          </w:rPr>
          <w:fldChar w:fldCharType="end"/>
        </w:r>
      </w:hyperlink>
    </w:p>
    <w:p w14:paraId="4CD8E862" w14:textId="253910AA" w:rsidR="0080658E" w:rsidRPr="0070080E" w:rsidRDefault="00000000">
      <w:pPr>
        <w:pStyle w:val="TOC1"/>
        <w:tabs>
          <w:tab w:val="right" w:leader="dot" w:pos="9350"/>
        </w:tabs>
        <w:rPr>
          <w:rFonts w:asciiTheme="minorHAnsi" w:hAnsiTheme="minorHAnsi"/>
          <w:noProof/>
          <w:kern w:val="2"/>
          <w:sz w:val="24"/>
          <w14:ligatures w14:val="standardContextual"/>
        </w:rPr>
      </w:pPr>
      <w:hyperlink w:anchor="_Toc231913482" w:history="1">
        <w:r w:rsidR="0080658E" w:rsidRPr="0070080E">
          <w:rPr>
            <w:rStyle w:val="Hyperlink"/>
            <w:noProof/>
          </w:rPr>
          <w:t>Appendix 4. Survey Questionnaire (Block 2</w:t>
        </w:r>
        <w:r w:rsidR="000A66AA">
          <w:rPr>
            <w:rStyle w:val="Hyperlink"/>
            <w:noProof/>
          </w:rPr>
          <w:t>—</w:t>
        </w:r>
        <w:r w:rsidR="0080658E" w:rsidRPr="0070080E">
          <w:rPr>
            <w:rStyle w:val="Hyperlink"/>
            <w:noProof/>
          </w:rPr>
          <w:t>Representative Example)</w:t>
        </w:r>
        <w:r w:rsidR="0080658E" w:rsidRPr="0070080E">
          <w:rPr>
            <w:noProof/>
            <w:webHidden/>
          </w:rPr>
          <w:tab/>
        </w:r>
        <w:r w:rsidR="0080658E" w:rsidRPr="0070080E">
          <w:rPr>
            <w:noProof/>
            <w:webHidden/>
          </w:rPr>
          <w:fldChar w:fldCharType="begin"/>
        </w:r>
        <w:r w:rsidR="0080658E" w:rsidRPr="0070080E">
          <w:rPr>
            <w:noProof/>
            <w:webHidden/>
          </w:rPr>
          <w:instrText xml:space="preserve"> PAGEREF _Toc231913482 \h </w:instrText>
        </w:r>
        <w:r w:rsidR="0080658E" w:rsidRPr="0070080E">
          <w:rPr>
            <w:noProof/>
            <w:webHidden/>
          </w:rPr>
        </w:r>
        <w:r w:rsidR="0080658E" w:rsidRPr="0070080E">
          <w:rPr>
            <w:noProof/>
            <w:webHidden/>
          </w:rPr>
          <w:fldChar w:fldCharType="separate"/>
        </w:r>
        <w:r w:rsidR="00B932C3">
          <w:rPr>
            <w:noProof/>
            <w:webHidden/>
          </w:rPr>
          <w:t>162</w:t>
        </w:r>
        <w:r w:rsidR="0080658E" w:rsidRPr="0070080E">
          <w:rPr>
            <w:noProof/>
            <w:webHidden/>
          </w:rPr>
          <w:fldChar w:fldCharType="end"/>
        </w:r>
      </w:hyperlink>
    </w:p>
    <w:p w14:paraId="3CB0FE67" w14:textId="5995A8C1" w:rsidR="00F67DDB" w:rsidRPr="0070080E" w:rsidRDefault="0080658E" w:rsidP="00244450">
      <w:pPr>
        <w:pStyle w:val="Heading1"/>
      </w:pPr>
      <w:r w:rsidRPr="0070080E">
        <w:lastRenderedPageBreak/>
        <w:fldChar w:fldCharType="end"/>
      </w:r>
      <w:bookmarkStart w:id="5" w:name="_Toc231913422"/>
      <w:bookmarkStart w:id="6" w:name="list-of-tables"/>
      <w:bookmarkEnd w:id="3"/>
      <w:r w:rsidR="0094076D" w:rsidRPr="0070080E">
        <w:t>List of Tables</w:t>
      </w:r>
      <w:bookmarkEnd w:id="5"/>
    </w:p>
    <w:p w14:paraId="3CB0FE68" w14:textId="77777777" w:rsidR="00F67DDB" w:rsidRPr="0070080E" w:rsidRDefault="0094076D">
      <w:pPr>
        <w:pStyle w:val="FirstParagraph"/>
      </w:pPr>
      <w:r w:rsidRPr="0070080E">
        <w:t>Table 3.1 Systematic Gap Mapping in Information Shock Decision Support</w:t>
      </w:r>
    </w:p>
    <w:p w14:paraId="3CB0FE69" w14:textId="77777777" w:rsidR="00F67DDB" w:rsidRPr="0070080E" w:rsidRDefault="0094076D">
      <w:pPr>
        <w:pStyle w:val="BodyText"/>
      </w:pPr>
      <w:r w:rsidRPr="0070080E">
        <w:t>Table 3.2 Shock Score Benchmarking Against Existing Measures</w:t>
      </w:r>
    </w:p>
    <w:p w14:paraId="3CB0FE6A" w14:textId="77777777" w:rsidR="00F67DDB" w:rsidRPr="0070080E" w:rsidRDefault="0094076D">
      <w:pPr>
        <w:pStyle w:val="BodyText"/>
      </w:pPr>
      <w:r w:rsidRPr="0070080E">
        <w:t>Table 4.1 Portfolio Universe</w:t>
      </w:r>
    </w:p>
    <w:p w14:paraId="3CB0FE6B" w14:textId="77777777" w:rsidR="00F67DDB" w:rsidRPr="0070080E" w:rsidRDefault="0094076D">
      <w:pPr>
        <w:pStyle w:val="BodyText"/>
      </w:pPr>
      <w:r w:rsidRPr="0070080E">
        <w:t>Table 4.2 Secondary Data Sources</w:t>
      </w:r>
    </w:p>
    <w:p w14:paraId="3CB0FE6C" w14:textId="77777777" w:rsidR="00F67DDB" w:rsidRPr="0070080E" w:rsidRDefault="0094076D">
      <w:pPr>
        <w:pStyle w:val="BodyText"/>
      </w:pPr>
      <w:r w:rsidRPr="0070080E">
        <w:t>Table 4.3 Scenario Selection Balance Constraints</w:t>
      </w:r>
    </w:p>
    <w:p w14:paraId="3CB0FE6D" w14:textId="77777777" w:rsidR="00F67DDB" w:rsidRPr="0070080E" w:rsidRDefault="0094076D">
      <w:pPr>
        <w:pStyle w:val="BodyText"/>
      </w:pPr>
      <w:r w:rsidRPr="0070080E">
        <w:t>Table 4.4 Shock Score Components</w:t>
      </w:r>
    </w:p>
    <w:p w14:paraId="3CB0FE6E" w14:textId="77777777" w:rsidR="00F67DDB" w:rsidRPr="0070080E" w:rsidRDefault="0094076D">
      <w:pPr>
        <w:pStyle w:val="BodyText"/>
      </w:pPr>
      <w:r w:rsidRPr="0070080E">
        <w:t>Table 4.5 Shock Score Dashboard Components</w:t>
      </w:r>
    </w:p>
    <w:p w14:paraId="3CB0FE6F" w14:textId="77777777" w:rsidR="00F67DDB" w:rsidRPr="0070080E" w:rsidRDefault="0094076D">
      <w:pPr>
        <w:pStyle w:val="BodyText"/>
      </w:pPr>
      <w:r w:rsidRPr="0070080E">
        <w:t>Table 4.6 Counterbalancing Design</w:t>
      </w:r>
    </w:p>
    <w:p w14:paraId="3CB0FE70" w14:textId="77777777" w:rsidR="00F67DDB" w:rsidRPr="0070080E" w:rsidRDefault="0094076D">
      <w:pPr>
        <w:pStyle w:val="BodyText"/>
      </w:pPr>
      <w:r w:rsidRPr="0070080E">
        <w:t>Table 4.7 Survey Response Summary</w:t>
      </w:r>
    </w:p>
    <w:p w14:paraId="3CB0FE71" w14:textId="77777777" w:rsidR="00F67DDB" w:rsidRPr="0070080E" w:rsidRDefault="0094076D">
      <w:pPr>
        <w:pStyle w:val="BodyText"/>
      </w:pPr>
      <w:r w:rsidRPr="0070080E">
        <w:t>Table 4.8 Pilot Feedback Questions</w:t>
      </w:r>
    </w:p>
    <w:p w14:paraId="3CB0FE72" w14:textId="58D8A747" w:rsidR="00F67DDB" w:rsidRPr="0070080E" w:rsidRDefault="0094076D">
      <w:pPr>
        <w:pStyle w:val="BodyText"/>
      </w:pPr>
      <w:r w:rsidRPr="0070080E">
        <w:t>Table 5.1 Respondent Demographics</w:t>
      </w:r>
    </w:p>
    <w:p w14:paraId="3CB0FE73" w14:textId="028831F9" w:rsidR="00F67DDB" w:rsidRPr="0070080E" w:rsidRDefault="0094076D">
      <w:pPr>
        <w:pStyle w:val="BodyText"/>
      </w:pPr>
      <w:r w:rsidRPr="0070080E">
        <w:t>Table 5.2 Shock Score PCA Diagnostics</w:t>
      </w:r>
      <w:r w:rsidR="000A66AA">
        <w:t>—</w:t>
      </w:r>
      <w:r w:rsidRPr="0070080E">
        <w:t>First Principal Component</w:t>
      </w:r>
    </w:p>
    <w:p w14:paraId="3CB0FE74" w14:textId="77777777" w:rsidR="00F67DDB" w:rsidRPr="0070080E" w:rsidRDefault="0094076D">
      <w:pPr>
        <w:pStyle w:val="BodyText"/>
      </w:pPr>
      <w:r w:rsidRPr="0070080E">
        <w:t>Table 5.3 Final Scenario Selection Across Survey Blocks</w:t>
      </w:r>
    </w:p>
    <w:p w14:paraId="3CB0FE75" w14:textId="77777777" w:rsidR="00F67DDB" w:rsidRPr="0070080E" w:rsidRDefault="0094076D">
      <w:pPr>
        <w:pStyle w:val="BodyText"/>
      </w:pPr>
      <w:r w:rsidRPr="0070080E">
        <w:t>Table 5.4 NRS Response Frequency Distribution</w:t>
      </w:r>
    </w:p>
    <w:p w14:paraId="3CB0FE76" w14:textId="033F179A" w:rsidR="00F67DDB" w:rsidRPr="0070080E" w:rsidRDefault="0094076D">
      <w:pPr>
        <w:pStyle w:val="BodyText"/>
      </w:pPr>
      <w:r w:rsidRPr="0070080E">
        <w:t>Table 5.5 Instrument Reliability</w:t>
      </w:r>
      <w:r w:rsidR="000A66AA">
        <w:t>—</w:t>
      </w:r>
      <w:r w:rsidRPr="0070080E">
        <w:t xml:space="preserve">Mean </w:t>
      </w:r>
      <w:proofErr w:type="gramStart"/>
      <w:r w:rsidRPr="0070080E">
        <w:t>ICC(</w:t>
      </w:r>
      <w:proofErr w:type="gramEnd"/>
      <w:r w:rsidRPr="0070080E">
        <w:t>2,1) by Block</w:t>
      </w:r>
    </w:p>
    <w:p w14:paraId="3CB0FE77" w14:textId="1191AABF" w:rsidR="00F67DDB" w:rsidRPr="0070080E" w:rsidRDefault="0094076D">
      <w:pPr>
        <w:pStyle w:val="BodyText"/>
      </w:pPr>
      <w:r w:rsidRPr="0070080E">
        <w:t>Table 5.6 OLS Residual Normality</w:t>
      </w:r>
      <w:r w:rsidR="000A66AA">
        <w:t>—</w:t>
      </w:r>
      <w:r w:rsidRPr="0070080E">
        <w:t>Primary H1 Regression</w:t>
      </w:r>
    </w:p>
    <w:p w14:paraId="3CB0FE78" w14:textId="77777777" w:rsidR="00F67DDB" w:rsidRPr="0070080E" w:rsidRDefault="0094076D">
      <w:pPr>
        <w:pStyle w:val="BodyText"/>
      </w:pPr>
      <w:r w:rsidRPr="0070080E">
        <w:t>Table 5.7 H1 Primary Regression Result</w:t>
      </w:r>
    </w:p>
    <w:p w14:paraId="3CB0FE79" w14:textId="77777777" w:rsidR="00F67DDB" w:rsidRPr="0070080E" w:rsidRDefault="0094076D">
      <w:pPr>
        <w:pStyle w:val="BodyText"/>
      </w:pPr>
      <w:r w:rsidRPr="0070080E">
        <w:t>Table 5.8 H1 Robustness Specification Results</w:t>
      </w:r>
    </w:p>
    <w:p w14:paraId="3CB0FE7A" w14:textId="77777777" w:rsidR="00F67DDB" w:rsidRPr="0070080E" w:rsidRDefault="0094076D">
      <w:pPr>
        <w:pStyle w:val="BodyText"/>
      </w:pPr>
      <w:r w:rsidRPr="0070080E">
        <w:t>Table 5.9 H2 Portfolio Analysis Results</w:t>
      </w:r>
    </w:p>
    <w:p w14:paraId="3CB0FE7B" w14:textId="77777777" w:rsidR="00F67DDB" w:rsidRPr="0070080E" w:rsidRDefault="0094076D">
      <w:pPr>
        <w:pStyle w:val="BodyText"/>
      </w:pPr>
      <w:r w:rsidRPr="0070080E">
        <w:t>Table 5.10 NRS–Sentiment Alignment by Group</w:t>
      </w:r>
    </w:p>
    <w:p w14:paraId="3CB0FE7C" w14:textId="77777777" w:rsidR="00F67DDB" w:rsidRPr="0070080E" w:rsidRDefault="0094076D">
      <w:pPr>
        <w:pStyle w:val="Heading1"/>
      </w:pPr>
      <w:bookmarkStart w:id="7" w:name="_Toc231913423"/>
      <w:bookmarkStart w:id="8" w:name="list-of-figures"/>
      <w:bookmarkEnd w:id="6"/>
      <w:r w:rsidRPr="0070080E">
        <w:lastRenderedPageBreak/>
        <w:t>List of Figures</w:t>
      </w:r>
      <w:bookmarkEnd w:id="7"/>
    </w:p>
    <w:p w14:paraId="3CB0FE7D" w14:textId="01E9E3CA" w:rsidR="00F67DDB" w:rsidRPr="0070080E" w:rsidRDefault="0094076D">
      <w:pPr>
        <w:pStyle w:val="FirstParagraph"/>
      </w:pPr>
      <w:r w:rsidRPr="0070080E">
        <w:t>Figure 2.1 Intraday Price Movement of Meta Platforms Inc.</w:t>
      </w:r>
    </w:p>
    <w:p w14:paraId="3CB0FE7E" w14:textId="77777777" w:rsidR="00F67DDB" w:rsidRPr="0070080E" w:rsidRDefault="0094076D">
      <w:pPr>
        <w:pStyle w:val="BodyText"/>
      </w:pPr>
      <w:r w:rsidRPr="0070080E">
        <w:t>Figure 2.2 Causal Logic of the Study Design</w:t>
      </w:r>
    </w:p>
    <w:p w14:paraId="3CB0FE7F" w14:textId="4828E95A" w:rsidR="00F67DDB" w:rsidRPr="0070080E" w:rsidRDefault="0094076D">
      <w:pPr>
        <w:pStyle w:val="BodyText"/>
      </w:pPr>
      <w:r w:rsidRPr="0070080E">
        <w:t>Figure 4.1 Conceptual Framework</w:t>
      </w:r>
      <w:r w:rsidR="000A66AA">
        <w:t>—</w:t>
      </w:r>
      <w:r w:rsidRPr="0070080E">
        <w:t>Research Design Operationalization</w:t>
      </w:r>
    </w:p>
    <w:p w14:paraId="3CB0FE80" w14:textId="77777777" w:rsidR="00F67DDB" w:rsidRPr="0070080E" w:rsidRDefault="0094076D">
      <w:pPr>
        <w:pStyle w:val="BodyText"/>
      </w:pPr>
      <w:r w:rsidRPr="0070080E">
        <w:t>Figure 4.2 Shock Score Composite Construction</w:t>
      </w:r>
    </w:p>
    <w:p w14:paraId="3CB0FE81" w14:textId="77777777" w:rsidR="00F67DDB" w:rsidRPr="0070080E" w:rsidRDefault="0094076D">
      <w:pPr>
        <w:pStyle w:val="BodyText"/>
      </w:pPr>
      <w:r w:rsidRPr="0070080E">
        <w:t>Figure 4.3 Example Scenario Presentation in the Treatment Condition</w:t>
      </w:r>
    </w:p>
    <w:p w14:paraId="3CB0FE82" w14:textId="77777777" w:rsidR="00F67DDB" w:rsidRPr="0070080E" w:rsidRDefault="0094076D">
      <w:pPr>
        <w:pStyle w:val="BodyText"/>
      </w:pPr>
      <w:r w:rsidRPr="0070080E">
        <w:t>Figure 5.1 Sample Composition by Institution Type and AUM Category</w:t>
      </w:r>
    </w:p>
    <w:p w14:paraId="3CB0FE83" w14:textId="77777777" w:rsidR="00F67DDB" w:rsidRPr="0070080E" w:rsidRDefault="0094076D">
      <w:pPr>
        <w:pStyle w:val="BodyText"/>
      </w:pPr>
      <w:r w:rsidRPr="0070080E">
        <w:t>Figure 5.2 Distribution of Net Risk Stance Responses</w:t>
      </w:r>
    </w:p>
    <w:p w14:paraId="3CB0FE84" w14:textId="77777777" w:rsidR="00F67DDB" w:rsidRPr="0070080E" w:rsidRDefault="0094076D">
      <w:pPr>
        <w:pStyle w:val="BodyText"/>
      </w:pPr>
      <w:r w:rsidRPr="0070080E">
        <w:t>Figure 5.3 Net Risk Stance Distribution by Experimental Condition</w:t>
      </w:r>
    </w:p>
    <w:p w14:paraId="3CB0FE85" w14:textId="77777777" w:rsidR="00F67DDB" w:rsidRPr="0070080E" w:rsidRDefault="0094076D">
      <w:pPr>
        <w:pStyle w:val="BodyText"/>
      </w:pPr>
      <w:r w:rsidRPr="0070080E">
        <w:t>Figure 5.4 Distribution of the Composite Shock Score</w:t>
      </w:r>
    </w:p>
    <w:p w14:paraId="3CB0FE86" w14:textId="77777777" w:rsidR="00F67DDB" w:rsidRPr="0070080E" w:rsidRDefault="0094076D">
      <w:pPr>
        <w:pStyle w:val="BodyText"/>
      </w:pPr>
      <w:r w:rsidRPr="0070080E">
        <w:t>Figure 5.5 Composite Shock Score Versus Actual Realized Horizon Return Across 24 Scenarios</w:t>
      </w:r>
    </w:p>
    <w:p w14:paraId="3CB0FE87" w14:textId="77777777" w:rsidR="00F67DDB" w:rsidRPr="0070080E" w:rsidRDefault="0094076D">
      <w:pPr>
        <w:pStyle w:val="BodyText"/>
      </w:pPr>
      <w:r w:rsidRPr="0070080E">
        <w:t>Figure 5.6 Residual-Normality Diagnostics for the Primary H1 Regression</w:t>
      </w:r>
    </w:p>
    <w:p w14:paraId="3CB0FE88" w14:textId="77777777" w:rsidR="00F67DDB" w:rsidRPr="0070080E" w:rsidRDefault="0094076D">
      <w:pPr>
        <w:pStyle w:val="BodyText"/>
      </w:pPr>
      <w:r w:rsidRPr="0070080E">
        <w:t>Figure 5.7 Forest Plot of OLS Regression Coefficients for the Four Shock Score Components</w:t>
      </w:r>
    </w:p>
    <w:p w14:paraId="3CB0FE89" w14:textId="77777777" w:rsidR="00F67DDB" w:rsidRPr="0070080E" w:rsidRDefault="0094076D">
      <w:pPr>
        <w:pStyle w:val="BodyText"/>
      </w:pPr>
      <w:r w:rsidRPr="0070080E">
        <w:t>Figure 5.8 Sharpe Ratio Comparison Across Experimental Conditions</w:t>
      </w:r>
    </w:p>
    <w:p w14:paraId="3CB0FE8A" w14:textId="77777777" w:rsidR="00F67DDB" w:rsidRPr="0070080E" w:rsidRDefault="0094076D">
      <w:pPr>
        <w:pStyle w:val="BodyText"/>
      </w:pPr>
      <w:r w:rsidRPr="0070080E">
        <w:t>Figure 5.9 Mean NRS by Shock Score Quintile and Experimental Condition</w:t>
      </w:r>
    </w:p>
    <w:p w14:paraId="3CB0FE8B" w14:textId="77777777" w:rsidR="00F67DDB" w:rsidRPr="0070080E" w:rsidRDefault="0094076D">
      <w:pPr>
        <w:pStyle w:val="BodyText"/>
      </w:pPr>
      <w:r w:rsidRPr="0070080E">
        <w:t>Figure 5.10 NRS–Sentiment Alignment Rate by Sentiment Category</w:t>
      </w:r>
    </w:p>
    <w:p w14:paraId="3CB0FE8C" w14:textId="77777777" w:rsidR="00F67DDB" w:rsidRPr="0070080E" w:rsidRDefault="0094076D">
      <w:pPr>
        <w:pStyle w:val="Heading1"/>
      </w:pPr>
      <w:bookmarkStart w:id="9" w:name="_Toc231913424"/>
      <w:bookmarkStart w:id="10" w:name="list-of-abbreviations-and-acronyms"/>
      <w:bookmarkEnd w:id="8"/>
      <w:r w:rsidRPr="0070080E">
        <w:lastRenderedPageBreak/>
        <w:t>List of Abbreviations and Acronyms</w:t>
      </w:r>
      <w:bookmarkEnd w:id="9"/>
    </w:p>
    <w:tbl>
      <w:tblPr>
        <w:tblStyle w:val="Table"/>
        <w:tblW w:w="5000" w:type="pct"/>
        <w:tblLayout w:type="fixed"/>
        <w:tblLook w:val="0020" w:firstRow="1" w:lastRow="0" w:firstColumn="0" w:lastColumn="0" w:noHBand="0" w:noVBand="0"/>
      </w:tblPr>
      <w:tblGrid>
        <w:gridCol w:w="1494"/>
        <w:gridCol w:w="7866"/>
      </w:tblGrid>
      <w:tr w:rsidR="00F67DDB" w:rsidRPr="0070080E" w14:paraId="3CB0FE8F" w14:textId="77777777" w:rsidTr="00CE08D4">
        <w:trPr>
          <w:cnfStyle w:val="100000000000" w:firstRow="1" w:lastRow="0" w:firstColumn="0" w:lastColumn="0" w:oddVBand="0" w:evenVBand="0" w:oddHBand="0" w:evenHBand="0" w:firstRowFirstColumn="0" w:firstRowLastColumn="0" w:lastRowFirstColumn="0" w:lastRowLastColumn="0"/>
          <w:tblHeader/>
        </w:trPr>
        <w:tc>
          <w:tcPr>
            <w:tcW w:w="1548" w:type="dxa"/>
          </w:tcPr>
          <w:p w14:paraId="3CB0FE8D" w14:textId="77777777" w:rsidR="00F67DDB" w:rsidRPr="0070080E" w:rsidRDefault="0094076D">
            <w:pPr>
              <w:pStyle w:val="Compact"/>
            </w:pPr>
            <w:r w:rsidRPr="0070080E">
              <w:t>Abbreviation</w:t>
            </w:r>
          </w:p>
        </w:tc>
        <w:tc>
          <w:tcPr>
            <w:tcW w:w="8193" w:type="dxa"/>
          </w:tcPr>
          <w:p w14:paraId="3CB0FE8E" w14:textId="77777777" w:rsidR="00F67DDB" w:rsidRPr="0070080E" w:rsidRDefault="0094076D">
            <w:pPr>
              <w:pStyle w:val="Compact"/>
            </w:pPr>
            <w:r w:rsidRPr="0070080E">
              <w:t>Definition</w:t>
            </w:r>
          </w:p>
        </w:tc>
      </w:tr>
      <w:tr w:rsidR="00F67DDB" w:rsidRPr="0070080E" w14:paraId="3CB0FE92" w14:textId="77777777" w:rsidTr="006C77E6">
        <w:trPr>
          <w:trHeight w:val="603"/>
        </w:trPr>
        <w:tc>
          <w:tcPr>
            <w:tcW w:w="1548" w:type="dxa"/>
          </w:tcPr>
          <w:p w14:paraId="3CB0FE90"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m:oMathPara>
          </w:p>
        </w:tc>
        <w:tc>
          <w:tcPr>
            <w:tcW w:w="8193" w:type="dxa"/>
          </w:tcPr>
          <w:p w14:paraId="3CB0FE91" w14:textId="10A2FC8C" w:rsidR="00F67DDB" w:rsidRPr="0070080E" w:rsidRDefault="0094076D" w:rsidP="00CE08D4">
            <w:pPr>
              <w:pStyle w:val="Compact"/>
            </w:pPr>
            <w:r w:rsidRPr="0070080E">
              <w:t>Article Count</w:t>
            </w:r>
            <w:r w:rsidR="000A66AA">
              <w:t>—</w:t>
            </w:r>
            <w:r w:rsidRPr="0070080E">
              <w:t>number of distinct news articles attributed to the shock bar for event e; Shock Score component</w:t>
            </w:r>
          </w:p>
        </w:tc>
      </w:tr>
      <w:tr w:rsidR="00F67DDB" w:rsidRPr="0070080E" w14:paraId="3CB0FE95" w14:textId="77777777" w:rsidTr="006C77E6">
        <w:trPr>
          <w:trHeight w:val="639"/>
        </w:trPr>
        <w:tc>
          <w:tcPr>
            <w:tcW w:w="1548" w:type="dxa"/>
          </w:tcPr>
          <w:p w14:paraId="3CB0FE93"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m:oMathPara>
          </w:p>
        </w:tc>
        <w:tc>
          <w:tcPr>
            <w:tcW w:w="8193" w:type="dxa"/>
          </w:tcPr>
          <w:p w14:paraId="3CB0FE94" w14:textId="5EC8FFEE" w:rsidR="00F67DDB" w:rsidRPr="0070080E" w:rsidRDefault="0094076D" w:rsidP="00CE08D4">
            <w:pPr>
              <w:pStyle w:val="Compact"/>
            </w:pPr>
            <w:r w:rsidRPr="0070080E">
              <w:t>Attention Intensity</w:t>
            </w:r>
            <w:r w:rsidR="000A66AA">
              <w:t>—</w:t>
            </w:r>
            <w:r w:rsidRPr="0070080E">
              <w:t>abnormal trading volume on the event day relative to the trailing mean; Shock Score component</w:t>
            </w:r>
          </w:p>
        </w:tc>
      </w:tr>
      <w:tr w:rsidR="00F67DDB" w:rsidRPr="0070080E" w14:paraId="3CB0FE98" w14:textId="77777777" w:rsidTr="00CE08D4">
        <w:tc>
          <w:tcPr>
            <w:tcW w:w="1548" w:type="dxa"/>
          </w:tcPr>
          <w:p w14:paraId="3CB0FE96" w14:textId="77777777" w:rsidR="00F67DDB" w:rsidRPr="0070080E" w:rsidRDefault="0094076D" w:rsidP="00CE08D4">
            <w:pPr>
              <w:pStyle w:val="Compact"/>
            </w:pPr>
            <w:r w:rsidRPr="0070080E">
              <w:t>API</w:t>
            </w:r>
          </w:p>
        </w:tc>
        <w:tc>
          <w:tcPr>
            <w:tcW w:w="8193" w:type="dxa"/>
          </w:tcPr>
          <w:p w14:paraId="3CB0FE97" w14:textId="77777777" w:rsidR="00F67DDB" w:rsidRPr="0070080E" w:rsidRDefault="0094076D" w:rsidP="00CE08D4">
            <w:pPr>
              <w:pStyle w:val="Compact"/>
            </w:pPr>
            <w:r w:rsidRPr="0070080E">
              <w:t>Application Programming Interface</w:t>
            </w:r>
          </w:p>
        </w:tc>
      </w:tr>
      <w:tr w:rsidR="00F67DDB" w:rsidRPr="0070080E" w14:paraId="3CB0FE9B" w14:textId="77777777" w:rsidTr="00CE08D4">
        <w:tc>
          <w:tcPr>
            <w:tcW w:w="1548" w:type="dxa"/>
          </w:tcPr>
          <w:p w14:paraId="3CB0FE99" w14:textId="77777777" w:rsidR="00F67DDB" w:rsidRPr="0070080E" w:rsidRDefault="0094076D" w:rsidP="00CE08D4">
            <w:pPr>
              <w:pStyle w:val="Compact"/>
            </w:pPr>
            <w:r w:rsidRPr="0070080E">
              <w:t>AUM</w:t>
            </w:r>
          </w:p>
        </w:tc>
        <w:tc>
          <w:tcPr>
            <w:tcW w:w="8193" w:type="dxa"/>
          </w:tcPr>
          <w:p w14:paraId="3CB0FE9A" w14:textId="77777777" w:rsidR="00F67DDB" w:rsidRPr="0070080E" w:rsidRDefault="0094076D" w:rsidP="00CE08D4">
            <w:pPr>
              <w:pStyle w:val="Compact"/>
            </w:pPr>
            <w:r w:rsidRPr="0070080E">
              <w:t>Assets Under Management</w:t>
            </w:r>
          </w:p>
        </w:tc>
      </w:tr>
      <w:tr w:rsidR="00F67DDB" w:rsidRPr="0070080E" w14:paraId="3CB0FE9E" w14:textId="77777777" w:rsidTr="00CE08D4">
        <w:tc>
          <w:tcPr>
            <w:tcW w:w="1548" w:type="dxa"/>
          </w:tcPr>
          <w:p w14:paraId="3CB0FE9C" w14:textId="77777777" w:rsidR="00F67DDB" w:rsidRPr="0070080E" w:rsidRDefault="00000000" w:rsidP="00CE08D4">
            <w:pPr>
              <w:pStyle w:val="Compact"/>
            </w:pPr>
            <m:oMathPara>
              <m:oMathParaPr>
                <m:jc m:val="left"/>
              </m:oMathParaPr>
              <m:oMath>
                <m:sSub>
                  <m:sSubPr>
                    <m:ctrlPr>
                      <w:rPr>
                        <w:rFonts w:ascii="Cambria Math" w:hAnsi="Cambria Math"/>
                      </w:rPr>
                    </m:ctrlPr>
                  </m:sSubPr>
                  <m:e>
                    <m:r>
                      <w:rPr>
                        <w:rFonts w:ascii="Cambria Math" w:hAnsi="Cambria Math"/>
                      </w:rPr>
                      <m:t>D</m:t>
                    </m:r>
                  </m:e>
                  <m:sub>
                    <m:r>
                      <m:rPr>
                        <m:sty m:val="p"/>
                      </m:rPr>
                      <w:rPr>
                        <w:rFonts w:ascii="Cambria Math" w:hAnsi="Cambria Math"/>
                      </w:rPr>
                      <m:t>neg</m:t>
                    </m:r>
                  </m:sub>
                </m:sSub>
              </m:oMath>
            </m:oMathPara>
          </w:p>
        </w:tc>
        <w:tc>
          <w:tcPr>
            <w:tcW w:w="8193" w:type="dxa"/>
          </w:tcPr>
          <w:p w14:paraId="3CB0FE9D" w14:textId="77777777" w:rsidR="00F67DDB" w:rsidRPr="0070080E" w:rsidRDefault="0094076D" w:rsidP="00CE08D4">
            <w:pPr>
              <w:pStyle w:val="Compact"/>
            </w:pPr>
            <w:r w:rsidRPr="0070080E">
              <w:t>Binary indicator equal to 1 for negative-sentiment shock events</w:t>
            </w:r>
          </w:p>
        </w:tc>
      </w:tr>
      <w:tr w:rsidR="00F67DDB" w:rsidRPr="0070080E" w14:paraId="3CB0FEA1" w14:textId="77777777" w:rsidTr="00CE08D4">
        <w:tc>
          <w:tcPr>
            <w:tcW w:w="1548" w:type="dxa"/>
          </w:tcPr>
          <w:p w14:paraId="3CB0FE9F" w14:textId="77777777" w:rsidR="00F67DDB" w:rsidRPr="0070080E" w:rsidRDefault="0094076D" w:rsidP="00CE08D4">
            <w:pPr>
              <w:pStyle w:val="Compact"/>
            </w:pPr>
            <w:r w:rsidRPr="0070080E">
              <w:t>DistilBERT</w:t>
            </w:r>
          </w:p>
        </w:tc>
        <w:tc>
          <w:tcPr>
            <w:tcW w:w="8193" w:type="dxa"/>
          </w:tcPr>
          <w:p w14:paraId="3CB0FEA0" w14:textId="41777A3B" w:rsidR="00F67DDB" w:rsidRPr="0070080E" w:rsidRDefault="0094076D" w:rsidP="00CE08D4">
            <w:pPr>
              <w:pStyle w:val="Compact"/>
            </w:pPr>
            <w:r w:rsidRPr="0070080E">
              <w:t>Distilled Bidirectional Encoder Representations from Transformers</w:t>
            </w:r>
            <w:r w:rsidR="000A66AA">
              <w:t>—</w:t>
            </w:r>
            <w:r w:rsidRPr="0070080E">
              <w:t>compact transformer model used for behavioral classification</w:t>
            </w:r>
          </w:p>
        </w:tc>
      </w:tr>
      <w:tr w:rsidR="00F67DDB" w:rsidRPr="0070080E" w14:paraId="3CB0FEA4" w14:textId="77777777" w:rsidTr="00CE08D4">
        <w:tc>
          <w:tcPr>
            <w:tcW w:w="1548" w:type="dxa"/>
          </w:tcPr>
          <w:p w14:paraId="3CB0FEA2"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m:oMathPara>
          </w:p>
        </w:tc>
        <w:tc>
          <w:tcPr>
            <w:tcW w:w="8193" w:type="dxa"/>
          </w:tcPr>
          <w:p w14:paraId="3CB0FEA3" w14:textId="4A423B92" w:rsidR="00F67DDB" w:rsidRPr="0070080E" w:rsidRDefault="0094076D" w:rsidP="00CE08D4">
            <w:pPr>
              <w:pStyle w:val="Compact"/>
            </w:pPr>
            <w:r w:rsidRPr="0070080E">
              <w:t>Event-Type Severity</w:t>
            </w:r>
            <w:r w:rsidR="000A66AA">
              <w:t>—</w:t>
            </w:r>
            <w:r w:rsidRPr="0070080E">
              <w:t>shock-bar price impact relative to baseline intraday volatility; Shock Score component</w:t>
            </w:r>
          </w:p>
        </w:tc>
      </w:tr>
      <w:tr w:rsidR="00F67DDB" w:rsidRPr="0070080E" w14:paraId="3CB0FEA7" w14:textId="77777777" w:rsidTr="00CE08D4">
        <w:tc>
          <w:tcPr>
            <w:tcW w:w="1548" w:type="dxa"/>
          </w:tcPr>
          <w:p w14:paraId="3CB0FEA5"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m:oMathPara>
          </w:p>
        </w:tc>
        <w:tc>
          <w:tcPr>
            <w:tcW w:w="8193" w:type="dxa"/>
          </w:tcPr>
          <w:p w14:paraId="3CB0FEA6" w14:textId="77777777" w:rsidR="00F67DDB" w:rsidRPr="0070080E" w:rsidRDefault="0094076D" w:rsidP="00CE08D4">
            <w:pPr>
              <w:pStyle w:val="Compact"/>
            </w:pPr>
            <w:r w:rsidRPr="0070080E">
              <w:t>Unstandardized Event-Type Severity value used in the decomposed component specification</w:t>
            </w:r>
          </w:p>
        </w:tc>
      </w:tr>
      <w:tr w:rsidR="00F67DDB" w:rsidRPr="0070080E" w14:paraId="3CB0FEAA" w14:textId="77777777" w:rsidTr="00CE08D4">
        <w:tc>
          <w:tcPr>
            <w:tcW w:w="1548" w:type="dxa"/>
          </w:tcPr>
          <w:p w14:paraId="3CB0FEA8" w14:textId="77777777" w:rsidR="00F67DDB" w:rsidRPr="0070080E" w:rsidRDefault="0094076D" w:rsidP="00CE08D4">
            <w:pPr>
              <w:pStyle w:val="Compact"/>
            </w:pPr>
            <w:r w:rsidRPr="0070080E">
              <w:t>FEARS</w:t>
            </w:r>
          </w:p>
        </w:tc>
        <w:tc>
          <w:tcPr>
            <w:tcW w:w="8193" w:type="dxa"/>
          </w:tcPr>
          <w:p w14:paraId="3CB0FEA9" w14:textId="55EEFA4F" w:rsidR="00F67DDB" w:rsidRPr="0070080E" w:rsidRDefault="0094076D" w:rsidP="00CE08D4">
            <w:pPr>
              <w:pStyle w:val="Compact"/>
            </w:pPr>
            <w:r w:rsidRPr="0070080E">
              <w:t>Financial and Economic Attitudes Revealed by Search</w:t>
            </w:r>
            <w:r w:rsidR="000A66AA">
              <w:t>—</w:t>
            </w:r>
            <w:r w:rsidRPr="0070080E">
              <w:t>Google-search-based investor sentiment index (Da et al., 2015)</w:t>
            </w:r>
          </w:p>
        </w:tc>
      </w:tr>
      <w:tr w:rsidR="00F67DDB" w:rsidRPr="0070080E" w14:paraId="3CB0FEAD" w14:textId="77777777" w:rsidTr="00CE08D4">
        <w:tc>
          <w:tcPr>
            <w:tcW w:w="1548" w:type="dxa"/>
          </w:tcPr>
          <w:p w14:paraId="3CB0FEAB" w14:textId="77777777" w:rsidR="00F67DDB" w:rsidRPr="0070080E" w:rsidRDefault="0094076D" w:rsidP="00CE08D4">
            <w:pPr>
              <w:pStyle w:val="Compact"/>
            </w:pPr>
            <w:r w:rsidRPr="0070080E">
              <w:t>FinBERT</w:t>
            </w:r>
          </w:p>
        </w:tc>
        <w:tc>
          <w:tcPr>
            <w:tcW w:w="8193" w:type="dxa"/>
          </w:tcPr>
          <w:p w14:paraId="3CB0FEAC" w14:textId="77777777" w:rsidR="00F67DDB" w:rsidRPr="0070080E" w:rsidRDefault="0094076D" w:rsidP="00CE08D4">
            <w:pPr>
              <w:pStyle w:val="Compact"/>
            </w:pPr>
            <w:r w:rsidRPr="0070080E">
              <w:t>Finance-domain pre-trained BERT model used for article-level sentiment scoring (Yang et al., 2020)</w:t>
            </w:r>
          </w:p>
        </w:tc>
      </w:tr>
      <w:tr w:rsidR="00F67DDB" w:rsidRPr="0070080E" w14:paraId="3CB0FEB0" w14:textId="77777777" w:rsidTr="00CE08D4">
        <w:tc>
          <w:tcPr>
            <w:tcW w:w="1548" w:type="dxa"/>
          </w:tcPr>
          <w:p w14:paraId="3CB0FEAE" w14:textId="77777777" w:rsidR="00F67DDB" w:rsidRPr="0070080E" w:rsidRDefault="0094076D" w:rsidP="00CE08D4">
            <w:pPr>
              <w:pStyle w:val="Compact"/>
            </w:pPr>
            <w:r w:rsidRPr="0070080E">
              <w:t>GICS</w:t>
            </w:r>
          </w:p>
        </w:tc>
        <w:tc>
          <w:tcPr>
            <w:tcW w:w="8193" w:type="dxa"/>
          </w:tcPr>
          <w:p w14:paraId="3CB0FEAF" w14:textId="77777777" w:rsidR="00F67DDB" w:rsidRPr="0070080E" w:rsidRDefault="0094076D" w:rsidP="00CE08D4">
            <w:pPr>
              <w:pStyle w:val="Compact"/>
            </w:pPr>
            <w:r w:rsidRPr="0070080E">
              <w:t>Global Industry Classification Standard</w:t>
            </w:r>
          </w:p>
        </w:tc>
      </w:tr>
      <w:tr w:rsidR="00F67DDB" w:rsidRPr="0070080E" w14:paraId="3CB0FEB3" w14:textId="77777777" w:rsidTr="00CE08D4">
        <w:tc>
          <w:tcPr>
            <w:tcW w:w="1548" w:type="dxa"/>
          </w:tcPr>
          <w:p w14:paraId="3CB0FEB1" w14:textId="77777777" w:rsidR="00F67DDB" w:rsidRPr="0070080E" w:rsidRDefault="0094076D" w:rsidP="00CE08D4">
            <w:pPr>
              <w:pStyle w:val="Compact"/>
            </w:pPr>
            <w:r w:rsidRPr="0070080E">
              <w:t>HC3</w:t>
            </w:r>
          </w:p>
        </w:tc>
        <w:tc>
          <w:tcPr>
            <w:tcW w:w="8193" w:type="dxa"/>
          </w:tcPr>
          <w:p w14:paraId="3CB0FEB2" w14:textId="77777777" w:rsidR="00F67DDB" w:rsidRPr="0070080E" w:rsidRDefault="0094076D" w:rsidP="00CE08D4">
            <w:pPr>
              <w:pStyle w:val="Compact"/>
            </w:pPr>
            <w:r w:rsidRPr="0070080E">
              <w:t>Heteroskedasticity-Consistent standard error estimator, finite-sample variant 3</w:t>
            </w:r>
          </w:p>
        </w:tc>
      </w:tr>
      <w:tr w:rsidR="00F67DDB" w:rsidRPr="0070080E" w14:paraId="3CB0FEB6" w14:textId="77777777" w:rsidTr="00CE08D4">
        <w:tc>
          <w:tcPr>
            <w:tcW w:w="1548" w:type="dxa"/>
          </w:tcPr>
          <w:p w14:paraId="3CB0FEB4" w14:textId="77777777" w:rsidR="00F67DDB" w:rsidRPr="0070080E" w:rsidRDefault="0094076D" w:rsidP="00CE08D4">
            <w:pPr>
              <w:pStyle w:val="Compact"/>
            </w:pPr>
            <w:r w:rsidRPr="0070080E">
              <w:t>IBKR</w:t>
            </w:r>
          </w:p>
        </w:tc>
        <w:tc>
          <w:tcPr>
            <w:tcW w:w="8193" w:type="dxa"/>
          </w:tcPr>
          <w:p w14:paraId="3CB0FEB5" w14:textId="77777777" w:rsidR="00F67DDB" w:rsidRPr="0070080E" w:rsidRDefault="0094076D" w:rsidP="00CE08D4">
            <w:pPr>
              <w:pStyle w:val="Compact"/>
            </w:pPr>
            <w:r w:rsidRPr="0070080E">
              <w:t>Interactive Brokers</w:t>
            </w:r>
          </w:p>
        </w:tc>
      </w:tr>
      <w:tr w:rsidR="00F67DDB" w:rsidRPr="0070080E" w14:paraId="3CB0FEB9" w14:textId="77777777" w:rsidTr="00CE08D4">
        <w:tc>
          <w:tcPr>
            <w:tcW w:w="1548" w:type="dxa"/>
          </w:tcPr>
          <w:p w14:paraId="3CB0FEB7" w14:textId="77777777" w:rsidR="00F67DDB" w:rsidRPr="0070080E" w:rsidRDefault="0094076D" w:rsidP="00CE08D4">
            <w:pPr>
              <w:pStyle w:val="Compact"/>
            </w:pPr>
            <w:r w:rsidRPr="0070080E">
              <w:t>ICC</w:t>
            </w:r>
          </w:p>
        </w:tc>
        <w:tc>
          <w:tcPr>
            <w:tcW w:w="8193" w:type="dxa"/>
          </w:tcPr>
          <w:p w14:paraId="3CB0FEB8" w14:textId="77777777" w:rsidR="00F67DDB" w:rsidRPr="0070080E" w:rsidRDefault="0094076D" w:rsidP="00CE08D4">
            <w:pPr>
              <w:pStyle w:val="Compact"/>
            </w:pPr>
            <w:r w:rsidRPr="0070080E">
              <w:t>Intraclass Correlation Coefficient</w:t>
            </w:r>
          </w:p>
        </w:tc>
      </w:tr>
      <w:tr w:rsidR="00F67DDB" w:rsidRPr="0070080E" w14:paraId="3CB0FEBC" w14:textId="77777777" w:rsidTr="00CE08D4">
        <w:tc>
          <w:tcPr>
            <w:tcW w:w="1548" w:type="dxa"/>
          </w:tcPr>
          <w:p w14:paraId="3CB0FEBA" w14:textId="77777777" w:rsidR="00F67DDB" w:rsidRPr="0070080E" w:rsidRDefault="0094076D" w:rsidP="00CE08D4">
            <w:pPr>
              <w:pStyle w:val="Compact"/>
            </w:pPr>
            <w:r w:rsidRPr="0070080E">
              <w:t>LLM</w:t>
            </w:r>
          </w:p>
        </w:tc>
        <w:tc>
          <w:tcPr>
            <w:tcW w:w="8193" w:type="dxa"/>
          </w:tcPr>
          <w:p w14:paraId="3CB0FEBB" w14:textId="77777777" w:rsidR="00F67DDB" w:rsidRPr="0070080E" w:rsidRDefault="0094076D" w:rsidP="00CE08D4">
            <w:pPr>
              <w:pStyle w:val="Compact"/>
            </w:pPr>
            <w:r w:rsidRPr="0070080E">
              <w:t>Large Language Model</w:t>
            </w:r>
          </w:p>
        </w:tc>
      </w:tr>
      <w:tr w:rsidR="00F67DDB" w:rsidRPr="0070080E" w14:paraId="3CB0FEBF" w14:textId="77777777" w:rsidTr="00CE08D4">
        <w:tc>
          <w:tcPr>
            <w:tcW w:w="1548" w:type="dxa"/>
          </w:tcPr>
          <w:p w14:paraId="3CB0FEBD" w14:textId="77777777" w:rsidR="00F67DDB" w:rsidRPr="0070080E" w:rsidRDefault="0094076D" w:rsidP="00CE08D4">
            <w:pPr>
              <w:pStyle w:val="Compact"/>
            </w:pPr>
            <w:r w:rsidRPr="0070080E">
              <w:t>MAR</w:t>
            </w:r>
          </w:p>
        </w:tc>
        <w:tc>
          <w:tcPr>
            <w:tcW w:w="8193" w:type="dxa"/>
          </w:tcPr>
          <w:p w14:paraId="3CB0FEBE" w14:textId="77777777" w:rsidR="00F67DDB" w:rsidRPr="0070080E" w:rsidRDefault="0094076D" w:rsidP="00CE08D4">
            <w:pPr>
              <w:pStyle w:val="Compact"/>
            </w:pPr>
            <w:r w:rsidRPr="0070080E">
              <w:t>Minimum Acceptable Return</w:t>
            </w:r>
          </w:p>
        </w:tc>
      </w:tr>
      <w:tr w:rsidR="00F67DDB" w:rsidRPr="0070080E" w14:paraId="3CB0FEC2" w14:textId="77777777" w:rsidTr="00CE08D4">
        <w:tc>
          <w:tcPr>
            <w:tcW w:w="1548" w:type="dxa"/>
          </w:tcPr>
          <w:p w14:paraId="3CB0FEC0" w14:textId="77777777" w:rsidR="00F67DDB" w:rsidRPr="0070080E" w:rsidRDefault="0094076D" w:rsidP="00CE08D4">
            <w:pPr>
              <w:pStyle w:val="Compact"/>
            </w:pPr>
            <w:r w:rsidRPr="0070080E">
              <w:t>NRS</w:t>
            </w:r>
          </w:p>
        </w:tc>
        <w:tc>
          <w:tcPr>
            <w:tcW w:w="8193" w:type="dxa"/>
          </w:tcPr>
          <w:p w14:paraId="3CB0FEC1" w14:textId="62A26882" w:rsidR="00F67DDB" w:rsidRPr="0070080E" w:rsidRDefault="0094076D" w:rsidP="00CE08D4">
            <w:pPr>
              <w:pStyle w:val="Compact"/>
            </w:pPr>
            <w:r w:rsidRPr="0070080E">
              <w:t>Net Risk Stance</w:t>
            </w:r>
            <w:r w:rsidR="000A66AA">
              <w:t>—</w:t>
            </w:r>
            <w:r w:rsidRPr="0070080E">
              <w:t>seven-point scale capturing the direction and intensity of a manager’s intended portfolio exposure adjustment</w:t>
            </w:r>
          </w:p>
        </w:tc>
      </w:tr>
      <w:tr w:rsidR="00F67DDB" w:rsidRPr="0070080E" w14:paraId="3CB0FEC5" w14:textId="77777777" w:rsidTr="00CE08D4">
        <w:tc>
          <w:tcPr>
            <w:tcW w:w="1548" w:type="dxa"/>
          </w:tcPr>
          <w:p w14:paraId="3CB0FEC3" w14:textId="77777777" w:rsidR="00F67DDB" w:rsidRPr="0070080E" w:rsidRDefault="00000000" w:rsidP="00CE08D4">
            <w:pPr>
              <w:pStyle w:val="Compact"/>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e</m:t>
                    </m:r>
                  </m:sub>
                </m:sSub>
              </m:oMath>
            </m:oMathPara>
          </w:p>
        </w:tc>
        <w:tc>
          <w:tcPr>
            <w:tcW w:w="8193" w:type="dxa"/>
          </w:tcPr>
          <w:p w14:paraId="3CB0FEC4" w14:textId="328CC8CA" w:rsidR="00F67DDB" w:rsidRPr="0070080E" w:rsidRDefault="0094076D" w:rsidP="00CE08D4">
            <w:pPr>
              <w:pStyle w:val="Compact"/>
            </w:pPr>
            <w:r w:rsidRPr="0070080E">
              <w:t>Persistence score for event e</w:t>
            </w:r>
            <w:r w:rsidR="000A66AA">
              <w:t>—</w:t>
            </w:r>
            <w:r w:rsidRPr="0070080E">
              <w:t>operationalizes the expected decision-relevance horizon of the information shock</w:t>
            </w:r>
          </w:p>
        </w:tc>
      </w:tr>
      <w:tr w:rsidR="00F67DDB" w:rsidRPr="0070080E" w14:paraId="3CB0FEC8" w14:textId="77777777" w:rsidTr="00CE08D4">
        <w:tc>
          <w:tcPr>
            <w:tcW w:w="1548" w:type="dxa"/>
          </w:tcPr>
          <w:p w14:paraId="3CB0FEC6" w14:textId="77777777" w:rsidR="00F67DDB" w:rsidRPr="0070080E" w:rsidRDefault="0094076D" w:rsidP="00CE08D4">
            <w:pPr>
              <w:pStyle w:val="Compact"/>
            </w:pPr>
            <w:r w:rsidRPr="0070080E">
              <w:t>PC1</w:t>
            </w:r>
          </w:p>
        </w:tc>
        <w:tc>
          <w:tcPr>
            <w:tcW w:w="8193" w:type="dxa"/>
          </w:tcPr>
          <w:p w14:paraId="3CB0FEC7" w14:textId="77777777" w:rsidR="00F67DDB" w:rsidRPr="0070080E" w:rsidRDefault="0094076D" w:rsidP="00CE08D4">
            <w:pPr>
              <w:pStyle w:val="Compact"/>
            </w:pPr>
            <w:r w:rsidRPr="0070080E">
              <w:t>First Principal Component</w:t>
            </w:r>
          </w:p>
        </w:tc>
      </w:tr>
      <w:tr w:rsidR="00F67DDB" w:rsidRPr="0070080E" w14:paraId="3CB0FECB" w14:textId="77777777" w:rsidTr="00CE08D4">
        <w:tc>
          <w:tcPr>
            <w:tcW w:w="1548" w:type="dxa"/>
          </w:tcPr>
          <w:p w14:paraId="3CB0FEC9" w14:textId="77777777" w:rsidR="00F67DDB" w:rsidRPr="0070080E" w:rsidRDefault="0094076D" w:rsidP="00CE08D4">
            <w:pPr>
              <w:pStyle w:val="Compact"/>
            </w:pPr>
            <w:r w:rsidRPr="0070080E">
              <w:t>PCA</w:t>
            </w:r>
          </w:p>
        </w:tc>
        <w:tc>
          <w:tcPr>
            <w:tcW w:w="8193" w:type="dxa"/>
          </w:tcPr>
          <w:p w14:paraId="3CB0FECA" w14:textId="77777777" w:rsidR="00F67DDB" w:rsidRPr="0070080E" w:rsidRDefault="0094076D" w:rsidP="00CE08D4">
            <w:pPr>
              <w:pStyle w:val="Compact"/>
            </w:pPr>
            <w:r w:rsidRPr="0070080E">
              <w:t>Principal Component Analysis</w:t>
            </w:r>
          </w:p>
        </w:tc>
      </w:tr>
      <w:tr w:rsidR="00F67DDB" w:rsidRPr="0070080E" w14:paraId="3CB0FECE" w14:textId="77777777" w:rsidTr="00CE08D4">
        <w:tc>
          <w:tcPr>
            <w:tcW w:w="1548" w:type="dxa"/>
          </w:tcPr>
          <w:p w14:paraId="3CB0FECC" w14:textId="77777777" w:rsidR="00F67DDB" w:rsidRPr="0070080E" w:rsidRDefault="0094076D" w:rsidP="00CE08D4">
            <w:pPr>
              <w:pStyle w:val="Compact"/>
            </w:pPr>
            <w:r w:rsidRPr="0070080E">
              <w:t>RF</w:t>
            </w:r>
          </w:p>
        </w:tc>
        <w:tc>
          <w:tcPr>
            <w:tcW w:w="8193" w:type="dxa"/>
          </w:tcPr>
          <w:p w14:paraId="3CB0FECD" w14:textId="77777777" w:rsidR="00F67DDB" w:rsidRPr="0070080E" w:rsidRDefault="0094076D" w:rsidP="00CE08D4">
            <w:pPr>
              <w:pStyle w:val="Compact"/>
            </w:pPr>
            <w:r w:rsidRPr="0070080E">
              <w:t>Risk-free rate</w:t>
            </w:r>
          </w:p>
        </w:tc>
      </w:tr>
      <w:tr w:rsidR="00F67DDB" w:rsidRPr="0070080E" w14:paraId="3CB0FED1" w14:textId="77777777" w:rsidTr="00CE08D4">
        <w:tc>
          <w:tcPr>
            <w:tcW w:w="1548" w:type="dxa"/>
          </w:tcPr>
          <w:p w14:paraId="3CB0FECF"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m:oMathPara>
          </w:p>
        </w:tc>
        <w:tc>
          <w:tcPr>
            <w:tcW w:w="8193" w:type="dxa"/>
          </w:tcPr>
          <w:p w14:paraId="3CB0FED0" w14:textId="363D61E4" w:rsidR="00F67DDB" w:rsidRPr="0070080E" w:rsidRDefault="0094076D" w:rsidP="00CE08D4">
            <w:pPr>
              <w:pStyle w:val="Compact"/>
            </w:pPr>
            <w:r w:rsidRPr="0070080E">
              <w:t>Shock Score composite</w:t>
            </w:r>
            <w:r w:rsidR="000A66AA">
              <w:t>—</w:t>
            </w:r>
            <w:r w:rsidRPr="0070080E">
              <w:t>PCA-based first principal component of the four standardized Shock Score components</w:t>
            </w:r>
          </w:p>
        </w:tc>
      </w:tr>
      <w:tr w:rsidR="00F67DDB" w:rsidRPr="0070080E" w14:paraId="3CB0FED4" w14:textId="77777777" w:rsidTr="00CE08D4">
        <w:tc>
          <w:tcPr>
            <w:tcW w:w="1548" w:type="dxa"/>
          </w:tcPr>
          <w:p w14:paraId="3CB0FED2"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m:oMathPara>
          </w:p>
        </w:tc>
        <w:tc>
          <w:tcPr>
            <w:tcW w:w="8193" w:type="dxa"/>
          </w:tcPr>
          <w:p w14:paraId="3CB0FED3" w14:textId="3BAF6E26" w:rsidR="00F67DDB" w:rsidRPr="0070080E" w:rsidRDefault="0094076D" w:rsidP="00CE08D4">
            <w:pPr>
              <w:pStyle w:val="Compact"/>
            </w:pPr>
            <w:r w:rsidRPr="0070080E">
              <w:t>Sentiment Extremity</w:t>
            </w:r>
            <w:r w:rsidR="000A66AA">
              <w:t>—</w:t>
            </w:r>
            <w:r w:rsidRPr="0070080E">
              <w:t>maximum absolute FinBERT sentiment score across event-day articles; Shock Score component</w:t>
            </w:r>
          </w:p>
        </w:tc>
      </w:tr>
      <w:tr w:rsidR="00F67DDB" w:rsidRPr="0070080E" w14:paraId="3CB0FED7" w14:textId="77777777" w:rsidTr="00CE08D4">
        <w:tc>
          <w:tcPr>
            <w:tcW w:w="1548" w:type="dxa"/>
          </w:tcPr>
          <w:p w14:paraId="3CB0FED5" w14:textId="77777777" w:rsidR="00F67DDB" w:rsidRPr="0070080E" w:rsidRDefault="0094076D" w:rsidP="00CE08D4">
            <w:pPr>
              <w:pStyle w:val="Compact"/>
            </w:pPr>
            <w:r w:rsidRPr="0070080E">
              <w:t>ShowSC</w:t>
            </w:r>
          </w:p>
        </w:tc>
        <w:tc>
          <w:tcPr>
            <w:tcW w:w="8193" w:type="dxa"/>
          </w:tcPr>
          <w:p w14:paraId="3CB0FED6" w14:textId="77777777" w:rsidR="00F67DDB" w:rsidRPr="0070080E" w:rsidRDefault="0094076D" w:rsidP="00CE08D4">
            <w:pPr>
              <w:pStyle w:val="Compact"/>
            </w:pPr>
            <w:r w:rsidRPr="0070080E">
              <w:t>Treatment indicator: ShowSC = 1 if the Shock Score dashboard is displayed; ShowSC = 0 if withheld</w:t>
            </w:r>
          </w:p>
        </w:tc>
      </w:tr>
      <w:tr w:rsidR="00F67DDB" w:rsidRPr="0070080E" w14:paraId="3CB0FEDA" w14:textId="77777777" w:rsidTr="00CE08D4">
        <w:tc>
          <w:tcPr>
            <w:tcW w:w="1548" w:type="dxa"/>
          </w:tcPr>
          <w:p w14:paraId="3CB0FED8" w14:textId="77777777" w:rsidR="00F67DDB" w:rsidRPr="0070080E"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T</m:t>
                    </m:r>
                  </m:e>
                  <m:sub>
                    <m:r>
                      <w:rPr>
                        <w:rFonts w:ascii="Cambria Math" w:hAnsi="Cambria Math"/>
                      </w:rPr>
                      <m:t>e</m:t>
                    </m:r>
                  </m:sub>
                </m:sSub>
              </m:oMath>
            </m:oMathPara>
          </w:p>
        </w:tc>
        <w:tc>
          <w:tcPr>
            <w:tcW w:w="8193" w:type="dxa"/>
          </w:tcPr>
          <w:p w14:paraId="3CB0FED9" w14:textId="77777777" w:rsidR="00F67DDB" w:rsidRPr="0070080E" w:rsidRDefault="0094076D" w:rsidP="00CE08D4">
            <w:pPr>
              <w:pStyle w:val="Compact"/>
            </w:pPr>
            <w:r w:rsidRPr="0070080E">
              <w:t>Intensity trigger variable mapping the Shock Score to a pre-commitment protocol tier</w:t>
            </w:r>
          </w:p>
        </w:tc>
      </w:tr>
    </w:tbl>
    <w:p w14:paraId="3CB0FEDB" w14:textId="77777777" w:rsidR="00F67DDB" w:rsidRPr="0070080E" w:rsidRDefault="0094076D">
      <w:pPr>
        <w:pStyle w:val="Heading1"/>
      </w:pPr>
      <w:bookmarkStart w:id="11" w:name="_Toc231913425"/>
      <w:bookmarkStart w:id="12" w:name="executive-summary"/>
      <w:bookmarkEnd w:id="10"/>
      <w:r w:rsidRPr="0070080E">
        <w:lastRenderedPageBreak/>
        <w:t>Executive Summary</w:t>
      </w:r>
      <w:bookmarkEnd w:id="11"/>
    </w:p>
    <w:p w14:paraId="3CB0FEDC" w14:textId="79E3F520" w:rsidR="00F67DDB" w:rsidRPr="0070080E" w:rsidRDefault="0094076D">
      <w:pPr>
        <w:pStyle w:val="FirstParagraph"/>
      </w:pPr>
      <w:r w:rsidRPr="0070080E">
        <w:t>Professional investors are known to make systematic decision errors when sudden, emotionally charged news events disrupt the market. This thesis builds and tests a tool that measures how intense such an event is and predicts how strongly it will move a manager’s risk decisions. The tool, called the Shock Score, is constructed entirely from publicly available secondary data</w:t>
      </w:r>
      <w:r w:rsidR="000A66AA">
        <w:t>—</w:t>
      </w:r>
      <w:r w:rsidRPr="0070080E">
        <w:t>market prices and news obtained from Interactive Brokers and Benzinga</w:t>
      </w:r>
      <w:r w:rsidR="000A66AA">
        <w:t>—</w:t>
      </w:r>
      <w:r w:rsidRPr="0070080E">
        <w:t>rather than from any proprietary source.</w:t>
      </w:r>
    </w:p>
    <w:p w14:paraId="3CB0FEDD" w14:textId="77777777" w:rsidR="00F67DDB" w:rsidRPr="0070080E" w:rsidRDefault="0094076D">
      <w:pPr>
        <w:pStyle w:val="BodyText"/>
      </w:pPr>
      <w:r w:rsidRPr="0070080E">
        <w:t>The study is motivated by a gap between behavioral finance theory and practice. Research has established that discrete, emotionally salient information events can push managers away from disciplined portfolio management, yet most existing decision-support systems are built for quantitative analysis rather than for reducing bias before a decision is made. This thesis addresses that gap by designing, constructing, and empirically evaluating an original composite indicator.</w:t>
      </w:r>
    </w:p>
    <w:p w14:paraId="3CB0FEDE" w14:textId="3BA93A3D" w:rsidR="00F67DDB" w:rsidRPr="0070080E" w:rsidRDefault="0094076D">
      <w:pPr>
        <w:pStyle w:val="BodyText"/>
      </w:pPr>
      <w:r w:rsidRPr="0070080E">
        <w:t>The Shock Score combines four signals</w:t>
      </w:r>
      <w:r w:rsidR="000A66AA">
        <w:t>—</w:t>
      </w:r>
      <w:r w:rsidRPr="0070080E">
        <w:t>the number of news articles, the strength of news sentiment, abnormal trading attention, and the severity of the event type</w:t>
      </w:r>
      <w:r w:rsidR="000A66AA">
        <w:t>—</w:t>
      </w:r>
      <w:r w:rsidRPr="0070080E">
        <w:t xml:space="preserve">into a single index using principal component analysis. A manager’s decision is captured by the Net Risk Stance, a seven-point measure of how much the manager intends to reduce or increase exposure to a holding. The thesis asks two questions. First, does the Shock Score predict a manager’s risk decision, as measured by the Net Risk Stance? Second, does showing the manager a dashboard of the Shock Score change that intended decision and, in turn, the simulated </w:t>
      </w:r>
      <w:r w:rsidR="00400BE9">
        <w:t>risk–return</w:t>
      </w:r>
      <w:r w:rsidR="00A969D0">
        <w:t xml:space="preserve"> </w:t>
      </w:r>
      <w:r w:rsidR="00A969D0" w:rsidRPr="0070080E">
        <w:t>profile</w:t>
      </w:r>
      <w:r w:rsidRPr="0070080E">
        <w:t xml:space="preserve"> and dollar value of the portfolio?</w:t>
      </w:r>
    </w:p>
    <w:p w14:paraId="3CB0FEDF" w14:textId="565B9968" w:rsidR="00F67DDB" w:rsidRPr="0070080E" w:rsidRDefault="0094076D">
      <w:pPr>
        <w:pStyle w:val="BodyText"/>
      </w:pPr>
      <w:r w:rsidRPr="0070080E">
        <w:t>To answer these questions, 53 international professional equity portfolio managers each responded to a set of real-market scenarios drawn from large-capitalization U.S. equities</w:t>
      </w:r>
      <w:r w:rsidR="000A66AA">
        <w:t>—</w:t>
      </w:r>
      <w:r w:rsidRPr="0070080E">
        <w:t>24 scenarios across three blocks</w:t>
      </w:r>
      <w:r w:rsidR="000A66AA">
        <w:t>—</w:t>
      </w:r>
      <w:r w:rsidRPr="0070080E">
        <w:t>presented with news information and, for half of the scenarios, the Shock Score dashboard. Because every manager saw both conditions, the design separates the effect of the indicator from stable differences between individuals. The responses were analyzed using regression methods with standard errors that account for repeated responses by the same manager and the same event.</w:t>
      </w:r>
    </w:p>
    <w:p w14:paraId="3CB0FEE0" w14:textId="429F3040" w:rsidR="00F67DDB" w:rsidRDefault="0094076D">
      <w:pPr>
        <w:pStyle w:val="BodyText"/>
      </w:pPr>
      <w:r w:rsidRPr="0070080E">
        <w:lastRenderedPageBreak/>
        <w:t>The first question is answered clearly. Across 424 scenario-level responses, the Shock Score is a statistically significant negative predictor of the Net Risk Stance (β₁ = −0.4874, p = 0.0015): the more intense the information shock, the more managers intend to reduce risk</w:t>
      </w:r>
      <w:r w:rsidR="000A66AA">
        <w:t>—</w:t>
      </w:r>
      <w:r w:rsidRPr="0070080E">
        <w:t>even when the underlying news is favorable. This pattern is consistent with situational risk aversion under stress rather than with a panic-driven over-reaction. Decomposing the index shows that its components do not act uniformly: the strength of news sentiment and abnormal attention drive the risk-reducing response, whereas the severity of the event type works in the opposite direction. The second question is not resolved in this sample: showing the Shock Score dashboard does not have a statistically significant effect on portfolio outcomes (τ = −0.1584, p = 0.7428), a result attributed mainly to limited statistical power rather than to a confirmed absence of effect.</w:t>
      </w:r>
    </w:p>
    <w:p w14:paraId="433F814E" w14:textId="1EA034E6" w:rsidR="00AC7AD7" w:rsidRPr="0070080E" w:rsidRDefault="00AC7AD7">
      <w:pPr>
        <w:pStyle w:val="BodyText"/>
      </w:pPr>
      <w:r w:rsidRPr="00AC7AD7">
        <w:t>In hypothesis-testing terms, the null hypothesis H1₀ (no association between shock intensity and Net Risk Stance) is rejected, whereas the null hypothesis H2₀ (no effect of the Shock Score on portfolio risk–return outcomes) is not rejected in the present sample.</w:t>
      </w:r>
    </w:p>
    <w:p w14:paraId="3CB0FEE1" w14:textId="6E7DC919" w:rsidR="00F67DDB" w:rsidRPr="0070080E" w:rsidRDefault="0094076D">
      <w:pPr>
        <w:pStyle w:val="BodyText"/>
      </w:pPr>
      <w:r w:rsidRPr="0070080E">
        <w:t>The thesis concludes that external information shocks are associated with measurable, systematic shifts in professional managers’ risk decisions, and that these shifts can be predicted and decomposed using a composite indicator built from market and news data</w:t>
      </w:r>
      <w:r w:rsidR="000A66AA">
        <w:t>—</w:t>
      </w:r>
      <w:r w:rsidRPr="0070080E">
        <w:t>the central contribution of the work. Whether displaying the indicator mod</w:t>
      </w:r>
      <w:commentRangeStart w:id="13"/>
      <w:commentRangeStart w:id="14"/>
      <w:r w:rsidRPr="0070080E">
        <w:t>erate</w:t>
      </w:r>
      <w:commentRangeEnd w:id="13"/>
      <w:r w:rsidR="00F94C43" w:rsidRPr="0070080E">
        <w:rPr>
          <w:rStyle w:val="CommentReference"/>
          <w:sz w:val="22"/>
          <w:szCs w:val="24"/>
        </w:rPr>
        <w:commentReference w:id="13"/>
      </w:r>
      <w:commentRangeEnd w:id="14"/>
      <w:r w:rsidR="005643F8">
        <w:rPr>
          <w:rStyle w:val="CommentReference"/>
        </w:rPr>
        <w:commentReference w:id="14"/>
      </w:r>
      <w:r w:rsidRPr="0070080E">
        <w:t xml:space="preserve">s behavior remains an open question that a larger sample is needed to answer. A further caution is that the study measures managers’ intended decisions in scenarios where they had no incentive to follow the indicator’s protocol; future research should examine actual decisions on a trading floor where such a protocol forms part of the process. Practical recommendations are offered for portfolio managers, risk-governance functions, and the future integration of behavioral indicators into investment </w:t>
      </w:r>
      <w:commentRangeStart w:id="15"/>
      <w:commentRangeStart w:id="16"/>
      <w:r w:rsidRPr="0070080E">
        <w:t>decisions</w:t>
      </w:r>
      <w:commentRangeEnd w:id="15"/>
      <w:r w:rsidR="00F94C43" w:rsidRPr="0070080E">
        <w:rPr>
          <w:rStyle w:val="CommentReference"/>
          <w:sz w:val="22"/>
          <w:szCs w:val="24"/>
        </w:rPr>
        <w:commentReference w:id="15"/>
      </w:r>
      <w:commentRangeEnd w:id="16"/>
      <w:r w:rsidR="005643F8">
        <w:rPr>
          <w:rStyle w:val="CommentReference"/>
        </w:rPr>
        <w:commentReference w:id="16"/>
      </w:r>
      <w:r w:rsidRPr="0070080E">
        <w:t>.</w:t>
      </w:r>
    </w:p>
    <w:p w14:paraId="3CB0FEE2" w14:textId="77777777" w:rsidR="00F67DDB" w:rsidRPr="0070080E" w:rsidRDefault="0094076D">
      <w:pPr>
        <w:pStyle w:val="Heading1"/>
      </w:pPr>
      <w:bookmarkStart w:id="17" w:name="_Toc231913426"/>
      <w:bookmarkStart w:id="18" w:name="chapter-1.-introduction"/>
      <w:bookmarkEnd w:id="12"/>
      <w:r w:rsidRPr="0070080E">
        <w:lastRenderedPageBreak/>
        <w:t>Chapter 1. Introduction</w:t>
      </w:r>
      <w:bookmarkEnd w:id="17"/>
    </w:p>
    <w:p w14:paraId="3CB0FEE3" w14:textId="77777777" w:rsidR="00F67DDB" w:rsidRPr="0070080E" w:rsidRDefault="0094076D">
      <w:pPr>
        <w:pStyle w:val="Heading2"/>
      </w:pPr>
      <w:bookmarkStart w:id="19" w:name="_Toc231913427"/>
      <w:bookmarkStart w:id="20" w:name="background-of-the-problem"/>
      <w:r w:rsidRPr="0070080E">
        <w:t>1.1 Background of the Problem</w:t>
      </w:r>
      <w:bookmarkEnd w:id="19"/>
    </w:p>
    <w:p w14:paraId="3CB0FEE4" w14:textId="77777777" w:rsidR="00F67DDB" w:rsidRPr="0070080E" w:rsidRDefault="0094076D">
      <w:pPr>
        <w:pStyle w:val="Heading3"/>
      </w:pPr>
      <w:bookmarkStart w:id="21" w:name="X0b371ba1e2a2d8fc6545233837081fa38f040d9"/>
      <w:r w:rsidRPr="0070080E">
        <w:t>1.1.1 Emotional Biases in Investment Decision-Making</w:t>
      </w:r>
    </w:p>
    <w:p w14:paraId="3CB0FEE5" w14:textId="2CD64F16" w:rsidR="00F67DDB" w:rsidRPr="0070080E" w:rsidRDefault="0094076D">
      <w:pPr>
        <w:pStyle w:val="FirstParagraph"/>
      </w:pPr>
      <w:r w:rsidRPr="0070080E">
        <w:t>Investment decisions are often described as exercises in rational calculation. In practice, even highly trained professionals depart systematically from the predictions of classical decision theory (</w:t>
      </w:r>
      <w:hyperlink r:id="rId13">
        <w:r w:rsidRPr="0070080E">
          <w:rPr>
            <w:rStyle w:val="Hyperlink"/>
          </w:rPr>
          <w:t>Kahneman &amp; Tversky, 1979</w:t>
        </w:r>
      </w:hyperlink>
      <w:r w:rsidRPr="0070080E">
        <w:t xml:space="preserve">; </w:t>
      </w:r>
      <w:hyperlink r:id="rId14">
        <w:r w:rsidRPr="0070080E">
          <w:rPr>
            <w:rStyle w:val="Hyperlink"/>
          </w:rPr>
          <w:t>Barber &amp; Odean, 2001</w:t>
        </w:r>
      </w:hyperlink>
      <w:r w:rsidRPr="0070080E">
        <w:t xml:space="preserve">; </w:t>
      </w:r>
      <w:hyperlink r:id="rId15">
        <w:r w:rsidRPr="0070080E">
          <w:rPr>
            <w:rStyle w:val="Hyperlink"/>
          </w:rPr>
          <w:t>Ben-David et al., 2013</w:t>
        </w:r>
      </w:hyperlink>
      <w:r w:rsidRPr="0070080E">
        <w:t>). Behavioral and emotional biases</w:t>
      </w:r>
      <w:r w:rsidR="000A66AA">
        <w:t>—</w:t>
      </w:r>
      <w:r w:rsidRPr="0070080E">
        <w:t>including overconfidence, loss aversion, herding, anchoring, and the disposition effect</w:t>
      </w:r>
      <w:r w:rsidR="000A66AA">
        <w:t>—</w:t>
      </w:r>
      <w:r w:rsidRPr="0070080E">
        <w:t>have been documented across retail investors, fund managers, traders, and senior corporate executives (</w:t>
      </w:r>
      <w:hyperlink r:id="rId16">
        <w:r w:rsidRPr="0070080E">
          <w:rPr>
            <w:rStyle w:val="Hyperlink"/>
          </w:rPr>
          <w:t>Kahneman &amp; Tversky, 1979</w:t>
        </w:r>
      </w:hyperlink>
      <w:r w:rsidRPr="0070080E">
        <w:t xml:space="preserve">; </w:t>
      </w:r>
      <w:hyperlink r:id="rId17">
        <w:r w:rsidRPr="0070080E">
          <w:rPr>
            <w:rStyle w:val="Hyperlink"/>
          </w:rPr>
          <w:t>Barber &amp; Odean, 2001</w:t>
        </w:r>
      </w:hyperlink>
      <w:r w:rsidRPr="0070080E">
        <w:t xml:space="preserve">; </w:t>
      </w:r>
      <w:hyperlink r:id="rId18">
        <w:r w:rsidRPr="0070080E">
          <w:rPr>
            <w:rStyle w:val="Hyperlink"/>
          </w:rPr>
          <w:t>Ben-David et al., 2013</w:t>
        </w:r>
      </w:hyperlink>
      <w:r w:rsidRPr="0070080E">
        <w:t xml:space="preserve">; </w:t>
      </w:r>
      <w:hyperlink r:id="rId19">
        <w:r w:rsidRPr="0070080E">
          <w:rPr>
            <w:rStyle w:val="Hyperlink"/>
          </w:rPr>
          <w:t>Statman, 2019</w:t>
        </w:r>
      </w:hyperlink>
      <w:r w:rsidRPr="0070080E">
        <w:t>). These deviations are not random errors that cancel out across decisions; they are predictable patterns of judgment that emerge under uncertainty, time pressure, and emotional arousal (</w:t>
      </w:r>
      <w:hyperlink r:id="rId20">
        <w:r w:rsidRPr="0070080E">
          <w:rPr>
            <w:rStyle w:val="Hyperlink"/>
          </w:rPr>
          <w:t>Tversky &amp; Kahneman, 1974</w:t>
        </w:r>
      </w:hyperlink>
      <w:r w:rsidRPr="0070080E">
        <w:t xml:space="preserve">; </w:t>
      </w:r>
      <w:hyperlink r:id="rId21">
        <w:r w:rsidRPr="0070080E">
          <w:rPr>
            <w:rStyle w:val="Hyperlink"/>
          </w:rPr>
          <w:t>Kahneman, 2003</w:t>
        </w:r>
      </w:hyperlink>
      <w:r w:rsidRPr="0070080E">
        <w:t>). Because these patterns appear among the very professionals who manage institutional capital, they bear directly on the quality of investment decisions.</w:t>
      </w:r>
    </w:p>
    <w:p w14:paraId="3CB0FEE6" w14:textId="4A3DC36C" w:rsidR="00F67DDB" w:rsidRPr="0070080E" w:rsidRDefault="0094076D">
      <w:pPr>
        <w:pStyle w:val="BodyText"/>
      </w:pPr>
      <w:r w:rsidRPr="0070080E">
        <w:t xml:space="preserve">The financial consequences of such biases are well established. </w:t>
      </w:r>
      <w:hyperlink r:id="rId22">
        <w:r w:rsidRPr="0070080E">
          <w:rPr>
            <w:rStyle w:val="Hyperlink"/>
          </w:rPr>
          <w:t xml:space="preserve">Barber </w:t>
        </w:r>
        <w:r w:rsidR="002D73B7">
          <w:rPr>
            <w:rStyle w:val="Hyperlink"/>
          </w:rPr>
          <w:t>and</w:t>
        </w:r>
        <w:r w:rsidRPr="0070080E">
          <w:rPr>
            <w:rStyle w:val="Hyperlink"/>
          </w:rPr>
          <w:t xml:space="preserve"> Odean (2001)</w:t>
        </w:r>
      </w:hyperlink>
      <w:r w:rsidRPr="0070080E">
        <w:t xml:space="preserve"> showed that overconfident investors trade excessively and earn lower risk-adjusted returns, that loss-averse market participants react more strongly to negative news than to comparable positive news (</w:t>
      </w:r>
      <w:hyperlink r:id="rId23">
        <w:r w:rsidRPr="0070080E">
          <w:rPr>
            <w:rStyle w:val="Hyperlink"/>
          </w:rPr>
          <w:t>Tetlock, 2007</w:t>
        </w:r>
      </w:hyperlink>
      <w:r w:rsidRPr="0070080E">
        <w:t xml:space="preserve">; </w:t>
      </w:r>
      <w:hyperlink r:id="rId24">
        <w:r w:rsidRPr="0070080E">
          <w:rPr>
            <w:rStyle w:val="Hyperlink"/>
          </w:rPr>
          <w:t>Löffler</w:t>
        </w:r>
        <w:r w:rsidR="00425464">
          <w:rPr>
            <w:rStyle w:val="Hyperlink"/>
          </w:rPr>
          <w:t xml:space="preserve"> et al.</w:t>
        </w:r>
        <w:r w:rsidRPr="0070080E">
          <w:rPr>
            <w:rStyle w:val="Hyperlink"/>
          </w:rPr>
          <w:t>, 20</w:t>
        </w:r>
        <w:r w:rsidR="00425464">
          <w:rPr>
            <w:rStyle w:val="Hyperlink"/>
          </w:rPr>
          <w:t>21</w:t>
        </w:r>
      </w:hyperlink>
      <w:r w:rsidRPr="0070080E">
        <w:t>), and that emotional and physiological responses to market stress can measurably degrade decision quality even among experienced traders (</w:t>
      </w:r>
      <w:hyperlink r:id="rId25">
        <w:r w:rsidRPr="0070080E">
          <w:rPr>
            <w:rStyle w:val="Hyperlink"/>
          </w:rPr>
          <w:t>Lo &amp; Repin, 2002</w:t>
        </w:r>
      </w:hyperlink>
      <w:r w:rsidRPr="0070080E">
        <w:t xml:space="preserve">; </w:t>
      </w:r>
      <w:hyperlink r:id="rId26">
        <w:r w:rsidRPr="0070080E">
          <w:rPr>
            <w:rStyle w:val="Hyperlink"/>
          </w:rPr>
          <w:t>Coates &amp; Herbert, 2008</w:t>
        </w:r>
      </w:hyperlink>
      <w:r w:rsidRPr="0070080E">
        <w:t>). The disposition effect, the tendency to realize gains too early and to defer the realization of losses, has been observed in both retail and institutional samples (</w:t>
      </w:r>
      <w:hyperlink r:id="rId27">
        <w:r w:rsidRPr="0070080E">
          <w:rPr>
            <w:rStyle w:val="Hyperlink"/>
          </w:rPr>
          <w:t>Grinblatt &amp; Keloharju, 2001</w:t>
        </w:r>
      </w:hyperlink>
      <w:r w:rsidRPr="0070080E">
        <w:t xml:space="preserve">; </w:t>
      </w:r>
      <w:hyperlink r:id="rId28">
        <w:r w:rsidRPr="0070080E">
          <w:rPr>
            <w:rStyle w:val="Hyperlink"/>
          </w:rPr>
          <w:t>Frazzini, 2006</w:t>
        </w:r>
      </w:hyperlink>
      <w:r w:rsidRPr="0070080E">
        <w:t>), with adverse consequences for portfolio turnover and after-cost performance.</w:t>
      </w:r>
    </w:p>
    <w:p w14:paraId="3CB0FEE7" w14:textId="542808AF" w:rsidR="00F67DDB" w:rsidRPr="0070080E" w:rsidRDefault="0094076D">
      <w:pPr>
        <w:pStyle w:val="BodyText"/>
      </w:pPr>
      <w:r w:rsidRPr="0070080E">
        <w:t xml:space="preserve">These findings are particularly salient for investment portfolio management, where the cumulative effect of small behavioral distortions across many decisions can produce material deviations </w:t>
      </w:r>
      <w:r w:rsidRPr="0070080E">
        <w:lastRenderedPageBreak/>
        <w:t>from a manager’s stated investment policy and strategic risk targets (</w:t>
      </w:r>
      <w:hyperlink r:id="rId29">
        <w:r w:rsidRPr="0070080E">
          <w:rPr>
            <w:rStyle w:val="Hyperlink"/>
          </w:rPr>
          <w:t>Shefrin, 200</w:t>
        </w:r>
        <w:r w:rsidR="009A5DBD">
          <w:rPr>
            <w:rStyle w:val="Hyperlink"/>
          </w:rPr>
          <w:t>7</w:t>
        </w:r>
      </w:hyperlink>
      <w:r w:rsidRPr="0070080E">
        <w:t>). As such, emotional bias is treated in this thesis not as an incidental imperfection of human judgment, but as a structural feature of professional decision-making that warrants explicit attention in the design of investment processes and decision-support tools.</w:t>
      </w:r>
    </w:p>
    <w:p w14:paraId="3CB0FEE8" w14:textId="77777777" w:rsidR="00F67DDB" w:rsidRPr="0070080E" w:rsidRDefault="0094076D">
      <w:pPr>
        <w:pStyle w:val="Heading3"/>
      </w:pPr>
      <w:bookmarkStart w:id="22" w:name="X0f4352a62a0f4338226332e05b0e89572aed286"/>
      <w:bookmarkEnd w:id="21"/>
      <w:r w:rsidRPr="0070080E">
        <w:t>1.1.2 Information Overload and News-Driven Markets</w:t>
      </w:r>
    </w:p>
    <w:p w14:paraId="3CB0FEE9" w14:textId="62473D19" w:rsidR="00F67DDB" w:rsidRPr="0070080E" w:rsidRDefault="0094076D">
      <w:pPr>
        <w:pStyle w:val="FirstParagraph"/>
      </w:pPr>
      <w:r w:rsidRPr="0070080E">
        <w:t>The biases described above do not arise in isolation; they are activated by the environment in which managers work. Contemporary financial markets are characterized by an exceptionally high velocity and volume of information. Corporate earnings releases, analyst rating actions, macroeconomic indicators, central bank communications, regulatory announcements, and geopolitical events are continuously distributed through multiple channels and processed by market participants in real time. Investor attention, however, is a bounded resource (</w:t>
      </w:r>
      <w:hyperlink r:id="rId30">
        <w:r w:rsidRPr="0070080E">
          <w:rPr>
            <w:rStyle w:val="Hyperlink"/>
          </w:rPr>
          <w:t>Peng &amp; Xiong, 2006</w:t>
        </w:r>
      </w:hyperlink>
      <w:r w:rsidRPr="0070080E">
        <w:t>). When the volume and velocity of incoming information exc</w:t>
      </w:r>
      <w:commentRangeStart w:id="23"/>
      <w:r w:rsidRPr="0070080E">
        <w:t>eed</w:t>
      </w:r>
      <w:commentRangeEnd w:id="23"/>
      <w:r w:rsidR="00F94C43" w:rsidRPr="0070080E">
        <w:rPr>
          <w:rStyle w:val="CommentReference"/>
          <w:sz w:val="22"/>
          <w:szCs w:val="24"/>
        </w:rPr>
        <w:commentReference w:id="23"/>
      </w:r>
      <w:r w:rsidRPr="0070080E">
        <w:t xml:space="preserve"> the cognitive capacity of decision-makers, attention becomes the binding constraint in determining which signals are processed deliberately and which are processed through heuristic shortcuts (</w:t>
      </w:r>
      <w:hyperlink r:id="rId31">
        <w:r w:rsidRPr="0070080E">
          <w:rPr>
            <w:rStyle w:val="Hyperlink"/>
          </w:rPr>
          <w:t>Da et al., 2011</w:t>
        </w:r>
      </w:hyperlink>
      <w:r w:rsidRPr="0070080E">
        <w:t xml:space="preserve">; </w:t>
      </w:r>
      <w:hyperlink r:id="rId32">
        <w:r w:rsidRPr="0070080E">
          <w:rPr>
            <w:rStyle w:val="Hyperlink"/>
          </w:rPr>
          <w:t>Barber &amp; Odean, 2008</w:t>
        </w:r>
      </w:hyperlink>
      <w:r w:rsidRPr="0070080E">
        <w:t>).</w:t>
      </w:r>
    </w:p>
    <w:p w14:paraId="3CB0FEEA" w14:textId="5225D9B3" w:rsidR="00F67DDB" w:rsidRPr="0070080E" w:rsidRDefault="00000000">
      <w:pPr>
        <w:pStyle w:val="BodyText"/>
      </w:pPr>
      <w:hyperlink r:id="rId33">
        <w:r w:rsidR="0094076D" w:rsidRPr="0070080E">
          <w:rPr>
            <w:rStyle w:val="Hyperlink"/>
          </w:rPr>
          <w:t>Da et al.</w:t>
        </w:r>
        <w:r w:rsidR="003C0323">
          <w:rPr>
            <w:rStyle w:val="Hyperlink"/>
          </w:rPr>
          <w:t xml:space="preserve"> (</w:t>
        </w:r>
        <w:r w:rsidR="0094076D" w:rsidRPr="0070080E">
          <w:rPr>
            <w:rStyle w:val="Hyperlink"/>
          </w:rPr>
          <w:t>2011</w:t>
        </w:r>
      </w:hyperlink>
      <w:r w:rsidR="003C0323">
        <w:rPr>
          <w:rStyle w:val="Hyperlink"/>
        </w:rPr>
        <w:t>)</w:t>
      </w:r>
      <w:r w:rsidR="0094076D" w:rsidRPr="0070080E">
        <w:t xml:space="preserve"> and </w:t>
      </w:r>
      <w:hyperlink r:id="rId34">
        <w:r w:rsidR="0094076D" w:rsidRPr="0070080E">
          <w:rPr>
            <w:rStyle w:val="Hyperlink"/>
          </w:rPr>
          <w:t xml:space="preserve">Barber </w:t>
        </w:r>
        <w:r w:rsidR="003C0323">
          <w:rPr>
            <w:rStyle w:val="Hyperlink"/>
          </w:rPr>
          <w:t>and</w:t>
        </w:r>
        <w:r w:rsidR="0094076D" w:rsidRPr="0070080E">
          <w:rPr>
            <w:rStyle w:val="Hyperlink"/>
          </w:rPr>
          <w:t xml:space="preserve"> Odean</w:t>
        </w:r>
        <w:r w:rsidR="003C0323">
          <w:rPr>
            <w:rStyle w:val="Hyperlink"/>
          </w:rPr>
          <w:t xml:space="preserve"> (</w:t>
        </w:r>
        <w:r w:rsidR="0094076D" w:rsidRPr="0070080E">
          <w:rPr>
            <w:rStyle w:val="Hyperlink"/>
          </w:rPr>
          <w:t>2008</w:t>
        </w:r>
      </w:hyperlink>
      <w:r w:rsidR="003C0323">
        <w:rPr>
          <w:rStyle w:val="Hyperlink"/>
        </w:rPr>
        <w:t>)</w:t>
      </w:r>
      <w:r w:rsidR="0094076D" w:rsidRPr="0070080E">
        <w:t xml:space="preserve"> showed that salient news events generate elevated turnover in the affected securities, particularly among securities that capture investor attention through extreme returns, high trading volume, or media coverage (</w:t>
      </w:r>
      <w:hyperlink r:id="rId35">
        <w:r w:rsidR="0094076D" w:rsidRPr="0070080E">
          <w:rPr>
            <w:rStyle w:val="Hyperlink"/>
          </w:rPr>
          <w:t>Engelberg &amp; Parsons, 2009</w:t>
        </w:r>
      </w:hyperlink>
      <w:r w:rsidR="0094076D" w:rsidRPr="0070080E">
        <w:t>). This pattern is observable in both retail and institutional segments and is consistent with a model in which information shocks (defined in Section 2.6) act as cues that trigger reallocation of cognitive resources to particular positions. The increased decision activity around news events does not, however, necessarily translate into improved portfolio outcomes; the empirical literature documented that attention-driven trading is associated with short-term overreaction and subsequent reversal (</w:t>
      </w:r>
      <w:hyperlink r:id="rId36">
        <w:r w:rsidR="0094076D" w:rsidRPr="0070080E">
          <w:rPr>
            <w:rStyle w:val="Hyperlink"/>
          </w:rPr>
          <w:t>Meng et al., 2024</w:t>
        </w:r>
      </w:hyperlink>
      <w:r w:rsidR="0094076D" w:rsidRPr="0070080E">
        <w:t xml:space="preserve">; </w:t>
      </w:r>
      <w:hyperlink r:id="rId37">
        <w:r w:rsidR="0094076D" w:rsidRPr="0070080E">
          <w:rPr>
            <w:rStyle w:val="Hyperlink"/>
          </w:rPr>
          <w:t>Cremers et al., 2021</w:t>
        </w:r>
      </w:hyperlink>
      <w:r w:rsidR="0094076D" w:rsidRPr="0070080E">
        <w:t>).</w:t>
      </w:r>
    </w:p>
    <w:p w14:paraId="3CB0FEEB" w14:textId="572F8765" w:rsidR="00F67DDB" w:rsidRPr="0070080E" w:rsidRDefault="0094076D">
      <w:pPr>
        <w:pStyle w:val="BodyText"/>
      </w:pPr>
      <w:r w:rsidRPr="0070080E">
        <w:lastRenderedPageBreak/>
        <w:t>Information overload also interacts with the affective dimensions of decision-making. When the cognitive demands of a decision exceed available capacity, the relative weight of intuitive and emotional processes increases (</w:t>
      </w:r>
      <w:hyperlink r:id="rId38">
        <w:r w:rsidRPr="0070080E">
          <w:rPr>
            <w:rStyle w:val="Hyperlink"/>
          </w:rPr>
          <w:t>Kahneman, 2003</w:t>
        </w:r>
      </w:hyperlink>
      <w:r w:rsidRPr="0070080E">
        <w:t xml:space="preserve">; </w:t>
      </w:r>
      <w:hyperlink r:id="rId39">
        <w:r w:rsidRPr="0070080E">
          <w:rPr>
            <w:rStyle w:val="Hyperlink"/>
          </w:rPr>
          <w:t>Kahneman, 2011</w:t>
        </w:r>
      </w:hyperlink>
      <w:r w:rsidRPr="0070080E">
        <w:t>). In professional investment contexts, this shift implies that the very conditions under which precise analytical reasoning is most needed</w:t>
      </w:r>
      <w:r w:rsidR="000A66AA">
        <w:t>—</w:t>
      </w:r>
      <w:r w:rsidRPr="0070080E">
        <w:t>moments of market stress, breaking news, or unexpected announcements</w:t>
      </w:r>
      <w:r w:rsidR="000A66AA">
        <w:t>—</w:t>
      </w:r>
      <w:r w:rsidRPr="0070080E">
        <w:t>are also the conditions under which it is least likely to be applied consistently. The combination of attention scarcity and emotional arousal therefore creates a structural vulnerability that decision-support frameworks must explicitly address.</w:t>
      </w:r>
    </w:p>
    <w:p w14:paraId="3CB0FEEC" w14:textId="77777777" w:rsidR="00F67DDB" w:rsidRPr="0070080E" w:rsidRDefault="0094076D">
      <w:pPr>
        <w:pStyle w:val="Heading3"/>
      </w:pPr>
      <w:bookmarkStart w:id="24" w:name="Xff7583ce49674c04965839340a3be90bfc36c71"/>
      <w:bookmarkEnd w:id="22"/>
      <w:r w:rsidRPr="0070080E">
        <w:t>1.1.3 Behavioral Reactions to External Financial News</w:t>
      </w:r>
    </w:p>
    <w:p w14:paraId="3CB0FEED" w14:textId="506941CB" w:rsidR="00F67DDB" w:rsidRPr="0070080E" w:rsidRDefault="0094076D">
      <w:pPr>
        <w:pStyle w:val="FirstParagraph"/>
      </w:pPr>
      <w:r w:rsidRPr="0070080E">
        <w:t>External financial news events</w:t>
      </w:r>
      <w:r w:rsidR="000A66AA">
        <w:t>—</w:t>
      </w:r>
      <w:r w:rsidRPr="0070080E">
        <w:t>for example, an earnings surprise, an analyst rating change, a regulatory ruling, or an unexpected management announcement</w:t>
      </w:r>
      <w:r w:rsidR="000A66AA">
        <w:t>—</w:t>
      </w:r>
      <w:r w:rsidRPr="0070080E">
        <w:t>are defined here as discrete public information events relevant to specific portfolio holdings. They act as concentrated stimuli that engage both the cognitive and the affective systems of investment decision-making. The behavioral finance literature has accumulated substantial evidence that the immediate market response to such events frequently exceeds what can be justified by changes in fundamental value, generating short-horizon price overshooting that is partially reversed in the days that follow (</w:t>
      </w:r>
      <w:hyperlink r:id="rId40">
        <w:r w:rsidRPr="0070080E">
          <w:rPr>
            <w:rStyle w:val="Hyperlink"/>
          </w:rPr>
          <w:t>Meng et al., 2024</w:t>
        </w:r>
      </w:hyperlink>
      <w:r w:rsidRPr="0070080E">
        <w:t xml:space="preserve">; </w:t>
      </w:r>
      <w:hyperlink r:id="rId41">
        <w:r w:rsidRPr="0070080E">
          <w:rPr>
            <w:rStyle w:val="Hyperlink"/>
          </w:rPr>
          <w:t>Tetlock, 2007</w:t>
        </w:r>
      </w:hyperlink>
      <w:r w:rsidRPr="0070080E">
        <w:t xml:space="preserve">; </w:t>
      </w:r>
      <w:hyperlink r:id="rId42">
        <w:r w:rsidRPr="0070080E">
          <w:rPr>
            <w:rStyle w:val="Hyperlink"/>
          </w:rPr>
          <w:t>Daniel et al., 1998</w:t>
        </w:r>
      </w:hyperlink>
      <w:r w:rsidRPr="0070080E">
        <w:t>). These dynamics are consistent with theories of overreaction driven by salience, attention, and affective response, rather than with models of frictionless rational updating.</w:t>
      </w:r>
    </w:p>
    <w:p w14:paraId="3CB0FEEE" w14:textId="61FFD480" w:rsidR="00F67DDB" w:rsidRPr="0070080E" w:rsidRDefault="0094076D">
      <w:pPr>
        <w:pStyle w:val="BodyText"/>
      </w:pPr>
      <w:r w:rsidRPr="0070080E">
        <w:t xml:space="preserve">Professional portfolio managers are not insulated from these dynamics. </w:t>
      </w:r>
      <w:hyperlink r:id="rId43">
        <w:r w:rsidRPr="0070080E">
          <w:rPr>
            <w:rStyle w:val="Hyperlink"/>
          </w:rPr>
          <w:t>Ben-Rephael et al.</w:t>
        </w:r>
        <w:r w:rsidR="003C0323">
          <w:rPr>
            <w:rStyle w:val="Hyperlink"/>
          </w:rPr>
          <w:t xml:space="preserve"> (</w:t>
        </w:r>
        <w:r w:rsidRPr="0070080E">
          <w:rPr>
            <w:rStyle w:val="Hyperlink"/>
          </w:rPr>
          <w:t>202</w:t>
        </w:r>
        <w:r w:rsidR="00F525BC">
          <w:rPr>
            <w:rStyle w:val="Hyperlink"/>
          </w:rPr>
          <w:t>1</w:t>
        </w:r>
      </w:hyperlink>
      <w:r w:rsidR="003C0323">
        <w:rPr>
          <w:rStyle w:val="Hyperlink"/>
        </w:rPr>
        <w:t>)</w:t>
      </w:r>
      <w:r w:rsidRPr="0070080E">
        <w:t xml:space="preserve"> showed that institutions tend to trade in the direction of the initial price reaction around earnings announcements, amplifying rather than dampening short-term mispricings (</w:t>
      </w:r>
      <w:hyperlink r:id="rId44">
        <w:r w:rsidRPr="0070080E">
          <w:rPr>
            <w:rStyle w:val="Hyperlink"/>
          </w:rPr>
          <w:t>Cremers et al., 2021</w:t>
        </w:r>
      </w:hyperlink>
      <w:r w:rsidRPr="0070080E">
        <w:t>). Mechanical rebalancing flows transmit these reactions into observable price pressure (</w:t>
      </w:r>
      <w:hyperlink r:id="rId45">
        <w:r w:rsidRPr="0070080E">
          <w:rPr>
            <w:rStyle w:val="Hyperlink"/>
          </w:rPr>
          <w:t>Harvey et al., 2025</w:t>
        </w:r>
      </w:hyperlink>
      <w:r w:rsidRPr="0070080E">
        <w:t>), and extreme market conditions have been shown to trigger panic-style selling and rapid exits rather than disciplined adjustment (</w:t>
      </w:r>
      <w:hyperlink r:id="rId46">
        <w:r w:rsidRPr="0070080E">
          <w:rPr>
            <w:rStyle w:val="Hyperlink"/>
          </w:rPr>
          <w:t>Elkind et al., 2022</w:t>
        </w:r>
      </w:hyperlink>
      <w:r w:rsidRPr="0070080E">
        <w:t xml:space="preserve">). In aggregate, the behavioral reactions of </w:t>
      </w:r>
      <w:r w:rsidRPr="0070080E">
        <w:lastRenderedPageBreak/>
        <w:t xml:space="preserve">professional investors to external information shocks shape short-horizon volatility, return predictability, and the realized </w:t>
      </w:r>
      <w:r w:rsidR="00400BE9">
        <w:t>risk–return</w:t>
      </w:r>
      <w:r w:rsidR="008B35C6">
        <w:t xml:space="preserve"> </w:t>
      </w:r>
      <w:r w:rsidR="002C360C">
        <w:t>outcomes</w:t>
      </w:r>
      <w:r w:rsidR="002C360C" w:rsidRPr="0070080E">
        <w:t xml:space="preserve"> </w:t>
      </w:r>
      <w:r w:rsidRPr="0070080E">
        <w:t>of portfolios.</w:t>
      </w:r>
    </w:p>
    <w:p w14:paraId="3CB0FEEF" w14:textId="22038E9D" w:rsidR="00F67DDB" w:rsidRPr="0070080E" w:rsidRDefault="0094076D">
      <w:pPr>
        <w:pStyle w:val="BodyText"/>
      </w:pPr>
      <w:r w:rsidRPr="0070080E">
        <w:t>These observations frame the practical motivation for the present study. If the intensity of an information shock can be measured, and if it reliably predicts how managers adjust risk, then that measure has direct operational value: it allows an investment process to anticipate bias before a decision is made rather than to diagnose it afterward. The study reported in this thesis pursues this logic in two steps. It first asks whether managers’ decision behavior during shock events varies systematically with the intensity of the shock</w:t>
      </w:r>
      <w:r w:rsidR="000A66AA">
        <w:t>—</w:t>
      </w:r>
      <w:r w:rsidRPr="0070080E">
        <w:t>a question of measurement and prediction</w:t>
      </w:r>
      <w:r w:rsidR="000A66AA">
        <w:t>—</w:t>
      </w:r>
      <w:r w:rsidRPr="0070080E">
        <w:t>and then asks whether presenting a structured decision-support indicator changes those decisions, a more demanding question of behavioral moderation.</w:t>
      </w:r>
    </w:p>
    <w:p w14:paraId="3CB0FEF0" w14:textId="77777777" w:rsidR="00F67DDB" w:rsidRPr="0070080E" w:rsidRDefault="0094076D">
      <w:pPr>
        <w:pStyle w:val="Heading2"/>
      </w:pPr>
      <w:bookmarkStart w:id="25" w:name="_Toc231913428"/>
      <w:bookmarkStart w:id="26" w:name="background-of-the-study"/>
      <w:bookmarkEnd w:id="20"/>
      <w:bookmarkEnd w:id="24"/>
      <w:r w:rsidRPr="0070080E">
        <w:t>1.2 Background of the Study</w:t>
      </w:r>
      <w:bookmarkEnd w:id="25"/>
    </w:p>
    <w:p w14:paraId="3CB0FEF1" w14:textId="77777777" w:rsidR="00F67DDB" w:rsidRPr="0070080E" w:rsidRDefault="0094076D">
      <w:pPr>
        <w:pStyle w:val="Heading3"/>
      </w:pPr>
      <w:bookmarkStart w:id="27" w:name="Xe35fc23082c19a3dac9a047f50b913078fa3b29"/>
      <w:r w:rsidRPr="0070080E">
        <w:t>1.2.1 Traditional Portfolio Theory and Rational Decision Assumptions</w:t>
      </w:r>
    </w:p>
    <w:p w14:paraId="3CB0FEF2" w14:textId="7893F2D6" w:rsidR="00F67DDB" w:rsidRPr="0070080E" w:rsidRDefault="0094076D">
      <w:pPr>
        <w:pStyle w:val="FirstParagraph"/>
      </w:pPr>
      <w:r w:rsidRPr="0070080E">
        <w:t>Modern portfolio management was built on the assumption that investors are rational. In the classical view they process information accurately, hold consistent preferences over risk and return, and allocate capital to maximize expected utility within their constraints</w:t>
      </w:r>
      <w:r w:rsidR="000A66AA">
        <w:t>—</w:t>
      </w:r>
      <w:r w:rsidRPr="0070080E">
        <w:t>the premises that underlie mean–variance portfolio theory (</w:t>
      </w:r>
      <w:hyperlink r:id="rId47">
        <w:r w:rsidRPr="0070080E">
          <w:rPr>
            <w:rStyle w:val="Hyperlink"/>
          </w:rPr>
          <w:t>Markowitz, 1952</w:t>
        </w:r>
      </w:hyperlink>
      <w:r w:rsidRPr="0070080E">
        <w:t>). This framework turned diversification into a quantitative principle and was extended by later capital-market theory, including the capital asset pricing model and the efficient market hypothesis (</w:t>
      </w:r>
      <w:hyperlink r:id="rId48">
        <w:r w:rsidR="0067687F" w:rsidRPr="0067687F">
          <w:rPr>
            <w:rStyle w:val="Hyperlink"/>
          </w:rPr>
          <w:t>Malkiel &amp; Fama</w:t>
        </w:r>
        <w:r w:rsidRPr="0070080E">
          <w:rPr>
            <w:rStyle w:val="Hyperlink"/>
          </w:rPr>
          <w:t>, 1970</w:t>
        </w:r>
      </w:hyperlink>
      <w:r w:rsidRPr="0070080E">
        <w:t xml:space="preserve">; </w:t>
      </w:r>
      <w:hyperlink r:id="rId49">
        <w:r w:rsidRPr="0070080E">
          <w:rPr>
            <w:rStyle w:val="Hyperlink"/>
          </w:rPr>
          <w:t>Sharpe, 1966</w:t>
        </w:r>
      </w:hyperlink>
      <w:r w:rsidRPr="0070080E">
        <w:t xml:space="preserve">; </w:t>
      </w:r>
      <w:hyperlink r:id="rId50">
        <w:r w:rsidRPr="0070080E">
          <w:rPr>
            <w:rStyle w:val="Hyperlink"/>
          </w:rPr>
          <w:t>Cochrane, 2005</w:t>
        </w:r>
      </w:hyperlink>
      <w:r w:rsidRPr="0070080E">
        <w:t>).</w:t>
      </w:r>
    </w:p>
    <w:p w14:paraId="3CB0FEF3" w14:textId="77777777" w:rsidR="00F67DDB" w:rsidRPr="0070080E" w:rsidRDefault="0094076D">
      <w:pPr>
        <w:pStyle w:val="BodyText"/>
      </w:pPr>
      <w:r w:rsidRPr="0070080E">
        <w:t xml:space="preserve">Within this paradigm, the role of news and information is precise: public information is incorporated into prices rapidly and accurately, and any predictable component of investor behavior is arbitraged away by well-informed market participants. The behavioral responses of individual managers to specific events are, by assumption, second-order in the determination of asset prices, since rational arbitrageurs are presumed to absorb any temporary mispricing. Performance attribution in this </w:t>
      </w:r>
      <w:r w:rsidRPr="0070080E">
        <w:lastRenderedPageBreak/>
        <w:t>framework focuses on systematic exposures and on the quality of information signals rather than on the affective characteristics of the decision-maker.</w:t>
      </w:r>
    </w:p>
    <w:p w14:paraId="3CB0FEF4" w14:textId="2C5A69DA" w:rsidR="00F67DDB" w:rsidRPr="0070080E" w:rsidRDefault="0094076D">
      <w:pPr>
        <w:pStyle w:val="BodyText"/>
      </w:pPr>
      <w:r w:rsidRPr="0070080E">
        <w:t xml:space="preserve">The strengths of this framework are widely recognized: it provides a coherent normative benchmark for portfolio construction, a tractable apparatus for </w:t>
      </w:r>
      <w:r w:rsidR="00400BE9">
        <w:t>risk–return</w:t>
      </w:r>
      <w:r w:rsidR="00441A37">
        <w:t xml:space="preserve"> </w:t>
      </w:r>
      <w:r w:rsidR="00441A37" w:rsidRPr="0070080E">
        <w:t>optimization</w:t>
      </w:r>
      <w:r w:rsidRPr="0070080E">
        <w:t>, and a vocabulary for performance measurement that remains in widespread practical use. Its assumptions about decision-makers, however, have been challenged by an accumulating body of empirical evidence indicating that real investors, including trained professionals, systematically depart from the rational benchmark in ways that are not random and that are not eliminated by competition or experience.</w:t>
      </w:r>
    </w:p>
    <w:p w14:paraId="3CB0FEF5" w14:textId="77777777" w:rsidR="00F67DDB" w:rsidRPr="0070080E" w:rsidRDefault="0094076D">
      <w:pPr>
        <w:pStyle w:val="Heading3"/>
      </w:pPr>
      <w:bookmarkStart w:id="28" w:name="emergence-of-behavioral-finance"/>
      <w:bookmarkEnd w:id="27"/>
      <w:r w:rsidRPr="0070080E">
        <w:t>1.2.2 Emergence of Behavioral Finance</w:t>
      </w:r>
    </w:p>
    <w:p w14:paraId="3CB0FEF6" w14:textId="77777777" w:rsidR="00F67DDB" w:rsidRPr="0070080E" w:rsidRDefault="0094076D">
      <w:pPr>
        <w:pStyle w:val="FirstParagraph"/>
      </w:pPr>
      <w:r w:rsidRPr="0070080E">
        <w:t>Behavioral finance emerged in response to the gap between the predictions of rational-agent models and the empirical evidence on actual investor behavior. Drawing on developments in cognitive psychology, particularly the work on heuristics and biases (</w:t>
      </w:r>
      <w:hyperlink r:id="rId51">
        <w:r w:rsidRPr="0070080E">
          <w:rPr>
            <w:rStyle w:val="Hyperlink"/>
          </w:rPr>
          <w:t>Tversky &amp; Kahneman, 1974</w:t>
        </w:r>
      </w:hyperlink>
      <w:r w:rsidRPr="0070080E">
        <w:t>) and prospect theory (</w:t>
      </w:r>
      <w:hyperlink r:id="rId52">
        <w:r w:rsidRPr="0070080E">
          <w:rPr>
            <w:rStyle w:val="Hyperlink"/>
          </w:rPr>
          <w:t>Kahneman &amp; Tversky, 1979</w:t>
        </w:r>
      </w:hyperlink>
      <w:r w:rsidRPr="0070080E">
        <w:t>), the field has produced an extensive catalog of systematic deviations from rationality in financial decision-making. These include loss aversion, mental accounting, narrow framing, the disposition effect, overconfidence, anchoring, attention biases, and herding (</w:t>
      </w:r>
      <w:hyperlink r:id="rId53">
        <w:r w:rsidRPr="0070080E">
          <w:rPr>
            <w:rStyle w:val="Hyperlink"/>
          </w:rPr>
          <w:t>Barberis &amp; Thaler, 2002</w:t>
        </w:r>
      </w:hyperlink>
      <w:r w:rsidRPr="0070080E">
        <w:t xml:space="preserve">; </w:t>
      </w:r>
      <w:hyperlink r:id="rId54">
        <w:r w:rsidRPr="0070080E">
          <w:rPr>
            <w:rStyle w:val="Hyperlink"/>
          </w:rPr>
          <w:t>Hirshleifer, 2015</w:t>
        </w:r>
      </w:hyperlink>
      <w:r w:rsidRPr="0070080E">
        <w:t xml:space="preserve">; </w:t>
      </w:r>
      <w:hyperlink r:id="rId55">
        <w:r w:rsidRPr="0070080E">
          <w:rPr>
            <w:rStyle w:val="Hyperlink"/>
          </w:rPr>
          <w:t>Statman, 2019</w:t>
        </w:r>
      </w:hyperlink>
      <w:r w:rsidRPr="0070080E">
        <w:t>).</w:t>
      </w:r>
    </w:p>
    <w:p w14:paraId="3CB0FEF7" w14:textId="77777777" w:rsidR="00F67DDB" w:rsidRPr="0070080E" w:rsidRDefault="0094076D">
      <w:pPr>
        <w:pStyle w:val="BodyText"/>
      </w:pPr>
      <w:r w:rsidRPr="0070080E">
        <w:t>A particularly important strand of this literature has examined whether such biases persist among professionals, and finds that they do. Even seasoned corporate executives exhibit miscalibration of forecasts (</w:t>
      </w:r>
      <w:hyperlink r:id="rId56">
        <w:r w:rsidRPr="0070080E">
          <w:rPr>
            <w:rStyle w:val="Hyperlink"/>
          </w:rPr>
          <w:t>Ben-David et al., 2013</w:t>
        </w:r>
      </w:hyperlink>
      <w:r w:rsidRPr="0070080E">
        <w:t>), perform consistently with the disposition effect (</w:t>
      </w:r>
      <w:hyperlink r:id="rId57">
        <w:r w:rsidRPr="0070080E">
          <w:rPr>
            <w:rStyle w:val="Hyperlink"/>
          </w:rPr>
          <w:t>Frazzini, 2006</w:t>
        </w:r>
      </w:hyperlink>
      <w:r w:rsidRPr="0070080E">
        <w:t>), engage in herding behavior around analyst recommendation changes (</w:t>
      </w:r>
      <w:hyperlink r:id="rId58">
        <w:r w:rsidRPr="0070080E">
          <w:rPr>
            <w:rStyle w:val="Hyperlink"/>
          </w:rPr>
          <w:t>Jiang &amp; Verardo, 2018</w:t>
        </w:r>
      </w:hyperlink>
      <w:r w:rsidRPr="0070080E">
        <w:t xml:space="preserve">; </w:t>
      </w:r>
      <w:hyperlink r:id="rId59">
        <w:r w:rsidRPr="0070080E">
          <w:rPr>
            <w:rStyle w:val="Hyperlink"/>
          </w:rPr>
          <w:t>Brown et al., 2014</w:t>
        </w:r>
      </w:hyperlink>
      <w:r w:rsidRPr="0070080E">
        <w:t>), and respond asymmetrically to negative information across cultural contexts (</w:t>
      </w:r>
      <w:hyperlink r:id="rId60">
        <w:r w:rsidRPr="0070080E">
          <w:rPr>
            <w:rStyle w:val="Hyperlink"/>
          </w:rPr>
          <w:t>Neel, 2024</w:t>
        </w:r>
      </w:hyperlink>
      <w:r w:rsidRPr="0070080E">
        <w:t>). The persistence of these patterns among experienced practitioners is consistent with theoretical accounts of bounded rationality (</w:t>
      </w:r>
      <w:hyperlink r:id="rId61">
        <w:r w:rsidRPr="0070080E">
          <w:rPr>
            <w:rStyle w:val="Hyperlink"/>
          </w:rPr>
          <w:t>Simon, 1955</w:t>
        </w:r>
      </w:hyperlink>
      <w:r w:rsidRPr="0070080E">
        <w:t>) and dual-process models of judgment (</w:t>
      </w:r>
      <w:hyperlink r:id="rId62">
        <w:r w:rsidRPr="0070080E">
          <w:rPr>
            <w:rStyle w:val="Hyperlink"/>
          </w:rPr>
          <w:t>Kahneman, 2003</w:t>
        </w:r>
      </w:hyperlink>
      <w:r w:rsidRPr="0070080E">
        <w:t xml:space="preserve">; </w:t>
      </w:r>
      <w:hyperlink r:id="rId63">
        <w:r w:rsidRPr="0070080E">
          <w:rPr>
            <w:rStyle w:val="Hyperlink"/>
          </w:rPr>
          <w:t>Kahneman, 2011</w:t>
        </w:r>
      </w:hyperlink>
      <w:r w:rsidRPr="0070080E">
        <w:t>).</w:t>
      </w:r>
    </w:p>
    <w:p w14:paraId="3CB0FEF8" w14:textId="5F359AEA" w:rsidR="00F67DDB" w:rsidRPr="0070080E" w:rsidRDefault="0094076D">
      <w:pPr>
        <w:pStyle w:val="BodyText"/>
      </w:pPr>
      <w:r w:rsidRPr="0070080E">
        <w:t>Behavioral finance has accordingly shifted the operative question for investment practice. The relevant question is no longer whether biases exist in professional decision-making, but rather how the structural features of the decision environment can be designed to anticipate and mitigate their influence. This shift has direct implications for how investment processes are designed</w:t>
      </w:r>
      <w:r w:rsidR="000A66AA">
        <w:t>—</w:t>
      </w:r>
      <w:r w:rsidRPr="0070080E">
        <w:t>from the written rules a firm sets for itself, to the checks applied at the moment a decision is made rather than after the fact.</w:t>
      </w:r>
    </w:p>
    <w:p w14:paraId="3CB0FEF9" w14:textId="77777777" w:rsidR="00F67DDB" w:rsidRPr="0070080E" w:rsidRDefault="0094076D">
      <w:pPr>
        <w:pStyle w:val="Heading3"/>
      </w:pPr>
      <w:bookmarkStart w:id="29" w:name="Xa448b85b39ad23c54bb1613a2912f8b781c1573"/>
      <w:bookmarkEnd w:id="28"/>
      <w:r w:rsidRPr="0070080E">
        <w:t>1.2.3 Decision Support Tools in Modern Portfolio Management</w:t>
      </w:r>
    </w:p>
    <w:p w14:paraId="3CB0FEFA" w14:textId="77777777" w:rsidR="00F67DDB" w:rsidRPr="0070080E" w:rsidRDefault="0094076D">
      <w:pPr>
        <w:pStyle w:val="FirstParagraph"/>
      </w:pPr>
      <w:r w:rsidRPr="0070080E">
        <w:t>Decision-support systems in contemporary investment practice are predominantly oriented toward business analytics. Risk-management platforms, portfolio optimization engines, scenario analysis tools, and algorithmic execution systems provide quantitative inputs that support disciplined decision-making across multiple horizons. These systems have been instrumental in raising the standard of portfolio management by introducing systematic measurement of exposure, factor risk, performance attribution, and execution quality. They have not, however, been designed primarily to address the behavioral dimension of investment decisions (</w:t>
      </w:r>
      <w:hyperlink r:id="rId64">
        <w:r w:rsidRPr="0070080E">
          <w:rPr>
            <w:rStyle w:val="Hyperlink"/>
          </w:rPr>
          <w:t>Goodell et al., 2023</w:t>
        </w:r>
      </w:hyperlink>
      <w:r w:rsidRPr="0070080E">
        <w:t xml:space="preserve">; </w:t>
      </w:r>
      <w:hyperlink r:id="rId65">
        <w:r w:rsidRPr="0070080E">
          <w:rPr>
            <w:rStyle w:val="Hyperlink"/>
          </w:rPr>
          <w:t>Barberis &amp; Thaler, 2002</w:t>
        </w:r>
      </w:hyperlink>
      <w:r w:rsidRPr="0070080E">
        <w:t xml:space="preserve">; </w:t>
      </w:r>
      <w:hyperlink r:id="rId66">
        <w:r w:rsidRPr="0070080E">
          <w:rPr>
            <w:rStyle w:val="Hyperlink"/>
          </w:rPr>
          <w:t>Bhandari et al., 2008</w:t>
        </w:r>
      </w:hyperlink>
      <w:r w:rsidRPr="0070080E">
        <w:t>).</w:t>
      </w:r>
    </w:p>
    <w:p w14:paraId="3CB0FEFB" w14:textId="62DA58E8" w:rsidR="00F67DDB" w:rsidRPr="0070080E" w:rsidRDefault="0094076D">
      <w:pPr>
        <w:pStyle w:val="BodyText"/>
      </w:pPr>
      <w:r w:rsidRPr="0070080E">
        <w:t>Complementary developments in automated and AI-driven advisory systems have expanded the role of algorithms in portfolio decisions, particularly in the retail segment, where robo-advisory platforms apply rule-based and model-based logic to portfolio construction and rebalancing (</w:t>
      </w:r>
      <w:hyperlink r:id="rId67">
        <w:r w:rsidRPr="0070080E">
          <w:rPr>
            <w:rStyle w:val="Hyperlink"/>
          </w:rPr>
          <w:t>Jung et al., 2018</w:t>
        </w:r>
      </w:hyperlink>
      <w:r w:rsidRPr="0070080E">
        <w:t xml:space="preserve">; </w:t>
      </w:r>
      <w:hyperlink r:id="rId68">
        <w:r w:rsidRPr="0070080E">
          <w:rPr>
            <w:rStyle w:val="Hyperlink"/>
          </w:rPr>
          <w:t>Baker &amp; Dellaert, 201</w:t>
        </w:r>
        <w:r w:rsidR="005008B4">
          <w:rPr>
            <w:rStyle w:val="Hyperlink"/>
          </w:rPr>
          <w:t>7</w:t>
        </w:r>
      </w:hyperlink>
      <w:r w:rsidRPr="0070080E">
        <w:t>). Recent research on explainable AI in advisory contexts emphasizes the importance of transparent, interpretable decision logic as a precondition for trust and for productive human–AI interaction (</w:t>
      </w:r>
      <w:hyperlink r:id="rId69">
        <w:r w:rsidR="003E0DBE" w:rsidRPr="003E0DBE">
          <w:rPr>
            <w:rStyle w:val="Hyperlink"/>
          </w:rPr>
          <w:t>Bianchi &amp; Briere</w:t>
        </w:r>
        <w:r w:rsidRPr="0070080E">
          <w:rPr>
            <w:rStyle w:val="Hyperlink"/>
          </w:rPr>
          <w:t>, 202</w:t>
        </w:r>
        <w:r w:rsidR="003E0DBE">
          <w:rPr>
            <w:rStyle w:val="Hyperlink"/>
          </w:rPr>
          <w:t>1</w:t>
        </w:r>
      </w:hyperlink>
      <w:r w:rsidRPr="0070080E">
        <w:t xml:space="preserve">; </w:t>
      </w:r>
      <w:hyperlink r:id="rId70">
        <w:r w:rsidRPr="0070080E">
          <w:rPr>
            <w:rStyle w:val="Hyperlink"/>
          </w:rPr>
          <w:t>Rudin, 2019</w:t>
        </w:r>
      </w:hyperlink>
      <w:r w:rsidRPr="0070080E">
        <w:t xml:space="preserve">; </w:t>
      </w:r>
      <w:hyperlink r:id="rId71">
        <w:r w:rsidRPr="0070080E">
          <w:rPr>
            <w:rStyle w:val="Hyperlink"/>
          </w:rPr>
          <w:t>Lim, 2026</w:t>
        </w:r>
      </w:hyperlink>
      <w:r w:rsidRPr="0070080E">
        <w:t>). Even in these advanced applications, however, the dominant design pattern remains one of analytical support and execution automation rather than ex-ante behavioral intervention.</w:t>
      </w:r>
    </w:p>
    <w:p w14:paraId="3CB0FEFC" w14:textId="77777777" w:rsidR="00F67DDB" w:rsidRPr="0070080E" w:rsidRDefault="0094076D">
      <w:pPr>
        <w:pStyle w:val="BodyText"/>
      </w:pPr>
      <w:r w:rsidRPr="0070080E">
        <w:t xml:space="preserve">A modest but growing line of research has examined how decision-support systems can be designed explicitly to mitigate behavioral biases. Evidence from </w:t>
      </w:r>
      <w:hyperlink r:id="rId72">
        <w:r w:rsidRPr="0070080E">
          <w:rPr>
            <w:rStyle w:val="Hyperlink"/>
          </w:rPr>
          <w:t>Henderson et al. (2018)</w:t>
        </w:r>
      </w:hyperlink>
      <w:r w:rsidRPr="0070080E">
        <w:t xml:space="preserve"> and </w:t>
      </w:r>
      <w:hyperlink r:id="rId73">
        <w:r w:rsidRPr="0070080E">
          <w:rPr>
            <w:rStyle w:val="Hyperlink"/>
          </w:rPr>
          <w:t>Statman (2019)</w:t>
        </w:r>
      </w:hyperlink>
      <w:r w:rsidRPr="0070080E">
        <w:t xml:space="preserve"> indicated that structured pre-commitment mechanisms, rule-based protocols, and the explicit presentation of risk information can reduce emotional reactivity and improve decision consistency (</w:t>
      </w:r>
      <w:hyperlink r:id="rId74">
        <w:r w:rsidRPr="0070080E">
          <w:rPr>
            <w:rStyle w:val="Hyperlink"/>
          </w:rPr>
          <w:t>Bhandari et al., 2008</w:t>
        </w:r>
      </w:hyperlink>
      <w:r w:rsidRPr="0070080E">
        <w:t>). Notwithstanding these contributions, the practitioner toolkit available to professional portfolio managers for the explicit identification and management of behavioral vulnerability at the point of decision remains comparatively underdeveloped. The present study contributes to this area by designing and empirically evaluating a structured decision-support indicator developed specifically for use during external information shock events.</w:t>
      </w:r>
    </w:p>
    <w:p w14:paraId="3CB0FEFD" w14:textId="77777777" w:rsidR="00F67DDB" w:rsidRPr="0070080E" w:rsidRDefault="0094076D">
      <w:pPr>
        <w:pStyle w:val="Heading2"/>
      </w:pPr>
      <w:bookmarkStart w:id="30" w:name="_Toc231913429"/>
      <w:bookmarkStart w:id="31" w:name="purpose-of-the-study"/>
      <w:bookmarkEnd w:id="26"/>
      <w:bookmarkEnd w:id="29"/>
      <w:r w:rsidRPr="0070080E">
        <w:t>1.3 Purpose of the Study</w:t>
      </w:r>
      <w:bookmarkEnd w:id="30"/>
    </w:p>
    <w:p w14:paraId="3CB0FEFE" w14:textId="77777777" w:rsidR="00F67DDB" w:rsidRPr="0070080E" w:rsidRDefault="0094076D">
      <w:pPr>
        <w:pStyle w:val="Heading3"/>
      </w:pPr>
      <w:bookmarkStart w:id="32" w:name="X79b8fecfc2f4825e3b1d1633fc269b051e7c283"/>
      <w:r w:rsidRPr="0070080E">
        <w:t>1.3.1 Measuring Behavioral Responses to Information Shocks</w:t>
      </w:r>
    </w:p>
    <w:p w14:paraId="3CB0FEFF" w14:textId="77777777" w:rsidR="00F67DDB" w:rsidRPr="0070080E" w:rsidRDefault="0094076D">
      <w:pPr>
        <w:pStyle w:val="FirstParagraph"/>
      </w:pPr>
      <w:r w:rsidRPr="0070080E">
        <w:t>The principal purpose of this study is to measure whether, and how strongly, the intensity of external financial information shocks is associated with the way professional equity portfolio managers adjust risk. The motivation rests on the premise that emotionally driven responses to salient news events are a documented source of inefficiency in portfolio management (</w:t>
      </w:r>
      <w:hyperlink r:id="rId75">
        <w:r w:rsidRPr="0070080E">
          <w:rPr>
            <w:rStyle w:val="Hyperlink"/>
          </w:rPr>
          <w:t>Meng et al., 2024</w:t>
        </w:r>
      </w:hyperlink>
      <w:r w:rsidRPr="0070080E">
        <w:t xml:space="preserve">; </w:t>
      </w:r>
      <w:hyperlink r:id="rId76">
        <w:r w:rsidRPr="0070080E">
          <w:rPr>
            <w:rStyle w:val="Hyperlink"/>
          </w:rPr>
          <w:t>Elkind et al., 2022</w:t>
        </w:r>
      </w:hyperlink>
      <w:r w:rsidRPr="0070080E">
        <w:t xml:space="preserve">; </w:t>
      </w:r>
      <w:hyperlink r:id="rId77">
        <w:r w:rsidRPr="0070080E">
          <w:rPr>
            <w:rStyle w:val="Hyperlink"/>
          </w:rPr>
          <w:t>Huber et al., 2022</w:t>
        </w:r>
      </w:hyperlink>
      <w:r w:rsidRPr="0070080E">
        <w:t>), and that operational improvement depends on translating insights from behavioral finance into instruments that can be applied at the moment of decision rather than retrospectively.</w:t>
      </w:r>
    </w:p>
    <w:p w14:paraId="3CB0FF00" w14:textId="77777777" w:rsidR="00F67DDB" w:rsidRPr="0070080E" w:rsidRDefault="0094076D">
      <w:pPr>
        <w:pStyle w:val="BodyText"/>
      </w:pPr>
      <w:r w:rsidRPr="0070080E">
        <w:t>The study approaches this purpose empirically rather than prescriptively. The empirical design captures professional managers’ stated decision responses to a structured set of real-market information shock scenarios, allowing the relationship between information shock intensity and decision response to be evaluated quantitatively. The intention is not to demonstrate that any particular decision is correct or incorrect, but to establish whether systematic patterns exist in the way that managers respond to information shocks of varying intensity, and whether those patterns are altered when managers are provided with a standardized decision-support signal during scenario evaluation.</w:t>
      </w:r>
    </w:p>
    <w:p w14:paraId="3CB0FF01" w14:textId="501C0F02" w:rsidR="00F67DDB" w:rsidRPr="0070080E" w:rsidRDefault="0094076D">
      <w:pPr>
        <w:pStyle w:val="BodyText"/>
      </w:pPr>
      <w:r w:rsidRPr="0070080E">
        <w:t>Framed in this way, the study responds to calls in the behavioral finance literature for research that moves beyond cataloguing biases toward designing and testing practical instruments for managing them (</w:t>
      </w:r>
      <w:hyperlink r:id="rId78">
        <w:r w:rsidRPr="0070080E">
          <w:rPr>
            <w:rStyle w:val="Hyperlink"/>
          </w:rPr>
          <w:t>Barberis &amp; Thaler, 2002</w:t>
        </w:r>
      </w:hyperlink>
      <w:r w:rsidRPr="0070080E">
        <w:t xml:space="preserve">; </w:t>
      </w:r>
      <w:hyperlink r:id="rId79">
        <w:r w:rsidRPr="0070080E">
          <w:rPr>
            <w:rStyle w:val="Hyperlink"/>
          </w:rPr>
          <w:t>Statman, 2019</w:t>
        </w:r>
      </w:hyperlink>
      <w:r w:rsidRPr="0070080E">
        <w:t xml:space="preserve">; </w:t>
      </w:r>
      <w:hyperlink r:id="rId80">
        <w:r w:rsidRPr="0070080E">
          <w:rPr>
            <w:rStyle w:val="Hyperlink"/>
          </w:rPr>
          <w:t>Lim, 2026</w:t>
        </w:r>
      </w:hyperlink>
      <w:r w:rsidRPr="0070080E">
        <w:t>). Although the empirical work is confined to equity portfolio management, the underlying approach</w:t>
      </w:r>
      <w:r w:rsidR="000A66AA">
        <w:t>—</w:t>
      </w:r>
      <w:r w:rsidRPr="0070080E">
        <w:t>measuring the intensity of a decision-relevant stimulus and linking it to a structured response</w:t>
      </w:r>
      <w:r w:rsidR="000A66AA">
        <w:t>—</w:t>
      </w:r>
      <w:r w:rsidRPr="0070080E">
        <w:t>is, in principle, transferable to other settings in which professionals make high-stakes decisions under uncertainty and time pressure. The contribution is therefore intended to be useful both to academic research on professional investor behavior and to investment institutions seeking to strengthen the behavioral dimension of their decision-making.</w:t>
      </w:r>
    </w:p>
    <w:p w14:paraId="3CB0FF02" w14:textId="77777777" w:rsidR="00F67DDB" w:rsidRPr="0070080E" w:rsidRDefault="0094076D">
      <w:pPr>
        <w:pStyle w:val="Heading3"/>
      </w:pPr>
      <w:bookmarkStart w:id="33" w:name="X22047961e47135c87238cf5920931bf5b61cdba"/>
      <w:bookmarkEnd w:id="32"/>
      <w:r w:rsidRPr="0070080E">
        <w:t>1.3.2 Moderating Behavioral Bias through Quantitative Signals</w:t>
      </w:r>
    </w:p>
    <w:p w14:paraId="3CB0FF03" w14:textId="7AB1C5E6" w:rsidR="00F67DDB" w:rsidRPr="0070080E" w:rsidRDefault="0094076D">
      <w:pPr>
        <w:pStyle w:val="FirstParagraph"/>
      </w:pPr>
      <w:r w:rsidRPr="0070080E">
        <w:t>A secondary purpose of the study is to examine the role of quantitative signals in supporting managerial decision-making during shock events. Quantitative signals can serve at least two distinct functions in this context. First, they can provide a common reference point for the magnitude of an information event, supporting consistent interpretation across managers, time periods, and event types. Second, they can act as triggers for the activation of pre-committed decision protocols</w:t>
      </w:r>
      <w:r w:rsidR="000A66AA">
        <w:t>—</w:t>
      </w:r>
      <w:r w:rsidRPr="0070080E">
        <w:t>for example, structured review procedures or cooling-off periods</w:t>
      </w:r>
      <w:r w:rsidR="000A66AA">
        <w:t>—</w:t>
      </w:r>
      <w:r w:rsidRPr="0070080E">
        <w:t>that are designed to interpose a deliberate decision step between the receipt of new information and the execution of portfolio actions (</w:t>
      </w:r>
      <w:hyperlink r:id="rId81">
        <w:r w:rsidRPr="0070080E">
          <w:rPr>
            <w:rStyle w:val="Hyperlink"/>
          </w:rPr>
          <w:t>Henderson et al., 2018</w:t>
        </w:r>
      </w:hyperlink>
      <w:r w:rsidRPr="0070080E">
        <w:t xml:space="preserve">; </w:t>
      </w:r>
      <w:hyperlink r:id="rId82">
        <w:r w:rsidRPr="0070080E">
          <w:rPr>
            <w:rStyle w:val="Hyperlink"/>
          </w:rPr>
          <w:t>Statman, 2019</w:t>
        </w:r>
      </w:hyperlink>
      <w:r w:rsidRPr="0070080E">
        <w:t>).</w:t>
      </w:r>
    </w:p>
    <w:p w14:paraId="3CB0FF04" w14:textId="77777777" w:rsidR="00F67DDB" w:rsidRPr="0070080E" w:rsidRDefault="0094076D">
      <w:pPr>
        <w:pStyle w:val="BodyText"/>
      </w:pPr>
      <w:r w:rsidRPr="0070080E">
        <w:t>The study examines a quantitative signal in this second capacity: as a tool to moderate decisions rather than to forecast returns. The signal is meant to describe the conditions surrounding a decision, not to predict where prices will move next. This distinguishes it from the literature on sentiment-based return prediction and algorithmic trading signals (</w:t>
      </w:r>
      <w:hyperlink r:id="rId83">
        <w:r w:rsidRPr="0070080E">
          <w:rPr>
            <w:rStyle w:val="Hyperlink"/>
          </w:rPr>
          <w:t>Tetlock, 2007</w:t>
        </w:r>
      </w:hyperlink>
      <w:r w:rsidRPr="0070080E">
        <w:t xml:space="preserve">; </w:t>
      </w:r>
      <w:hyperlink r:id="rId84">
        <w:r w:rsidRPr="0070080E">
          <w:rPr>
            <w:rStyle w:val="Hyperlink"/>
          </w:rPr>
          <w:t>Song et al., 2015</w:t>
        </w:r>
      </w:hyperlink>
      <w:r w:rsidRPr="0070080E">
        <w:t xml:space="preserve">; </w:t>
      </w:r>
      <w:hyperlink r:id="rId85">
        <w:r w:rsidRPr="0070080E">
          <w:rPr>
            <w:rStyle w:val="Hyperlink"/>
          </w:rPr>
          <w:t>Baker &amp; Wurgler, 2006</w:t>
        </w:r>
      </w:hyperlink>
      <w:r w:rsidRPr="0070080E">
        <w:t>) and places it firmly in the area of practitioner-oriented behavioral decision support. The detailed construction and operationalization of the indicator are presented in Chapter 4.</w:t>
      </w:r>
    </w:p>
    <w:p w14:paraId="3CB0FF05" w14:textId="77777777" w:rsidR="00F67DDB" w:rsidRPr="0070080E" w:rsidRDefault="0094076D">
      <w:pPr>
        <w:pStyle w:val="Heading2"/>
      </w:pPr>
      <w:bookmarkStart w:id="34" w:name="_Toc231913430"/>
      <w:bookmarkStart w:id="35" w:name="significance-of-the-study"/>
      <w:bookmarkEnd w:id="31"/>
      <w:bookmarkEnd w:id="33"/>
      <w:r w:rsidRPr="0070080E">
        <w:t>1.4 Significance of the Study</w:t>
      </w:r>
      <w:bookmarkEnd w:id="34"/>
    </w:p>
    <w:p w14:paraId="3CB0FF06" w14:textId="77777777" w:rsidR="00F67DDB" w:rsidRPr="0070080E" w:rsidRDefault="0094076D">
      <w:pPr>
        <w:pStyle w:val="Heading3"/>
      </w:pPr>
      <w:bookmarkStart w:id="36" w:name="Xc01a792dc9db2208ec59d690e6e67c256324391"/>
      <w:r w:rsidRPr="0070080E">
        <w:t>1.4.1 Academic Contribution to Behavioral Finance</w:t>
      </w:r>
    </w:p>
    <w:p w14:paraId="3CB0FF07" w14:textId="280AAB2A" w:rsidR="00F67DDB" w:rsidRPr="0070080E" w:rsidRDefault="0094076D">
      <w:pPr>
        <w:pStyle w:val="FirstParagraph"/>
      </w:pPr>
      <w:r w:rsidRPr="0070080E">
        <w:t>The academic significance of the study lies in its position at the intersection of three established research streams. The first stream concerns the documentation of behavioral biases among professional investors and corporate executives and their consequences for portfolio outcomes (</w:t>
      </w:r>
      <w:hyperlink r:id="rId86">
        <w:r w:rsidRPr="0070080E">
          <w:rPr>
            <w:rStyle w:val="Hyperlink"/>
          </w:rPr>
          <w:t>Barber &amp; Odean, 2001</w:t>
        </w:r>
      </w:hyperlink>
      <w:r w:rsidRPr="0070080E">
        <w:t xml:space="preserve">; </w:t>
      </w:r>
      <w:hyperlink r:id="rId87">
        <w:r w:rsidRPr="0070080E">
          <w:rPr>
            <w:rStyle w:val="Hyperlink"/>
          </w:rPr>
          <w:t>Ben-David et al., 2013</w:t>
        </w:r>
      </w:hyperlink>
      <w:r w:rsidRPr="0070080E">
        <w:t xml:space="preserve">; </w:t>
      </w:r>
      <w:hyperlink r:id="rId88">
        <w:r w:rsidRPr="0070080E">
          <w:rPr>
            <w:rStyle w:val="Hyperlink"/>
          </w:rPr>
          <w:t>Huber et al., 2022</w:t>
        </w:r>
      </w:hyperlink>
      <w:r w:rsidRPr="0070080E">
        <w:t>). The second stream concerns the measurement of information intensity in financial markets through news, sentiment, and attention-based indicators (</w:t>
      </w:r>
      <w:hyperlink r:id="rId89">
        <w:r w:rsidRPr="0070080E">
          <w:rPr>
            <w:rStyle w:val="Hyperlink"/>
          </w:rPr>
          <w:t>Tetlock, 2007</w:t>
        </w:r>
      </w:hyperlink>
      <w:r w:rsidRPr="0070080E">
        <w:t xml:space="preserve">; </w:t>
      </w:r>
      <w:hyperlink r:id="rId90">
        <w:r w:rsidRPr="0070080E">
          <w:rPr>
            <w:rStyle w:val="Hyperlink"/>
          </w:rPr>
          <w:t>Da et al., 2011</w:t>
        </w:r>
      </w:hyperlink>
      <w:r w:rsidRPr="0070080E">
        <w:t xml:space="preserve">; </w:t>
      </w:r>
      <w:hyperlink r:id="rId91">
        <w:r w:rsidRPr="0070080E">
          <w:rPr>
            <w:rStyle w:val="Hyperlink"/>
          </w:rPr>
          <w:t>Baker &amp; Wurgler, 2006</w:t>
        </w:r>
      </w:hyperlink>
      <w:r w:rsidRPr="0070080E">
        <w:t xml:space="preserve">; </w:t>
      </w:r>
      <w:hyperlink r:id="rId92">
        <w:r w:rsidRPr="0070080E">
          <w:rPr>
            <w:rStyle w:val="Hyperlink"/>
          </w:rPr>
          <w:t>Song et al., 2015</w:t>
        </w:r>
      </w:hyperlink>
      <w:r w:rsidRPr="0070080E">
        <w:t>). The third stream concerns the design of decision-support systems that explicitly target behavioral vulnerability rather than purely analytical inputs (</w:t>
      </w:r>
      <w:hyperlink r:id="rId93">
        <w:r w:rsidR="003E0DBE" w:rsidRPr="003E0DBE">
          <w:rPr>
            <w:rStyle w:val="Hyperlink"/>
          </w:rPr>
          <w:t>Bianchi &amp; Briere</w:t>
        </w:r>
        <w:r w:rsidRPr="0070080E">
          <w:rPr>
            <w:rStyle w:val="Hyperlink"/>
          </w:rPr>
          <w:t>, 202</w:t>
        </w:r>
        <w:r w:rsidR="003E0DBE">
          <w:rPr>
            <w:rStyle w:val="Hyperlink"/>
          </w:rPr>
          <w:t>1</w:t>
        </w:r>
      </w:hyperlink>
      <w:r w:rsidRPr="0070080E">
        <w:t xml:space="preserve">; </w:t>
      </w:r>
      <w:hyperlink r:id="rId94">
        <w:r w:rsidRPr="0070080E">
          <w:rPr>
            <w:rStyle w:val="Hyperlink"/>
          </w:rPr>
          <w:t>Lim, 2026</w:t>
        </w:r>
      </w:hyperlink>
      <w:r w:rsidRPr="0070080E">
        <w:t xml:space="preserve">; </w:t>
      </w:r>
      <w:hyperlink r:id="rId95">
        <w:r w:rsidRPr="0070080E">
          <w:rPr>
            <w:rStyle w:val="Hyperlink"/>
          </w:rPr>
          <w:t>Bhandari et al., 2008</w:t>
        </w:r>
      </w:hyperlink>
      <w:r w:rsidRPr="0070080E">
        <w:t>).</w:t>
      </w:r>
    </w:p>
    <w:p w14:paraId="3CB0FF08" w14:textId="77777777" w:rsidR="00F67DDB" w:rsidRPr="0070080E" w:rsidRDefault="0094076D">
      <w:pPr>
        <w:pStyle w:val="BodyText"/>
      </w:pPr>
      <w:r w:rsidRPr="0070080E">
        <w:t>The contribution of the present study is to integrate these three streams within a single empirical design that combines a real-time composite information shock measure, a professional sample of equity portfolio managers, a behaviorally grounded decision-support intervention, and a quantitative outcome measure of managerial decision response. No prior research within the reviewed literature was identified that integrates these components; existing studies have tended to address one or two of these elements in isolation. The study therefore contributes to behavioral finance by providing empirical evidence on a question that has been recognized but not directly tested in the existing literature.</w:t>
      </w:r>
    </w:p>
    <w:p w14:paraId="3CB0FF09" w14:textId="77777777" w:rsidR="00F67DDB" w:rsidRPr="0070080E" w:rsidRDefault="0094076D">
      <w:pPr>
        <w:pStyle w:val="Heading3"/>
      </w:pPr>
      <w:bookmarkStart w:id="37" w:name="X4c3ef5b923b9c04c344ba179e4218e8b7f21d4d"/>
      <w:bookmarkEnd w:id="36"/>
      <w:r w:rsidRPr="0070080E">
        <w:t>1.4.2 Practical Relevance for Portfolio Managers</w:t>
      </w:r>
    </w:p>
    <w:p w14:paraId="3CB0FF0A" w14:textId="77777777" w:rsidR="00F67DDB" w:rsidRPr="0070080E" w:rsidRDefault="0094076D">
      <w:pPr>
        <w:pStyle w:val="FirstParagraph"/>
      </w:pPr>
      <w:r w:rsidRPr="0070080E">
        <w:t>The practical significance of the study lies in its direct relevance to investment institutions and to the portfolio managers who operate within them. Professional managers face external information shocks routinely, and the quality of their responses has a measurable bearing on the realized performance and risk profile of the portfolios they manage. Discretionary practice relies extensively on judgment, experience, and informal heuristics in interpreting news events. Quantitative and algorithmic funds increasingly apply news-sentiment analytics, but these tools are generally built to identify return opportunities rather than to help managers resist their own behavioral biases; structured behavioral decision-support tools designed for use at the point of a discretionary decision remain uncommon (</w:t>
      </w:r>
      <w:hyperlink r:id="rId96">
        <w:r w:rsidRPr="0070080E">
          <w:rPr>
            <w:rStyle w:val="Hyperlink"/>
          </w:rPr>
          <w:t>Bhandari et al., 2008</w:t>
        </w:r>
      </w:hyperlink>
      <w:r w:rsidRPr="0070080E">
        <w:t>).</w:t>
      </w:r>
    </w:p>
    <w:p w14:paraId="3CB0FF0B" w14:textId="77777777" w:rsidR="00F67DDB" w:rsidRPr="0070080E" w:rsidRDefault="0094076D">
      <w:pPr>
        <w:pStyle w:val="BodyText"/>
      </w:pPr>
      <w:r w:rsidRPr="0070080E">
        <w:t>A second dimension of practical significance concerns the relationship between investment management practice and investment policy. Investment policy statements typically specify objectives, constraints, rebalancing principles, and oversight procedures, but they rarely operationalize behavioral risk in a form that can be applied to specific events (</w:t>
      </w:r>
      <w:hyperlink r:id="rId97">
        <w:r w:rsidRPr="0070080E">
          <w:rPr>
            <w:rStyle w:val="Hyperlink"/>
          </w:rPr>
          <w:t>Statman, 2019</w:t>
        </w:r>
      </w:hyperlink>
      <w:r w:rsidRPr="0070080E">
        <w:t>). The present study provides a concrete empirical example of how a behavioral indicator can be linked to a structured decision protocol that complements existing governance arrangements without displacing manager judgment. The framework is positioned as decision support rather than decision automation, preserving the manager’s accountability while introducing a deliberate procedural step that is intended to dampen impulsive responses under conditions of high informational and emotional load.</w:t>
      </w:r>
    </w:p>
    <w:p w14:paraId="3CB0FF0C" w14:textId="77777777" w:rsidR="00F67DDB" w:rsidRPr="0070080E" w:rsidRDefault="0094076D">
      <w:pPr>
        <w:pStyle w:val="Heading3"/>
      </w:pPr>
      <w:bookmarkStart w:id="38" w:name="Xfae170f7722e9cef8ce1419b8a93f61d6fd0860"/>
      <w:bookmarkEnd w:id="37"/>
      <w:r w:rsidRPr="0070080E">
        <w:t>1.4.3 Implications for Risk Management Practices</w:t>
      </w:r>
    </w:p>
    <w:p w14:paraId="3CB0FF0D" w14:textId="77777777" w:rsidR="00F67DDB" w:rsidRPr="0070080E" w:rsidRDefault="0094076D">
      <w:pPr>
        <w:pStyle w:val="FirstParagraph"/>
      </w:pPr>
      <w:r w:rsidRPr="0070080E">
        <w:t>Risk management functions within investment institutions are typically responsible for the measurement, monitoring, and oversight of portfolio exposures and performance. Behavioral risk, the risk that decision-makers will systematically depart from disciplined investment processes in ways that affect portfolio outcomes, is recognized conceptually within the risk management discipline but is rarely operationalized through specific indicators or controls (</w:t>
      </w:r>
      <w:hyperlink r:id="rId98">
        <w:r w:rsidRPr="0070080E">
          <w:rPr>
            <w:rStyle w:val="Hyperlink"/>
          </w:rPr>
          <w:t>Bhandari et al., 2008</w:t>
        </w:r>
      </w:hyperlink>
      <w:r w:rsidRPr="0070080E">
        <w:t xml:space="preserve">; </w:t>
      </w:r>
      <w:hyperlink r:id="rId99">
        <w:r w:rsidRPr="0070080E">
          <w:rPr>
            <w:rStyle w:val="Hyperlink"/>
          </w:rPr>
          <w:t>Barberis &amp; Thaler, 2002</w:t>
        </w:r>
      </w:hyperlink>
      <w:r w:rsidRPr="0070080E">
        <w:t>). The present study contributes to this area by demonstrating how a behavioral decision-support indicator can be constructed from publicly available market and news data and integrated into existing risk governance frameworks.</w:t>
      </w:r>
    </w:p>
    <w:p w14:paraId="3CB0FF0E" w14:textId="77777777" w:rsidR="00F67DDB" w:rsidRPr="0070080E" w:rsidRDefault="0094076D">
      <w:pPr>
        <w:pStyle w:val="BodyText"/>
      </w:pPr>
      <w:r w:rsidRPr="0070080E">
        <w:t>The implications extend to several risk-management practices, including the design of pre-trade controls, the structure of escalation procedures for high-impact events, the conduct of post-event reviews, and the development of behavioral risk indicators that complement existing market-risk and operational-risk measurement. The study does not propose to replace established risk management instruments; rather, it points toward an additional layer of behavioral risk awareness that operates at the level of the individual decision and that is anchored in observable market and information characteristics; the concrete form this could take in practice is developed in the recommendations of Section 6.4.</w:t>
      </w:r>
    </w:p>
    <w:p w14:paraId="3CB0FF0F" w14:textId="77777777" w:rsidR="00F67DDB" w:rsidRPr="0070080E" w:rsidRDefault="0094076D">
      <w:pPr>
        <w:pStyle w:val="Heading2"/>
      </w:pPr>
      <w:bookmarkStart w:id="39" w:name="_Toc231913431"/>
      <w:bookmarkStart w:id="40" w:name="scope-and-delimitations"/>
      <w:bookmarkEnd w:id="35"/>
      <w:bookmarkEnd w:id="38"/>
      <w:r w:rsidRPr="0070080E">
        <w:t>1.5 Scope and Delimitations</w:t>
      </w:r>
      <w:bookmarkEnd w:id="39"/>
    </w:p>
    <w:p w14:paraId="3CB0FF10" w14:textId="77777777" w:rsidR="00F67DDB" w:rsidRPr="0070080E" w:rsidRDefault="0094076D">
      <w:pPr>
        <w:pStyle w:val="Heading3"/>
      </w:pPr>
      <w:bookmarkStart w:id="41" w:name="asset-classes-and-market-coverage"/>
      <w:r w:rsidRPr="0070080E">
        <w:t>1.5.1 Asset Classes and Market Coverage</w:t>
      </w:r>
    </w:p>
    <w:p w14:paraId="3CB0FF11" w14:textId="1644CA28" w:rsidR="00F67DDB" w:rsidRPr="0070080E" w:rsidRDefault="0094076D">
      <w:pPr>
        <w:pStyle w:val="FirstParagraph"/>
      </w:pPr>
      <w:r w:rsidRPr="0070080E">
        <w:t>The study is restricted to financial decisions made by professional equity portfolio managers</w:t>
      </w:r>
      <w:r w:rsidR="000A66AA">
        <w:t>—</w:t>
      </w:r>
      <w:r w:rsidRPr="0070080E">
        <w:t>an international population of practitioners employed at institutional investment firms, rather than individual or retail investors. Within that population, the empirical scope covers publicly traded U.S. large-capitalization equities (S&amp;P 500 constituents) across the principal Global Industry Classification Standard sectors. This restriction is motivated by three considerations. First, the U.S. large-cap equity universe provides a deep and continuous supply of public news events, analyst actions, and earnings announcements that are systematically tractable for constructing event-level information shock measures. Second, U.S. equity markets offer high-quality intraday market data with consistent transparency conventions, which is required for identifying short-horizon market responses to information events. Third, equity portfolio managers represent a well-defined professional population that can be recruited with comparable role responsibilities and decision authority.</w:t>
      </w:r>
    </w:p>
    <w:p w14:paraId="3CB0FF12" w14:textId="77777777" w:rsidR="00F67DDB" w:rsidRPr="0070080E" w:rsidRDefault="0094076D">
      <w:pPr>
        <w:pStyle w:val="BodyText"/>
      </w:pPr>
      <w:r w:rsidRPr="0070080E">
        <w:t>Within this scope, the study does not extend to fixed income, foreign exchange, commodities, derivatives, or private market instruments. Multi-asset and asset-allocation decisions are likewise outside the scope of the empirical analysis. Findings reported in subsequent chapters are interpreted within the boundaries of the equity portfolio management context and are not claimed to generalize without further validation to other asset classes or to portfolio managers operating under materially different mandates.</w:t>
      </w:r>
    </w:p>
    <w:p w14:paraId="3CB0FF13" w14:textId="77777777" w:rsidR="00F67DDB" w:rsidRPr="0070080E" w:rsidRDefault="0094076D">
      <w:pPr>
        <w:pStyle w:val="BodyText"/>
      </w:pPr>
      <w:r w:rsidRPr="0070080E">
        <w:t>The primary data are the stated decision responses (Net Risk Stance) of professional equity portfolio managers to the standardized scenarios, together with the respondent characteristics recorded in the survey. These are combined with secondary data: market and news data are reduced to the event-level Shock Score (the independent variable), while the survey responses provide the decision outcome (the dependent variable). The study’s inferences rest on the association between the externally measured shock intensity and managers’ stated decisions (Chapters 4 and 5).</w:t>
      </w:r>
    </w:p>
    <w:p w14:paraId="3CB0FF14" w14:textId="77777777" w:rsidR="00F67DDB" w:rsidRPr="0070080E" w:rsidRDefault="0094076D">
      <w:pPr>
        <w:pStyle w:val="Heading3"/>
      </w:pPr>
      <w:bookmarkStart w:id="42" w:name="time-horizon-and-frequency-of-decisions"/>
      <w:bookmarkEnd w:id="41"/>
      <w:r w:rsidRPr="0070080E">
        <w:t>1.5.2 Time Horizon and Frequency of Decisions</w:t>
      </w:r>
    </w:p>
    <w:p w14:paraId="3CB0FF15" w14:textId="35006486" w:rsidR="00F67DDB" w:rsidRPr="0070080E" w:rsidRDefault="0094076D">
      <w:pPr>
        <w:pStyle w:val="FirstParagraph"/>
      </w:pPr>
      <w:r w:rsidRPr="0070080E">
        <w:t>The study examines short-horizon decision responses</w:t>
      </w:r>
      <w:r w:rsidR="000A66AA">
        <w:t>—</w:t>
      </w:r>
      <w:r w:rsidRPr="0070080E">
        <w:t>those made within hours of a discrete information event. The relevant decision horizon is the interval between the arrival of a public information event and the manager’s opportunity to act on it, typically later the same trading day. This horizon is the period during which the cognitive and emotional load associated with external information shocks is most acute, during which short-term price overshooting and reversal are most pronounced (</w:t>
      </w:r>
      <w:hyperlink r:id="rId100">
        <w:r w:rsidRPr="0070080E">
          <w:rPr>
            <w:rStyle w:val="Hyperlink"/>
          </w:rPr>
          <w:t>Meng et al., 2024</w:t>
        </w:r>
      </w:hyperlink>
      <w:r w:rsidRPr="0070080E">
        <w:t xml:space="preserve">; </w:t>
      </w:r>
      <w:hyperlink r:id="rId101">
        <w:r w:rsidRPr="0070080E">
          <w:rPr>
            <w:rStyle w:val="Hyperlink"/>
          </w:rPr>
          <w:t>Cremers et al., 2021</w:t>
        </w:r>
      </w:hyperlink>
      <w:r w:rsidRPr="0070080E">
        <w:t>), and during which the operational relevance of a decision-support intervention is most directly observable. In data terms, this horizon corresponds to the 30-minute bars over which the secondary market data capture the shock and its immediate aftermath, and to the single post-shock decision point at which the primary survey elicits each manager’s Net Risk Stance.</w:t>
      </w:r>
    </w:p>
    <w:p w14:paraId="3CB0FF16" w14:textId="77777777" w:rsidR="00F67DDB" w:rsidRPr="0070080E" w:rsidRDefault="0094076D">
      <w:pPr>
        <w:pStyle w:val="BodyText"/>
      </w:pPr>
      <w:r w:rsidRPr="0070080E">
        <w:t>The study does not address strategic or long-horizon asset-allocation decisions, life-cycle planning, or the multi-period management of liability-driven portfolios. Each of these domains involves distinct decision processes and distinct sources of behavioral risk that fall outside the present empirical design. The findings reported in Chapter 5 should be interpreted as applying to the immediate decision response of equity portfolio managers to discrete external information events at the level of individual portfolio holdings.</w:t>
      </w:r>
    </w:p>
    <w:p w14:paraId="3CB0FF17" w14:textId="77777777" w:rsidR="00F67DDB" w:rsidRPr="0070080E" w:rsidRDefault="0094076D">
      <w:pPr>
        <w:pStyle w:val="Heading3"/>
      </w:pPr>
      <w:bookmarkStart w:id="43" w:name="methodological-boundaries-of-the-study"/>
      <w:bookmarkEnd w:id="42"/>
      <w:r w:rsidRPr="0070080E">
        <w:t>1.5.3 Methodological Boundaries of the Study</w:t>
      </w:r>
    </w:p>
    <w:p w14:paraId="3CB0FF18" w14:textId="77777777" w:rsidR="00F67DDB" w:rsidRPr="0070080E" w:rsidRDefault="0094076D">
      <w:pPr>
        <w:pStyle w:val="FirstParagraph"/>
      </w:pPr>
      <w:r w:rsidRPr="0070080E">
        <w:t>The empirical study is conducted as a within-subject quasi-experimental scenario survey (Shadish et al., 2002) administered to professional equity portfolio managers. This design captures stated decision responses to standardized scenarios rather than observed trading behavior in live portfolios. The methodological boundaries of this approach are recognized and are discussed in detail in Chapters 2 and 4. The study evaluates the relationship between information shock intensity and stated decision response, and the moderating role of a structured decision-support indicator, under the controlled conditions afforded by the scenario design. The translation of stated decision responses into portfolio outcomes is conducted through simulation conventions that are fully specified in Chapter 4 and whose limitations are recorded explicitly.</w:t>
      </w:r>
    </w:p>
    <w:p w14:paraId="3CB0FF19" w14:textId="7EE1321C" w:rsidR="00F67DDB" w:rsidRPr="0070080E" w:rsidRDefault="0094076D">
      <w:pPr>
        <w:pStyle w:val="BodyText"/>
      </w:pPr>
      <w:r w:rsidRPr="0070080E">
        <w:t>The study uses publicly available secondary data</w:t>
      </w:r>
      <w:r w:rsidR="000A66AA">
        <w:t>—</w:t>
      </w:r>
      <w:r w:rsidRPr="0070080E">
        <w:t>market prices and news obtained from Interactive Brokers and Benzinga</w:t>
      </w:r>
      <w:r w:rsidR="000A66AA">
        <w:t>—</w:t>
      </w:r>
      <w:r w:rsidRPr="0070080E">
        <w:t>to construct the event-level shock measures. Because these inputs are observable and reproducible, the composite indicator does not depend on any proprietary data source. The structure of the data also shapes the analytical method: because each manager responds to several scenarios, the responses are not independent, so the analysis uses panel regression with cluster-robust standard errors and respondent-level fixed effects to account for repeated responses by the same manager and the same event (Chapter 5). The methodological boundaries of the study therefore concern both the use of stated rather than revealed preferences and the dependence of portfolio-level inferences on simulation conventions, both of which are made transparent so that readers may form independent judgments about the strength and generalizability of the findings.</w:t>
      </w:r>
    </w:p>
    <w:p w14:paraId="3CB0FF1A" w14:textId="77777777" w:rsidR="00F67DDB" w:rsidRPr="0070080E" w:rsidRDefault="0094076D">
      <w:pPr>
        <w:pStyle w:val="Heading2"/>
      </w:pPr>
      <w:bookmarkStart w:id="44" w:name="_Toc231913432"/>
      <w:bookmarkStart w:id="45" w:name="structure-of-the-thesis"/>
      <w:bookmarkEnd w:id="40"/>
      <w:bookmarkEnd w:id="43"/>
      <w:r w:rsidRPr="0070080E">
        <w:t>1.6 Structure of the Thesis</w:t>
      </w:r>
      <w:bookmarkEnd w:id="44"/>
    </w:p>
    <w:p w14:paraId="3CB0FF1B" w14:textId="77777777" w:rsidR="00F67DDB" w:rsidRPr="0070080E" w:rsidRDefault="0094076D">
      <w:pPr>
        <w:pStyle w:val="FirstParagraph"/>
      </w:pPr>
      <w:r w:rsidRPr="0070080E">
        <w:t>The thesis is organized into six chapters. Chapter 1, the present chapter, introduces the problem, the motivation for the study, and the scope of the empirical research. Chapter 2 defines the objectives of the study, formulates the research questions and hypothesis statements, presents operational definitions of key terms, and records the assumptions and limitations that bound interpretation of the findings. Chapter 3 reviews the academic literature on behavioral finance, managerial decision-making under uncertainty, structured tools for the mitigation of behavioral bias, and the implications for portfolio management, concluding with a systematic mapping of the gaps in existing research that the study addresses. Chapter 4 documents the research data, the construction of the composite Shock Score, and the design of the primary survey instrument used to collect professional managers’ decision responses. Chapter 5 presents the empirical analysis and statistical results, including descriptive statistics, the principal regression specifications used to evaluate the hypotheses, and robustness checks. Chapter 6 states the conclusions, formulates practical recommendations for portfolio managers and risk governance practitioners, identifies areas for further research, and discusses the ethical considerations and broader societal implications of the findings.</w:t>
      </w:r>
    </w:p>
    <w:p w14:paraId="3CB0FF1C" w14:textId="77777777" w:rsidR="00F67DDB" w:rsidRPr="0070080E" w:rsidRDefault="0094076D">
      <w:pPr>
        <w:pStyle w:val="Heading1"/>
      </w:pPr>
      <w:bookmarkStart w:id="46" w:name="_Toc231913433"/>
      <w:bookmarkStart w:id="47" w:name="chapter-2.-objectives-of-the-study"/>
      <w:bookmarkEnd w:id="18"/>
      <w:bookmarkEnd w:id="45"/>
      <w:r w:rsidRPr="0070080E">
        <w:t>Chapter 2. Objectives of the Study</w:t>
      </w:r>
      <w:bookmarkEnd w:id="46"/>
    </w:p>
    <w:p w14:paraId="3CB0FF1D" w14:textId="77777777" w:rsidR="00F67DDB" w:rsidRPr="0070080E" w:rsidRDefault="0094076D">
      <w:pPr>
        <w:pStyle w:val="Heading2"/>
      </w:pPr>
      <w:bookmarkStart w:id="48" w:name="_Toc231913434"/>
      <w:bookmarkStart w:id="49" w:name="chapter-introduction"/>
      <w:r w:rsidRPr="0070080E">
        <w:t>2.1 Chapter Introduction</w:t>
      </w:r>
      <w:bookmarkEnd w:id="48"/>
    </w:p>
    <w:p w14:paraId="3CB0FF1E" w14:textId="77777777" w:rsidR="00F67DDB" w:rsidRPr="0070080E" w:rsidRDefault="0094076D">
      <w:pPr>
        <w:pStyle w:val="FirstParagraph"/>
      </w:pPr>
      <w:r w:rsidRPr="0070080E">
        <w:t>Chapter 2 defines the research scope and agenda for the study. It restates the managerial problem motivating the research (Section 2.2), specifies the objectives that guide the empirical work (Section 2.3), and presents the research questions and hypothesis statements to be evaluated (Sections 2.4 to 2.6). The chapter also provides operational definitions of key terms and records the assumptions and limitations that bound interpretation of the findings (Section 2.8).</w:t>
      </w:r>
    </w:p>
    <w:p w14:paraId="3CB0FF1F" w14:textId="77777777" w:rsidR="00F67DDB" w:rsidRPr="0070080E" w:rsidRDefault="0094076D">
      <w:pPr>
        <w:pStyle w:val="Heading2"/>
      </w:pPr>
      <w:bookmarkStart w:id="50" w:name="_Toc231913435"/>
      <w:bookmarkStart w:id="51" w:name="problem-statement"/>
      <w:bookmarkEnd w:id="49"/>
      <w:r w:rsidRPr="0070080E">
        <w:t>2.2 Problem Statement</w:t>
      </w:r>
      <w:bookmarkEnd w:id="50"/>
    </w:p>
    <w:p w14:paraId="3CB0FF20" w14:textId="7CC9077A" w:rsidR="00F67DDB" w:rsidRPr="0070080E" w:rsidRDefault="0094076D">
      <w:pPr>
        <w:pStyle w:val="FirstParagraph"/>
      </w:pPr>
      <w:r w:rsidRPr="0070080E">
        <w:t>When quarterly earnings results are issued after market close, or a central bank announces an unexpected policy shift, portfolio managers may need to reassess positions before the next trading session, often under considerable time pressure. These decisions are made under uncertainty, information overload, and rapidly evolving market narratives (</w:t>
      </w:r>
      <w:hyperlink r:id="rId102">
        <w:r w:rsidRPr="0070080E">
          <w:rPr>
            <w:rStyle w:val="Hyperlink"/>
          </w:rPr>
          <w:t>Hirshleifer, 2015</w:t>
        </w:r>
      </w:hyperlink>
      <w:r w:rsidRPr="0070080E">
        <w:t xml:space="preserve">; </w:t>
      </w:r>
      <w:hyperlink r:id="rId103">
        <w:r w:rsidRPr="0070080E">
          <w:rPr>
            <w:rStyle w:val="Hyperlink"/>
          </w:rPr>
          <w:t>Kahneman &amp; Tversky, 1979</w:t>
        </w:r>
      </w:hyperlink>
      <w:r w:rsidRPr="0070080E">
        <w:t xml:space="preserve">; </w:t>
      </w:r>
      <w:hyperlink r:id="rId104">
        <w:r w:rsidRPr="0070080E">
          <w:rPr>
            <w:rStyle w:val="Hyperlink"/>
          </w:rPr>
          <w:t>Peng &amp; Xiong, 2006</w:t>
        </w:r>
      </w:hyperlink>
      <w:r w:rsidRPr="0070080E">
        <w:t>). In such environments, emotionally salient external information shocks can increase cognitive load and compress the time available for deliberation. Prior work suggested that these conditions may lead to systematic deviations from disciplined decision-making (</w:t>
      </w:r>
      <w:hyperlink r:id="rId105">
        <w:r w:rsidRPr="0070080E">
          <w:rPr>
            <w:rStyle w:val="Hyperlink"/>
          </w:rPr>
          <w:t>Shefrin, 200</w:t>
        </w:r>
        <w:r w:rsidR="009A5DBD">
          <w:rPr>
            <w:rStyle w:val="Hyperlink"/>
          </w:rPr>
          <w:t>7</w:t>
        </w:r>
      </w:hyperlink>
      <w:r w:rsidRPr="0070080E">
        <w:t xml:space="preserve">; </w:t>
      </w:r>
      <w:hyperlink r:id="rId106">
        <w:r w:rsidRPr="0070080E">
          <w:rPr>
            <w:rStyle w:val="Hyperlink"/>
          </w:rPr>
          <w:t>Barber &amp; Odean, 2008</w:t>
        </w:r>
      </w:hyperlink>
      <w:r w:rsidRPr="0070080E">
        <w:t>). In portfolio management, such deviations can manifest as procyclical rebalancing (</w:t>
      </w:r>
      <w:hyperlink r:id="rId107">
        <w:r w:rsidRPr="0070080E">
          <w:rPr>
            <w:rStyle w:val="Hyperlink"/>
          </w:rPr>
          <w:t>Harvey et al., 2025</w:t>
        </w:r>
      </w:hyperlink>
      <w:r w:rsidRPr="0070080E">
        <w:t xml:space="preserve">; </w:t>
      </w:r>
      <w:hyperlink r:id="rId108">
        <w:r w:rsidRPr="0070080E">
          <w:rPr>
            <w:rStyle w:val="Hyperlink"/>
          </w:rPr>
          <w:t>Elkind et al., 2022</w:t>
        </w:r>
      </w:hyperlink>
      <w:r w:rsidRPr="0070080E">
        <w:t>), excessive turnover (</w:t>
      </w:r>
      <w:hyperlink r:id="rId109">
        <w:r w:rsidRPr="0070080E">
          <w:rPr>
            <w:rStyle w:val="Hyperlink"/>
          </w:rPr>
          <w:t>Barber &amp; Odean, 2000</w:t>
        </w:r>
      </w:hyperlink>
      <w:r w:rsidRPr="0070080E">
        <w:t>), delayed adjustment, or temporary departures from strategic risk targets. Each of these patterns may degrade risk-adjusted returns and increase drawdown exposure over short horizons.</w:t>
      </w:r>
    </w:p>
    <w:p w14:paraId="3CB0FF21" w14:textId="3919A00E" w:rsidR="00F67DDB" w:rsidRPr="0070080E" w:rsidRDefault="0094076D">
      <w:pPr>
        <w:pStyle w:val="BodyText"/>
      </w:pPr>
      <w:r w:rsidRPr="0070080E">
        <w:t xml:space="preserve">The research problem addressed in this thesis is twofold. First, the study examines whether external financial information shocks are associated with systematic changes in managers’ </w:t>
      </w:r>
      <w:r w:rsidR="00AF1BA6" w:rsidRPr="00AF1BA6">
        <w:t>immediate Net Risk Stance</w:t>
      </w:r>
      <w:r w:rsidRPr="0070080E">
        <w:t xml:space="preserve">. Second, it evaluates whether a structured decision-support indicator, the Shock Score, is associated with </w:t>
      </w:r>
      <w:r w:rsidR="00AF1BA6" w:rsidRPr="00AF1BA6">
        <w:t xml:space="preserve">changes in portfolio </w:t>
      </w:r>
      <w:r w:rsidR="00400BE9">
        <w:t>risk–return</w:t>
      </w:r>
      <w:r w:rsidR="007A513E">
        <w:t xml:space="preserve"> </w:t>
      </w:r>
      <w:r w:rsidR="007A513E" w:rsidRPr="00AF1BA6">
        <w:t>outcomes</w:t>
      </w:r>
      <w:r w:rsidR="00AF1BA6" w:rsidRPr="00AF1BA6">
        <w:t xml:space="preserve"> when managers</w:t>
      </w:r>
      <w:r w:rsidR="00AF1BA6">
        <w:t xml:space="preserve"> </w:t>
      </w:r>
      <w:r w:rsidRPr="0070080E">
        <w:t>face information shock conditions.</w:t>
      </w:r>
    </w:p>
    <w:p w14:paraId="3CB0FF22" w14:textId="77777777" w:rsidR="00F67DDB" w:rsidRPr="0070080E" w:rsidRDefault="0094076D">
      <w:pPr>
        <w:pStyle w:val="BodyText"/>
      </w:pPr>
      <w:r w:rsidRPr="0070080E">
        <w:t>The Shock Score plays two roles in the study. It serves, first, as a continuous measure of information shock intensity for analyzing the relationship between information shocks and decisions. It serves, second, as an experimental treatment condition in which the Shock Score dashboard is displayed to managers during scenario evaluation in order to structure their interpretation of information and dampen the influence of emotional and cognitive biases. The study is framed as quantitative research on professional decision-making rather than as a claim about market inefficiency or return predictability.</w:t>
      </w:r>
    </w:p>
    <w:p w14:paraId="3CB0FF23" w14:textId="597CD0D7" w:rsidR="00F67DDB" w:rsidRPr="0070080E" w:rsidRDefault="0094076D">
      <w:pPr>
        <w:pStyle w:val="BodyText"/>
      </w:pPr>
      <w:r w:rsidRPr="0070080E">
        <w:t>The behavioral finance literature documented that earnings announcements and other discrete information events frequently produce short-term price overreaction followed by partial reversal, consistent with attention-driven trading and emotional processing of salient news (</w:t>
      </w:r>
      <w:hyperlink r:id="rId110">
        <w:r w:rsidRPr="0070080E">
          <w:rPr>
            <w:rStyle w:val="Hyperlink"/>
          </w:rPr>
          <w:t>Jiang &amp; Zhu, 201</w:t>
        </w:r>
        <w:r w:rsidR="001957C3">
          <w:rPr>
            <w:rStyle w:val="Hyperlink"/>
          </w:rPr>
          <w:t>7</w:t>
        </w:r>
      </w:hyperlink>
      <w:r w:rsidRPr="0070080E">
        <w:t xml:space="preserve">; </w:t>
      </w:r>
      <w:hyperlink r:id="rId111">
        <w:r w:rsidRPr="0070080E">
          <w:rPr>
            <w:rStyle w:val="Hyperlink"/>
          </w:rPr>
          <w:t>Meng et al., 2024</w:t>
        </w:r>
      </w:hyperlink>
      <w:r w:rsidRPr="0070080E">
        <w:t>). The intraday price dynamics of Meta Platforms Inc. on 2 February 2026, which coincided with the public release of quarterly earnings results, illustrate this pattern. The announcement triggered a rapid upward price adjustment together with elevated trading volume, consistent with a positive earnings surprise. Despite the positive informational content, the immediate price response was followed by pronounced short-term volatility and partial reversal, a sequence consistent with the short-horizon overreaction patterns documented in the empirical literature (</w:t>
      </w:r>
      <w:hyperlink r:id="rId112">
        <w:r w:rsidRPr="0070080E">
          <w:rPr>
            <w:rStyle w:val="Hyperlink"/>
          </w:rPr>
          <w:t>Hirshleifer, 2015</w:t>
        </w:r>
      </w:hyperlink>
      <w:r w:rsidRPr="0070080E">
        <w:t>).</w:t>
      </w:r>
    </w:p>
    <w:p w14:paraId="06AD3EE4" w14:textId="77777777" w:rsidR="00F13E40" w:rsidRPr="0070080E" w:rsidRDefault="00F13E40">
      <w:pPr>
        <w:spacing w:after="200" w:line="240" w:lineRule="auto"/>
        <w:ind w:firstLine="0"/>
        <w:rPr>
          <w:b/>
          <w:bCs/>
        </w:rPr>
      </w:pPr>
      <w:r w:rsidRPr="0070080E">
        <w:br w:type="page"/>
      </w:r>
    </w:p>
    <w:p w14:paraId="3CB0FF24" w14:textId="75C44C3A" w:rsidR="00F67DDB" w:rsidRPr="0070080E" w:rsidRDefault="0094076D" w:rsidP="00F13E40">
      <w:pPr>
        <w:pStyle w:val="Tableid"/>
      </w:pPr>
      <w:r w:rsidRPr="0070080E">
        <w:t>Figure 2.1</w:t>
      </w:r>
    </w:p>
    <w:p w14:paraId="3CB0FF25" w14:textId="77777777" w:rsidR="00F67DDB" w:rsidRPr="0070080E" w:rsidRDefault="0094076D" w:rsidP="00F13E40">
      <w:pPr>
        <w:pStyle w:val="TableCaption"/>
      </w:pPr>
      <w:r w:rsidRPr="0070080E">
        <w:t>Intraday Price Movement of Meta Platforms Inc. on 2 February 2026 Following the Release of Quarterly Earnings Results, Illustrating a Short-Horizon Market Reaction to an External Information Shock</w:t>
      </w:r>
    </w:p>
    <w:p w14:paraId="3CB0FF26" w14:textId="77777777" w:rsidR="00F67DDB" w:rsidRPr="0070080E" w:rsidRDefault="0094076D" w:rsidP="00AF74C3">
      <w:pPr>
        <w:pStyle w:val="Compact"/>
      </w:pPr>
      <w:r w:rsidRPr="0070080E">
        <w:rPr>
          <w:noProof/>
        </w:rPr>
        <w:drawing>
          <wp:inline distT="0" distB="0" distL="0" distR="0" wp14:anchorId="3CB10817" wp14:editId="3CB10818">
            <wp:extent cx="5943600" cy="2889786"/>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mages/img_shock_example.png"/>
                    <pic:cNvPicPr>
                      <a:picLocks noChangeAspect="1" noChangeArrowheads="1"/>
                    </pic:cNvPicPr>
                  </pic:nvPicPr>
                  <pic:blipFill>
                    <a:blip r:embed="rId113"/>
                    <a:stretch>
                      <a:fillRect/>
                    </a:stretch>
                  </pic:blipFill>
                  <pic:spPr bwMode="auto">
                    <a:xfrm>
                      <a:off x="0" y="0"/>
                      <a:ext cx="5943600" cy="2889786"/>
                    </a:xfrm>
                    <a:prstGeom prst="rect">
                      <a:avLst/>
                    </a:prstGeom>
                    <a:noFill/>
                    <a:ln w="9525">
                      <a:noFill/>
                      <a:headEnd/>
                      <a:tailEnd/>
                    </a:ln>
                  </pic:spPr>
                </pic:pic>
              </a:graphicData>
            </a:graphic>
          </wp:inline>
        </w:drawing>
      </w:r>
    </w:p>
    <w:p w14:paraId="3CB0FF27" w14:textId="79F6D984" w:rsidR="00F67DDB" w:rsidRPr="0070080E" w:rsidRDefault="0094076D" w:rsidP="00AF74C3">
      <w:pPr>
        <w:pStyle w:val="BodyText"/>
        <w:ind w:firstLine="0"/>
      </w:pPr>
      <w:r w:rsidRPr="0070080E">
        <w:rPr>
          <w:i/>
          <w:iCs/>
        </w:rPr>
        <w:t>Note.</w:t>
      </w:r>
      <w:r w:rsidRPr="0070080E">
        <w:t xml:space="preserve"> Intraday price and volume data for Meta Platforms Inc. (ticker: META), retrieved via the Interactive Brokers API</w:t>
      </w:r>
      <w:r w:rsidR="007F0C2B">
        <w:t xml:space="preserve"> (2026)</w:t>
      </w:r>
      <w:r w:rsidRPr="0070080E">
        <w:t>.</w:t>
      </w:r>
    </w:p>
    <w:p w14:paraId="3CB0FF28" w14:textId="77777777" w:rsidR="00F67DDB" w:rsidRPr="0070080E" w:rsidRDefault="0094076D">
      <w:pPr>
        <w:pStyle w:val="Heading3"/>
      </w:pPr>
      <w:bookmarkStart w:id="52" w:name="X63f96651c95b4754a292da0409e6255f8772239"/>
      <w:r w:rsidRPr="0070080E">
        <w:t>2.2.1 Emotional Bias as a Source of Suboptimal Portfolio Decisions</w:t>
      </w:r>
    </w:p>
    <w:p w14:paraId="3CB0FF29" w14:textId="77777777" w:rsidR="00F67DDB" w:rsidRPr="0070080E" w:rsidRDefault="0094076D">
      <w:pPr>
        <w:pStyle w:val="FirstParagraph"/>
      </w:pPr>
      <w:r w:rsidRPr="0070080E">
        <w:t>Dual-process accounts of judgment hold that portfolio decisions are shaped by both analytical judgment and affective responses, particularly under uncertainty and time pressure (</w:t>
      </w:r>
      <w:hyperlink r:id="rId114">
        <w:r w:rsidRPr="0070080E">
          <w:rPr>
            <w:rStyle w:val="Hyperlink"/>
          </w:rPr>
          <w:t>Kahneman, 2011</w:t>
        </w:r>
      </w:hyperlink>
      <w:r w:rsidRPr="0070080E">
        <w:t xml:space="preserve">; </w:t>
      </w:r>
      <w:hyperlink r:id="rId115">
        <w:r w:rsidRPr="0070080E">
          <w:rPr>
            <w:rStyle w:val="Hyperlink"/>
          </w:rPr>
          <w:t>Kahneman, 2003</w:t>
        </w:r>
      </w:hyperlink>
      <w:r w:rsidRPr="0070080E">
        <w:t>). Emotional and cognitive biases may influence how information is interpreted and acted upon, leading to inconsistent or procyclical decision responses relative to an investor’s stated objectives and constraints (</w:t>
      </w:r>
      <w:hyperlink r:id="rId116">
        <w:r w:rsidRPr="0070080E">
          <w:rPr>
            <w:rStyle w:val="Hyperlink"/>
          </w:rPr>
          <w:t>Hirshleifer, 2015</w:t>
        </w:r>
      </w:hyperlink>
      <w:r w:rsidRPr="0070080E">
        <w:t>). External information shocks, by their nature as sudden and salient stimuli, are particularly likely to activate affective responses that may diverge from, and override, deliberative cognitive assessments of risk, making emotional bias an especially relevant source of decision error in the context of this study (</w:t>
      </w:r>
      <w:hyperlink r:id="rId117">
        <w:r w:rsidRPr="0070080E">
          <w:rPr>
            <w:rStyle w:val="Hyperlink"/>
          </w:rPr>
          <w:t>Loewenstein et al., 2001</w:t>
        </w:r>
      </w:hyperlink>
      <w:r w:rsidRPr="0070080E">
        <w:t xml:space="preserve">; </w:t>
      </w:r>
      <w:hyperlink r:id="rId118">
        <w:r w:rsidRPr="0070080E">
          <w:rPr>
            <w:rStyle w:val="Hyperlink"/>
          </w:rPr>
          <w:t>Meng et al., 2024</w:t>
        </w:r>
      </w:hyperlink>
      <w:r w:rsidRPr="0070080E">
        <w:t>). In this thesis, emotional bias is treated as a plausible mechanism that may contribute to suboptimal decision patterns (</w:t>
      </w:r>
      <w:hyperlink r:id="rId119">
        <w:r w:rsidRPr="0070080E">
          <w:rPr>
            <w:rStyle w:val="Hyperlink"/>
          </w:rPr>
          <w:t>Kahneman &amp; Tversky, 1979</w:t>
        </w:r>
      </w:hyperlink>
      <w:r w:rsidRPr="0070080E">
        <w:t xml:space="preserve">; </w:t>
      </w:r>
      <w:hyperlink r:id="rId120">
        <w:r w:rsidRPr="0070080E">
          <w:rPr>
            <w:rStyle w:val="Hyperlink"/>
          </w:rPr>
          <w:t>Loewenstein et al., 2001</w:t>
        </w:r>
      </w:hyperlink>
      <w:r w:rsidRPr="0070080E">
        <w:t>), to be examined through the literature review in Chapter 3 and evaluated empirically through the analysis of primary survey data and secondary market data in Chapters 5 and 6.</w:t>
      </w:r>
    </w:p>
    <w:p w14:paraId="3CB0FF2A" w14:textId="271E177F" w:rsidR="00F67DDB" w:rsidRPr="0070080E" w:rsidRDefault="0094076D">
      <w:pPr>
        <w:pStyle w:val="Heading3"/>
      </w:pPr>
      <w:bookmarkStart w:id="53" w:name="Xce8a70bd532f2d04da8a5ab9b2b0a4890926e2d"/>
      <w:bookmarkEnd w:id="52"/>
      <w:r w:rsidRPr="0070080E">
        <w:t xml:space="preserve">2.2.2 Impact of External Information Shocks on </w:t>
      </w:r>
      <w:r w:rsidR="002C360C">
        <w:t>Risk-</w:t>
      </w:r>
      <w:r w:rsidR="007A513E">
        <w:t xml:space="preserve">return </w:t>
      </w:r>
      <w:r w:rsidR="007A513E" w:rsidRPr="0070080E">
        <w:t>Outcomes</w:t>
      </w:r>
    </w:p>
    <w:p w14:paraId="3CB0FF2B" w14:textId="55354191" w:rsidR="00F67DDB" w:rsidRPr="0070080E" w:rsidRDefault="0094076D">
      <w:pPr>
        <w:pStyle w:val="FirstParagraph"/>
      </w:pPr>
      <w:r w:rsidRPr="0070080E">
        <w:t>External financial information shocks are defined as discrete public events relevant to portfolio holdings that may trigger rapid market reactions and elevate decision urgency (</w:t>
      </w:r>
      <w:hyperlink r:id="rId121">
        <w:r w:rsidRPr="0070080E">
          <w:rPr>
            <w:rStyle w:val="Hyperlink"/>
          </w:rPr>
          <w:t>Jiang &amp; Zhu, 201</w:t>
        </w:r>
        <w:r w:rsidR="001957C3">
          <w:rPr>
            <w:rStyle w:val="Hyperlink"/>
          </w:rPr>
          <w:t>7</w:t>
        </w:r>
      </w:hyperlink>
      <w:r w:rsidRPr="0070080E">
        <w:t xml:space="preserve">; </w:t>
      </w:r>
      <w:hyperlink r:id="rId122">
        <w:r w:rsidRPr="0070080E">
          <w:rPr>
            <w:rStyle w:val="Hyperlink"/>
          </w:rPr>
          <w:t>Meng et al., 2024</w:t>
        </w:r>
      </w:hyperlink>
      <w:r w:rsidRPr="0070080E">
        <w:t>). Empirical research in behavioral finance documents evidence that such information shocks can affect decision behavior and, therefore, influence portfolio outcomes, particularly when decisions are made over short horizons (</w:t>
      </w:r>
      <w:hyperlink r:id="rId123">
        <w:r w:rsidRPr="0070080E">
          <w:rPr>
            <w:rStyle w:val="Hyperlink"/>
          </w:rPr>
          <w:t>Hirshleifer, 2015</w:t>
        </w:r>
      </w:hyperlink>
      <w:r w:rsidRPr="0070080E">
        <w:t xml:space="preserve">; </w:t>
      </w:r>
      <w:hyperlink r:id="rId124">
        <w:r w:rsidRPr="0070080E">
          <w:rPr>
            <w:rStyle w:val="Hyperlink"/>
          </w:rPr>
          <w:t>Elkind et al., 2022</w:t>
        </w:r>
      </w:hyperlink>
      <w:r w:rsidRPr="0070080E">
        <w:t>). The magnitude and persistence of market responses may vary by event type and context (</w:t>
      </w:r>
      <w:hyperlink r:id="rId125">
        <w:r w:rsidRPr="0070080E">
          <w:rPr>
            <w:rStyle w:val="Hyperlink"/>
          </w:rPr>
          <w:t>Jiang &amp; Zhu, 201</w:t>
        </w:r>
        <w:r w:rsidR="001957C3">
          <w:rPr>
            <w:rStyle w:val="Hyperlink"/>
          </w:rPr>
          <w:t>7</w:t>
        </w:r>
      </w:hyperlink>
      <w:r w:rsidRPr="0070080E">
        <w:t xml:space="preserve">; </w:t>
      </w:r>
      <w:hyperlink r:id="rId126">
        <w:r w:rsidRPr="0070080E">
          <w:rPr>
            <w:rStyle w:val="Hyperlink"/>
          </w:rPr>
          <w:t>Tetlock, 2007</w:t>
        </w:r>
      </w:hyperlink>
      <w:r w:rsidRPr="0070080E">
        <w:t>), and these relationships are treated as empirical questions to be evaluated through the study design.</w:t>
      </w:r>
    </w:p>
    <w:p w14:paraId="3CB0FF2C" w14:textId="77777777" w:rsidR="00F67DDB" w:rsidRPr="0070080E" w:rsidRDefault="0094076D">
      <w:pPr>
        <w:pStyle w:val="BodyText"/>
      </w:pPr>
      <w:r w:rsidRPr="0070080E">
        <w:t>The Shock Score, an original composite indicator developed in this thesis and formally defined in section 2.6.3, is introduced as a decision-support mechanism intended to structure interpretation of information shock information and support disciplined responses. Its construction draws on established approaches to sentiment measurement (</w:t>
      </w:r>
      <w:hyperlink r:id="rId127">
        <w:r w:rsidRPr="0070080E">
          <w:rPr>
            <w:rStyle w:val="Hyperlink"/>
          </w:rPr>
          <w:t>Tetlock, 2007</w:t>
        </w:r>
      </w:hyperlink>
      <w:r w:rsidRPr="0070080E">
        <w:t>) and principal-component-based index design (</w:t>
      </w:r>
      <w:hyperlink r:id="rId128">
        <w:r w:rsidRPr="0070080E">
          <w:rPr>
            <w:rStyle w:val="Hyperlink"/>
          </w:rPr>
          <w:t>Baker &amp; Wurgler, 2006</w:t>
        </w:r>
      </w:hyperlink>
      <w:r w:rsidRPr="0070080E">
        <w:t>). As reviewed in Chapter 3, existing decision-support tools in finance are predominantly designed for quantitative analytics and algorithmic execution (</w:t>
      </w:r>
      <w:hyperlink r:id="rId129">
        <w:r w:rsidRPr="0070080E">
          <w:rPr>
            <w:rStyle w:val="Hyperlink"/>
          </w:rPr>
          <w:t>Lim, 2026</w:t>
        </w:r>
      </w:hyperlink>
      <w:r w:rsidRPr="0070080E">
        <w:t xml:space="preserve">; </w:t>
      </w:r>
      <w:hyperlink r:id="rId130">
        <w:r w:rsidRPr="0070080E">
          <w:rPr>
            <w:rStyle w:val="Hyperlink"/>
          </w:rPr>
          <w:t>Bhandari et al., 2008</w:t>
        </w:r>
      </w:hyperlink>
      <w:r w:rsidRPr="0070080E">
        <w:t>), while providing limited structural support for identifying or mitigating behavioral biases before decisions are made (</w:t>
      </w:r>
      <w:hyperlink r:id="rId131">
        <w:r w:rsidRPr="0070080E">
          <w:rPr>
            <w:rStyle w:val="Hyperlink"/>
          </w:rPr>
          <w:t>Goodell et al., 2023</w:t>
        </w:r>
      </w:hyperlink>
      <w:r w:rsidRPr="0070080E">
        <w:t xml:space="preserve">; </w:t>
      </w:r>
      <w:hyperlink r:id="rId132">
        <w:r w:rsidRPr="0070080E">
          <w:rPr>
            <w:rStyle w:val="Hyperlink"/>
          </w:rPr>
          <w:t>Barberis &amp; Thaler, 2002</w:t>
        </w:r>
      </w:hyperlink>
      <w:r w:rsidRPr="0070080E">
        <w:t>). The Shock Score is designed to address this gap by combining real-time information shock quantification with a rules-based pre-commitment protocol that activates structured decision procedures precisely when behavioral vulnerability is expected to be elevated.</w:t>
      </w:r>
    </w:p>
    <w:p w14:paraId="3CB0FF2D" w14:textId="77777777" w:rsidR="00F67DDB" w:rsidRPr="0070080E" w:rsidRDefault="0094076D">
      <w:pPr>
        <w:pStyle w:val="Heading2"/>
      </w:pPr>
      <w:bookmarkStart w:id="54" w:name="_Toc231913436"/>
      <w:bookmarkStart w:id="55" w:name="objectives-of-the-study"/>
      <w:bookmarkEnd w:id="51"/>
      <w:bookmarkEnd w:id="53"/>
      <w:r w:rsidRPr="0070080E">
        <w:t>2.3 Objectives of the Study</w:t>
      </w:r>
      <w:bookmarkEnd w:id="54"/>
    </w:p>
    <w:p w14:paraId="3CB0FF2E" w14:textId="77777777" w:rsidR="00F67DDB" w:rsidRPr="0070080E" w:rsidRDefault="0094076D">
      <w:pPr>
        <w:pStyle w:val="FirstParagraph"/>
      </w:pPr>
      <w:r w:rsidRPr="0070080E">
        <w:t>The overall objective of the study is to evaluate whether a structured, practitioner-oriented Shock Score can support investment decision outcomes under external information shock conditions. The study operationalizes outcomes in terms of risk-adjusted portfolio performance, consistent with the premise that information shocks may induce both excessive risk-taking and excessive de-risking (</w:t>
      </w:r>
      <w:hyperlink r:id="rId133">
        <w:r w:rsidRPr="0070080E">
          <w:rPr>
            <w:rStyle w:val="Hyperlink"/>
          </w:rPr>
          <w:t>Kahneman &amp; Tversky, 1979</w:t>
        </w:r>
      </w:hyperlink>
      <w:r w:rsidRPr="0070080E">
        <w:t xml:space="preserve">; </w:t>
      </w:r>
      <w:hyperlink r:id="rId134">
        <w:r w:rsidRPr="0070080E">
          <w:rPr>
            <w:rStyle w:val="Hyperlink"/>
          </w:rPr>
          <w:t>Barber &amp; Odean, 2001</w:t>
        </w:r>
      </w:hyperlink>
      <w:r w:rsidRPr="0070080E">
        <w:t xml:space="preserve">; </w:t>
      </w:r>
      <w:hyperlink r:id="rId135">
        <w:r w:rsidRPr="0070080E">
          <w:rPr>
            <w:rStyle w:val="Hyperlink"/>
          </w:rPr>
          <w:t>Chen et al., 2024</w:t>
        </w:r>
      </w:hyperlink>
      <w:r w:rsidRPr="0070080E">
        <w:t>).</w:t>
      </w:r>
    </w:p>
    <w:p w14:paraId="3CB0FF2F" w14:textId="77777777" w:rsidR="00F67DDB" w:rsidRPr="0070080E" w:rsidRDefault="0094076D">
      <w:pPr>
        <w:pStyle w:val="BodyText"/>
      </w:pPr>
      <w:r w:rsidRPr="0070080E">
        <w:t>The objectives of the study are as follows. While behavioral finance established that information shocks may activate cognitive and emotional biases in investors (</w:t>
      </w:r>
      <w:hyperlink r:id="rId136">
        <w:r w:rsidRPr="0070080E">
          <w:rPr>
            <w:rStyle w:val="Hyperlink"/>
          </w:rPr>
          <w:t>Barberis &amp; Thaler, 2002</w:t>
        </w:r>
      </w:hyperlink>
      <w:r w:rsidRPr="0070080E">
        <w:t>), two questions remain empirically open in the context of professional equity portfolio management: whether information shock intensity systematically predicts the magnitude of decision deviation, and whether providing managers with a structured information shock indicator at the moment of decision can moderate that deviation. These questions motivate the causal pathway examined in this thesis.</w:t>
      </w:r>
    </w:p>
    <w:p w14:paraId="3CB0FF30" w14:textId="5021DEDD" w:rsidR="00F67DDB" w:rsidRPr="0070080E" w:rsidRDefault="0094076D">
      <w:pPr>
        <w:pStyle w:val="BodyText"/>
      </w:pPr>
      <w:r w:rsidRPr="0070080E">
        <w:t>The first link in this pathway concerns the relationship between external information shocks and managerial decision response. Such events can activate cognitive and affective biases that, under time pressure and information overload, may produce decision responses deviating from the manager’s stated investment objectives</w:t>
      </w:r>
      <w:r w:rsidR="000A66AA">
        <w:t>—</w:t>
      </w:r>
      <w:r w:rsidRPr="0070080E">
        <w:t>procyclical rebalancing, excessive position changes, or delayed adjustment (</w:t>
      </w:r>
      <w:hyperlink r:id="rId137">
        <w:r w:rsidRPr="0070080E">
          <w:rPr>
            <w:rStyle w:val="Hyperlink"/>
          </w:rPr>
          <w:t>Elkind et al., 2022</w:t>
        </w:r>
      </w:hyperlink>
      <w:r w:rsidRPr="0070080E">
        <w:t xml:space="preserve">; </w:t>
      </w:r>
      <w:hyperlink r:id="rId138">
        <w:r w:rsidRPr="0070080E">
          <w:rPr>
            <w:rStyle w:val="Hyperlink"/>
          </w:rPr>
          <w:t>Barber &amp; Odean, 2000</w:t>
        </w:r>
      </w:hyperlink>
      <w:r w:rsidRPr="0070080E">
        <w:t xml:space="preserve">; </w:t>
      </w:r>
      <w:hyperlink r:id="rId139">
        <w:r w:rsidRPr="0070080E">
          <w:rPr>
            <w:rStyle w:val="Hyperlink"/>
          </w:rPr>
          <w:t>Jiang &amp; Zhu, 201</w:t>
        </w:r>
        <w:r w:rsidR="001957C3">
          <w:rPr>
            <w:rStyle w:val="Hyperlink"/>
          </w:rPr>
          <w:t>7</w:t>
        </w:r>
      </w:hyperlink>
      <w:r w:rsidRPr="0070080E">
        <w:t>).</w:t>
      </w:r>
    </w:p>
    <w:p w14:paraId="3CB0FF31" w14:textId="20C0966A" w:rsidR="00F67DDB" w:rsidRPr="0070080E" w:rsidRDefault="0094076D">
      <w:pPr>
        <w:pStyle w:val="BodyText"/>
      </w:pPr>
      <w:r w:rsidRPr="0070080E">
        <w:t>The second link concerns the potential role of structured decision support in moderating emotional and behavioral responses to information shocks. The Shock Score, an original composite indicator developed in this thesis and formally defined in section 2.6.3, is designed to quantify the emotional and informational intensity of an external information shock and to present this information to managers through an interpretable dashboard. The dashboard incorporates sentiment direction, information shock severity, a persistence horizon estimate, and a rules-based pre-commitment protocol. The rationale for this design draws on evidence that pre-commitment mechanisms and structured decision rules can reduce emotional reactivity in professional investment contexts (</w:t>
      </w:r>
      <w:hyperlink r:id="rId140">
        <w:r w:rsidRPr="0070080E">
          <w:rPr>
            <w:rStyle w:val="Hyperlink"/>
          </w:rPr>
          <w:t>Henderson et al., 2018</w:t>
        </w:r>
      </w:hyperlink>
      <w:r w:rsidRPr="0070080E">
        <w:t xml:space="preserve">; </w:t>
      </w:r>
      <w:hyperlink r:id="rId141">
        <w:r w:rsidRPr="0070080E">
          <w:rPr>
            <w:rStyle w:val="Hyperlink"/>
          </w:rPr>
          <w:t>Statman, 2019</w:t>
        </w:r>
      </w:hyperlink>
      <w:r w:rsidRPr="0070080E">
        <w:t>), and that transparent, rule-based decision support, where an algorithmic indicator informs but does not replace human judgment, improves decision consistency in advisory settings (</w:t>
      </w:r>
      <w:hyperlink r:id="rId142">
        <w:r w:rsidR="003E0DBE" w:rsidRPr="003E0DBE">
          <w:rPr>
            <w:rStyle w:val="Hyperlink"/>
          </w:rPr>
          <w:t>Bianchi &amp; Briere</w:t>
        </w:r>
        <w:r w:rsidRPr="0070080E">
          <w:rPr>
            <w:rStyle w:val="Hyperlink"/>
          </w:rPr>
          <w:t>, 202</w:t>
        </w:r>
        <w:r w:rsidR="003E0DBE">
          <w:rPr>
            <w:rStyle w:val="Hyperlink"/>
          </w:rPr>
          <w:t>1</w:t>
        </w:r>
      </w:hyperlink>
      <w:r w:rsidRPr="0070080E">
        <w:t>). Cross-domain evidence further indicated that discretionary human overrides of algorithmic recommendations typically degrade rather than improve decision accuracy, motivating the advisory rather than override-based design of the Shock Score dashboard (</w:t>
      </w:r>
      <w:hyperlink r:id="rId143">
        <w:r w:rsidRPr="0070080E">
          <w:rPr>
            <w:rStyle w:val="Hyperlink"/>
          </w:rPr>
          <w:t>Angelova et al., 2023</w:t>
        </w:r>
      </w:hyperlink>
      <w:r w:rsidRPr="0070080E">
        <w:t>).</w:t>
      </w:r>
    </w:p>
    <w:p w14:paraId="3CB0FF32" w14:textId="47049D49" w:rsidR="00F67DDB" w:rsidRPr="0070080E" w:rsidRDefault="0094076D">
      <w:pPr>
        <w:pStyle w:val="BodyText"/>
      </w:pPr>
      <w:r w:rsidRPr="0070080E">
        <w:t xml:space="preserve">The third link concerns the downstream consequence: </w:t>
      </w:r>
      <w:r w:rsidR="00AF1BA6" w:rsidRPr="00AF1BA6">
        <w:t>whether moderated Net Risk Stance responses are associated</w:t>
      </w:r>
      <w:r w:rsidRPr="0070080E">
        <w:t xml:space="preserve"> with changes in portfolio </w:t>
      </w:r>
      <w:r w:rsidR="00400BE9">
        <w:t>risk–return</w:t>
      </w:r>
      <w:r w:rsidR="002C360C">
        <w:t xml:space="preserve"> outcomes</w:t>
      </w:r>
      <w:r w:rsidRPr="0070080E">
        <w:t>. Portfolio outcomes are evaluated through simulation using risk-adjusted performance measures, as defined in section 2.3.2. This link is model-dependent and subject to the limitations acknowledged in section 2.8.</w:t>
      </w:r>
    </w:p>
    <w:p w14:paraId="3CB0FF33" w14:textId="77777777" w:rsidR="00F67DDB" w:rsidRPr="0070080E" w:rsidRDefault="0094076D">
      <w:pPr>
        <w:pStyle w:val="BodyText"/>
      </w:pPr>
      <w:r w:rsidRPr="0070080E">
        <w:t>These three links form the causal logic that the study evaluates. An information shock produces behavioral activation, which drives a decision response (the Net Risk Stance), which in turn feeds the simulated portfolio outcome. The Shock Score dashboard enters this chain as a moderator: by structuring interpretation at the moment of information shock, it is expected to alter the decision response and, through that channel, the downstream outcome. Figure 2.3 represents this logic schematically.</w:t>
      </w:r>
    </w:p>
    <w:p w14:paraId="3CB0FF34" w14:textId="748D77B4" w:rsidR="00F67DDB" w:rsidRPr="0070080E" w:rsidRDefault="0094076D">
      <w:pPr>
        <w:pStyle w:val="BodyText"/>
      </w:pPr>
      <w:r w:rsidRPr="0070080E">
        <w:t xml:space="preserve">The </w:t>
      </w:r>
      <w:r w:rsidR="00AF1BA6">
        <w:t>two</w:t>
      </w:r>
      <w:r w:rsidR="00AF1BA6" w:rsidRPr="0070080E">
        <w:t xml:space="preserve"> </w:t>
      </w:r>
      <w:r w:rsidRPr="0070080E">
        <w:t xml:space="preserve">objectives below are aligned with this chain. Section 2.3.1 addresses the upper path, whether information shocks produce systematic shifts in </w:t>
      </w:r>
      <w:r w:rsidR="00AF1BA6" w:rsidRPr="00AF1BA6">
        <w:t>the Net Risk Stance response</w:t>
      </w:r>
      <w:r w:rsidRPr="0070080E">
        <w:t xml:space="preserve">. Section 2.3.2 addresses the intervention and its downstream consequence, </w:t>
      </w:r>
      <w:r w:rsidR="00AF1BA6" w:rsidRPr="00AF1BA6">
        <w:t xml:space="preserve">whether the Shock Score is associated with changes in those responses and in portfolio </w:t>
      </w:r>
      <w:r w:rsidR="00400BE9">
        <w:t>risk–return</w:t>
      </w:r>
      <w:r w:rsidR="008B35C6">
        <w:t xml:space="preserve"> </w:t>
      </w:r>
      <w:r w:rsidR="00AF1BA6" w:rsidRPr="00AF1BA6">
        <w:t>outcomes</w:t>
      </w:r>
      <w:r w:rsidRPr="0070080E">
        <w:t>.</w:t>
      </w:r>
    </w:p>
    <w:p w14:paraId="3CB0FF35" w14:textId="77777777" w:rsidR="00F67DDB" w:rsidRPr="0070080E" w:rsidRDefault="0094076D">
      <w:pPr>
        <w:pStyle w:val="Heading3"/>
      </w:pPr>
      <w:bookmarkStart w:id="56" w:name="Xf634c64c6228ab067085f4db474859ea1eadc7f"/>
      <w:r w:rsidRPr="0070080E">
        <w:t>2.3.1 Assessing the Effect of Information Shocks on Investment Decisions</w:t>
      </w:r>
    </w:p>
    <w:p w14:paraId="3CB0FF36" w14:textId="31DADA1D" w:rsidR="00F67DDB" w:rsidRPr="0070080E" w:rsidRDefault="0094076D">
      <w:pPr>
        <w:pStyle w:val="FirstParagraph"/>
      </w:pPr>
      <w:r w:rsidRPr="0070080E">
        <w:t xml:space="preserve">The first objective is to measure whether </w:t>
      </w:r>
      <w:r w:rsidR="00AF1BA6" w:rsidRPr="00AF1BA6">
        <w:t>the intensity of external financial information shocks is associated with managers' immediate Net Risk Stance responses</w:t>
      </w:r>
      <w:r w:rsidRPr="0070080E">
        <w:t>. Decision response is collected through primary data as a single-item, seven-point Net Risk Stance (NRS) scale, developed for this study and following established Likert-type measurement conventions (</w:t>
      </w:r>
      <w:hyperlink r:id="rId144">
        <w:r w:rsidRPr="0070080E">
          <w:rPr>
            <w:rStyle w:val="Hyperlink"/>
          </w:rPr>
          <w:t>Doronila, 2025</w:t>
        </w:r>
      </w:hyperlink>
      <w:r w:rsidRPr="0070080E">
        <w:t>), capturing the direction and intensity of intended exposure adjustment in response to an information shock scenario. A single-item measure is appropriate because the construct, directional portfolio adjustment intention, is concrete and unidimensional, and survey parsimony is critical when administering multiple scenarios to time-constrained professionals (</w:t>
      </w:r>
      <w:hyperlink r:id="rId145">
        <w:r w:rsidRPr="0070080E">
          <w:rPr>
            <w:rStyle w:val="Hyperlink"/>
          </w:rPr>
          <w:t>Bergkvist &amp; Rossiter, 2007</w:t>
        </w:r>
      </w:hyperlink>
      <w:r w:rsidRPr="0070080E">
        <w:t xml:space="preserve">). </w:t>
      </w:r>
      <w:commentRangeStart w:id="57"/>
      <w:commentRangeEnd w:id="57"/>
      <w:r w:rsidR="004A066E">
        <w:rPr>
          <w:rStyle w:val="CommentReference"/>
        </w:rPr>
        <w:commentReference w:id="57"/>
      </w:r>
    </w:p>
    <w:p w14:paraId="3CB0FF37" w14:textId="77777777" w:rsidR="00F67DDB" w:rsidRPr="0070080E" w:rsidRDefault="0094076D">
      <w:pPr>
        <w:pStyle w:val="BodyText"/>
      </w:pPr>
      <w:r w:rsidRPr="0070080E">
        <w:t>Net Risk Stance response scale (single item, seven points):</w:t>
      </w:r>
    </w:p>
    <w:p w14:paraId="3CB0FF38" w14:textId="446BDEE1" w:rsidR="00F67DDB" w:rsidRPr="0070080E" w:rsidRDefault="0094076D">
      <w:pPr>
        <w:pStyle w:val="Compact"/>
        <w:numPr>
          <w:ilvl w:val="0"/>
          <w:numId w:val="4"/>
        </w:numPr>
      </w:pPr>
      <w:r w:rsidRPr="0070080E">
        <w:t>Strongly reduce exposure</w:t>
      </w:r>
    </w:p>
    <w:p w14:paraId="3CB0FF39" w14:textId="01C9BDE5" w:rsidR="00F67DDB" w:rsidRPr="0070080E" w:rsidRDefault="0094076D">
      <w:pPr>
        <w:pStyle w:val="Compact"/>
        <w:numPr>
          <w:ilvl w:val="0"/>
          <w:numId w:val="4"/>
        </w:numPr>
      </w:pPr>
      <w:r w:rsidRPr="0070080E">
        <w:t>Reduce exposur</w:t>
      </w:r>
      <w:r w:rsidR="009B5C80" w:rsidRPr="0070080E">
        <w:t>e</w:t>
      </w:r>
    </w:p>
    <w:p w14:paraId="3CB0FF3A" w14:textId="338699F6" w:rsidR="00F67DDB" w:rsidRPr="0070080E" w:rsidRDefault="0094076D">
      <w:pPr>
        <w:pStyle w:val="Compact"/>
        <w:numPr>
          <w:ilvl w:val="0"/>
          <w:numId w:val="4"/>
        </w:numPr>
      </w:pPr>
      <w:r w:rsidRPr="0070080E">
        <w:t>Slightly reduce exposure</w:t>
      </w:r>
    </w:p>
    <w:p w14:paraId="3CB0FF3B" w14:textId="4DCD4CCF" w:rsidR="00F67DDB" w:rsidRPr="0070080E" w:rsidRDefault="0094076D">
      <w:pPr>
        <w:pStyle w:val="Compact"/>
        <w:numPr>
          <w:ilvl w:val="0"/>
          <w:numId w:val="4"/>
        </w:numPr>
      </w:pPr>
      <w:r w:rsidRPr="0070080E">
        <w:t>No change</w:t>
      </w:r>
    </w:p>
    <w:p w14:paraId="3CB0FF3C" w14:textId="580874E5" w:rsidR="00F67DDB" w:rsidRPr="0070080E" w:rsidRDefault="0094076D">
      <w:pPr>
        <w:pStyle w:val="Compact"/>
        <w:numPr>
          <w:ilvl w:val="0"/>
          <w:numId w:val="4"/>
        </w:numPr>
      </w:pPr>
      <w:r w:rsidRPr="0070080E">
        <w:t>Slightly increase exposure</w:t>
      </w:r>
    </w:p>
    <w:p w14:paraId="3CB0FF3D" w14:textId="57794AE9" w:rsidR="00F67DDB" w:rsidRPr="0070080E" w:rsidRDefault="0094076D">
      <w:pPr>
        <w:pStyle w:val="Compact"/>
        <w:numPr>
          <w:ilvl w:val="0"/>
          <w:numId w:val="4"/>
        </w:numPr>
      </w:pPr>
      <w:r w:rsidRPr="0070080E">
        <w:t>Increase exposure</w:t>
      </w:r>
    </w:p>
    <w:p w14:paraId="3CB0FF3E" w14:textId="77777777" w:rsidR="00F67DDB" w:rsidRPr="0070080E" w:rsidRDefault="0094076D">
      <w:pPr>
        <w:pStyle w:val="Compact"/>
        <w:numPr>
          <w:ilvl w:val="0"/>
          <w:numId w:val="4"/>
        </w:numPr>
      </w:pPr>
      <w:r w:rsidRPr="0070080E">
        <w:t>Strongly increase exposure</w:t>
      </w:r>
    </w:p>
    <w:p w14:paraId="24D4FF28" w14:textId="77777777" w:rsidR="00E43FE0" w:rsidRPr="0070080E" w:rsidRDefault="00E43FE0" w:rsidP="00E43FE0">
      <w:pPr>
        <w:pStyle w:val="Compact"/>
        <w:ind w:left="720"/>
      </w:pPr>
    </w:p>
    <w:p w14:paraId="3CB0FF3F" w14:textId="77777777" w:rsidR="00F67DDB" w:rsidRPr="0070080E" w:rsidRDefault="0094076D">
      <w:pPr>
        <w:pStyle w:val="Heading3"/>
      </w:pPr>
      <w:bookmarkStart w:id="58" w:name="X40e82294e8c56603af090557893c884018a93b8"/>
      <w:bookmarkEnd w:id="56"/>
      <w:r w:rsidRPr="0070080E">
        <w:t>2.3.2 Evaluating the Effect of Displaying the Shock Score</w:t>
      </w:r>
    </w:p>
    <w:p w14:paraId="3CB0FF40" w14:textId="5B318CAF" w:rsidR="00F67DDB" w:rsidRPr="0070080E" w:rsidRDefault="0094076D">
      <w:pPr>
        <w:pStyle w:val="FirstParagraph"/>
      </w:pPr>
      <w:r w:rsidRPr="0070080E">
        <w:t xml:space="preserve">The second objective is to evaluate whether </w:t>
      </w:r>
      <w:r w:rsidR="00AF1BA6" w:rsidRPr="00AF1BA6">
        <w:t>providing the Shock Score is associated with changes in managers' Net Risk Stance responses and</w:t>
      </w:r>
      <w:r w:rsidR="00CF0B21">
        <w:t xml:space="preserve">, </w:t>
      </w:r>
      <w:r w:rsidR="00CF0B21" w:rsidRPr="00CF0B21">
        <w:t>through those responses</w:t>
      </w:r>
      <w:r w:rsidR="00CF0B21">
        <w:t>,</w:t>
      </w:r>
      <w:r w:rsidR="00AF1BA6" w:rsidRPr="00AF1BA6">
        <w:t xml:space="preserve"> in portfolio </w:t>
      </w:r>
      <w:r w:rsidR="00400BE9">
        <w:t>risk–return</w:t>
      </w:r>
      <w:r w:rsidR="008B35C6">
        <w:t xml:space="preserve"> </w:t>
      </w:r>
      <w:r w:rsidR="00AF1BA6" w:rsidRPr="00AF1BA6">
        <w:t>outcomes, relative to a no-score condition</w:t>
      </w:r>
      <w:r w:rsidRPr="0070080E">
        <w:t>. The study uses a within-subject design (</w:t>
      </w:r>
      <w:hyperlink r:id="rId146">
        <w:r w:rsidRPr="0070080E">
          <w:rPr>
            <w:rStyle w:val="Hyperlink"/>
          </w:rPr>
          <w:t>Charness et al., 2012</w:t>
        </w:r>
      </w:hyperlink>
      <w:r w:rsidRPr="0070080E">
        <w:t>) in which each participant is exposed to both conditions, enabling comparison of responses while controlling for stable individual differences. The Shock Score is presented as a manager-facing dashboard designed to structure interpretation and trigger a pre-committed decision protocol under elevated-information-shock conditions (</w:t>
      </w:r>
      <w:hyperlink r:id="rId147">
        <w:r w:rsidRPr="0070080E">
          <w:rPr>
            <w:rStyle w:val="Hyperlink"/>
          </w:rPr>
          <w:t>Henderson et al., 2018</w:t>
        </w:r>
      </w:hyperlink>
      <w:r w:rsidRPr="0070080E">
        <w:t xml:space="preserve">; </w:t>
      </w:r>
      <w:hyperlink r:id="rId148">
        <w:r w:rsidRPr="0070080E">
          <w:rPr>
            <w:rStyle w:val="Hyperlink"/>
          </w:rPr>
          <w:t>Statman, 2019</w:t>
        </w:r>
      </w:hyperlink>
      <w:r w:rsidRPr="0070080E">
        <w:t xml:space="preserve">). The downstream consequence of any treatment effect is evaluated through changes in portfolio </w:t>
      </w:r>
      <w:r w:rsidR="00400BE9">
        <w:t>risk–return</w:t>
      </w:r>
      <w:r w:rsidR="002C360C">
        <w:t xml:space="preserve"> outcomes</w:t>
      </w:r>
      <w:r w:rsidRPr="0070080E">
        <w:t>: Sharpe ratio (</w:t>
      </w:r>
      <w:hyperlink r:id="rId149">
        <w:r w:rsidRPr="0070080E">
          <w:rPr>
            <w:rStyle w:val="Hyperlink"/>
          </w:rPr>
          <w:t>Sharpe, 1966</w:t>
        </w:r>
      </w:hyperlink>
      <w:r w:rsidRPr="0070080E">
        <w:t>) and Sortino ratio (</w:t>
      </w:r>
      <w:hyperlink r:id="rId150">
        <w:r w:rsidRPr="0070080E">
          <w:rPr>
            <w:rStyle w:val="Hyperlink"/>
          </w:rPr>
          <w:t>Sortino &amp; van der Meer, 1991</w:t>
        </w:r>
      </w:hyperlink>
      <w:r w:rsidRPr="0070080E">
        <w:t>) are computed per respondent-condition pair from NRS-weighted simulated portfolio returns, with computation conventions specified in Chapter 4.</w:t>
      </w:r>
    </w:p>
    <w:p w14:paraId="3CB0FF41" w14:textId="77777777" w:rsidR="00F67DDB" w:rsidRPr="0070080E" w:rsidRDefault="0094076D">
      <w:pPr>
        <w:pStyle w:val="Heading2"/>
      </w:pPr>
      <w:bookmarkStart w:id="59" w:name="_Toc231913437"/>
      <w:bookmarkStart w:id="60" w:name="research-questions"/>
      <w:bookmarkEnd w:id="55"/>
      <w:bookmarkEnd w:id="58"/>
      <w:commentRangeStart w:id="61"/>
      <w:r w:rsidRPr="0070080E">
        <w:t>2.4 Research Questions</w:t>
      </w:r>
      <w:bookmarkEnd w:id="59"/>
      <w:commentRangeEnd w:id="61"/>
      <w:r w:rsidR="00CB560A">
        <w:rPr>
          <w:rStyle w:val="CommentReference"/>
          <w:rFonts w:eastAsiaTheme="minorEastAsia" w:cstheme="minorBidi"/>
          <w:b w:val="0"/>
        </w:rPr>
        <w:commentReference w:id="61"/>
      </w:r>
    </w:p>
    <w:p w14:paraId="3CB0FF42" w14:textId="608EE6A6" w:rsidR="00F67DDB" w:rsidRPr="0070080E" w:rsidRDefault="0094076D">
      <w:pPr>
        <w:pStyle w:val="FirstParagraph"/>
      </w:pPr>
      <w:r w:rsidRPr="0070080E">
        <w:t xml:space="preserve">This study is guided by two research questions that correspond </w:t>
      </w:r>
      <w:r w:rsidR="00A23A43" w:rsidRPr="00A23A43">
        <w:t>one-to-one to the research objectives</w:t>
      </w:r>
      <w:r w:rsidRPr="0070080E">
        <w:t xml:space="preserve">. </w:t>
      </w:r>
      <w:r w:rsidR="00F16062" w:rsidRPr="00F16062">
        <w:t>RQ1 addresses Objective 1 (Section 2.3.1): it asks whether the intensity of external financial information shocks is associated with systematic variation in managers' immediate Net Risk Stance responses. RQ2 addresses Objective 2 (Section 2.3.2): it asks whether providing the Shock Score, as a decision-support intervention, is associated with changes in managers' Net Risk Stance responses and, through those responses, in portfolio risk–return outcomes, relative to a no-score condition.</w:t>
      </w:r>
    </w:p>
    <w:p w14:paraId="3CB0FF43" w14:textId="6D3EA740" w:rsidR="00F67DDB" w:rsidRPr="0070080E" w:rsidRDefault="00AF1BA6">
      <w:pPr>
        <w:numPr>
          <w:ilvl w:val="0"/>
          <w:numId w:val="5"/>
        </w:numPr>
      </w:pPr>
      <w:r w:rsidRPr="00AF1BA6">
        <w:t>Is the intensity of external financial information shocks associated with</w:t>
      </w:r>
      <w:r>
        <w:t xml:space="preserve"> </w:t>
      </w:r>
      <w:r w:rsidR="0094076D" w:rsidRPr="0070080E">
        <w:t>statistically significant differences in managers’ immediate Net Risk Stance responses?</w:t>
      </w:r>
    </w:p>
    <w:p w14:paraId="3CB0FF44" w14:textId="17A32918" w:rsidR="00F67DDB" w:rsidRPr="0070080E" w:rsidRDefault="00AF1BA6">
      <w:pPr>
        <w:numPr>
          <w:ilvl w:val="0"/>
          <w:numId w:val="5"/>
        </w:numPr>
      </w:pPr>
      <w:r w:rsidRPr="00AF1BA6">
        <w:t>Is providing the Shock Score to portfolio managers associated with changes in managers' Net Risk Stance responses and</w:t>
      </w:r>
      <w:r w:rsidR="00F035A0">
        <w:t>,</w:t>
      </w:r>
      <w:r w:rsidR="000E2879" w:rsidRPr="000E2879">
        <w:t xml:space="preserve"> through those responses,</w:t>
      </w:r>
      <w:r w:rsidRPr="00AF1BA6">
        <w:t xml:space="preserve"> in portfolio </w:t>
      </w:r>
      <w:r w:rsidR="00400BE9">
        <w:t>risk–return</w:t>
      </w:r>
      <w:r w:rsidR="007A513E">
        <w:t xml:space="preserve"> </w:t>
      </w:r>
      <w:r w:rsidR="007A513E" w:rsidRPr="00AF1BA6">
        <w:t>outcomes</w:t>
      </w:r>
      <w:r w:rsidRPr="00AF1BA6">
        <w:t>, relative to a no-score condition?</w:t>
      </w:r>
    </w:p>
    <w:p w14:paraId="3CB0FF45" w14:textId="1F0CAF46" w:rsidR="00F67DDB" w:rsidRPr="0070080E" w:rsidRDefault="0094076D">
      <w:pPr>
        <w:pStyle w:val="Heading2"/>
      </w:pPr>
      <w:bookmarkStart w:id="62" w:name="_Toc231913438"/>
      <w:bookmarkStart w:id="63" w:name="hypothesis-statements"/>
      <w:bookmarkEnd w:id="60"/>
      <w:r w:rsidRPr="0070080E">
        <w:t>2.5 Hypothesis Statement</w:t>
      </w:r>
      <w:bookmarkEnd w:id="62"/>
    </w:p>
    <w:p w14:paraId="3CB0FF46" w14:textId="77777777" w:rsidR="00F67DDB" w:rsidRPr="0070080E" w:rsidRDefault="0094076D">
      <w:pPr>
        <w:pStyle w:val="FirstParagraph"/>
      </w:pPr>
      <w:r w:rsidRPr="0070080E">
        <w:t>The study tests two hypotheses. Hypothesis statements are presented in null and alternative form and are evaluated using the primary and secondary data described in Chapters 4 and 5. The hypotheses are written to align with the study design, where information shock intensity is measured at the event level and decision support is implemented as an experimental condition in which the Shock Score is shown or withheld.</w:t>
      </w:r>
    </w:p>
    <w:p w14:paraId="3CB0FF47" w14:textId="097D7846" w:rsidR="00F67DDB" w:rsidRPr="0070080E" w:rsidRDefault="0094076D">
      <w:pPr>
        <w:pStyle w:val="Heading3"/>
      </w:pPr>
      <w:bookmarkStart w:id="64" w:name="Xde5692994e312d79ed789c98a5c4655ee73a6f0"/>
      <w:r w:rsidRPr="0070080E">
        <w:t>2.5.1 Hypothesis H1</w:t>
      </w:r>
      <w:r w:rsidR="000A66AA">
        <w:t>—</w:t>
      </w:r>
      <w:r w:rsidRPr="0070080E">
        <w:t>Influence of Information Shocks on Decisions</w:t>
      </w:r>
    </w:p>
    <w:p w14:paraId="3CB0FF48" w14:textId="77777777" w:rsidR="00F67DDB" w:rsidRPr="0070080E" w:rsidRDefault="0094076D">
      <w:pPr>
        <w:pStyle w:val="FirstParagraph"/>
      </w:pPr>
      <w:r w:rsidRPr="0070080E">
        <w:rPr>
          <w:b/>
          <w:bCs/>
        </w:rPr>
        <w:t>H1₀:</w:t>
      </w:r>
      <w:r w:rsidRPr="0070080E">
        <w:t xml:space="preserve"> The intensity of external financial information shocks has no statistically significant effect on managers’ Net Risk Stance responses.</w:t>
      </w:r>
    </w:p>
    <w:p w14:paraId="3CB0FF49" w14:textId="77777777" w:rsidR="00F67DDB" w:rsidRPr="0070080E" w:rsidRDefault="0094076D">
      <w:pPr>
        <w:pStyle w:val="BodyText"/>
      </w:pPr>
      <w:r w:rsidRPr="0070080E">
        <w:rPr>
          <w:b/>
          <w:bCs/>
        </w:rPr>
        <w:t>H1ₐ:</w:t>
      </w:r>
      <w:r w:rsidRPr="0070080E">
        <w:t xml:space="preserve"> The intensity of external financial information shocks has a statistically significant effect on managers’ Net Risk Stance responses.</w:t>
      </w:r>
    </w:p>
    <w:p w14:paraId="3CB0FF4A" w14:textId="16E5BA11" w:rsidR="00F67DDB" w:rsidRPr="0070080E" w:rsidRDefault="0094076D">
      <w:pPr>
        <w:pStyle w:val="BodyText"/>
      </w:pPr>
      <w:r w:rsidRPr="0070080E">
        <w:t>H1 evaluates whether variation in information shock intensity, as captured by the composite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defined in Section 2.6.3), is associated with systematic differences in the direction and magnitude of managers’ stated exposure adjustments. Intuitively, the Shock Score can be read as a measure of how strongly an event is likely to provoke emotionally driven, biased decision-making: higher values flag the conditions under which managers are most prone to depart from disciplined risk management. Net Risk Stance is operationalized as a single-item, seven-point scale defined in section 2.3.1. </w:t>
      </w:r>
      <w:r w:rsidR="0024765A" w:rsidRPr="0024765A">
        <w:t>The downstream translation of decision responses into portfolio risk–return outcomes is evaluated under Hypothesis H2 through the simulation design described in Chapter 4.</w:t>
      </w:r>
    </w:p>
    <w:p w14:paraId="3CB0FF4B" w14:textId="0078623A" w:rsidR="00F67DDB" w:rsidRPr="0070080E" w:rsidRDefault="0094076D">
      <w:pPr>
        <w:pStyle w:val="Heading3"/>
      </w:pPr>
      <w:bookmarkStart w:id="65" w:name="X3ed07fc630732405a5ee8404333d0bdc7c5d734"/>
      <w:bookmarkEnd w:id="64"/>
      <w:r w:rsidRPr="0070080E">
        <w:t>2.5.2 Hypothesis H2</w:t>
      </w:r>
      <w:r w:rsidR="000A66AA">
        <w:t>—</w:t>
      </w:r>
      <w:r w:rsidRPr="0070080E">
        <w:t>Value Added of the Shock Score</w:t>
      </w:r>
    </w:p>
    <w:p w14:paraId="3CB0FF4C" w14:textId="103E9898" w:rsidR="00F67DDB" w:rsidRPr="0070080E" w:rsidRDefault="0094076D">
      <w:pPr>
        <w:pStyle w:val="FirstParagraph"/>
      </w:pPr>
      <w:r w:rsidRPr="0070080E">
        <w:rPr>
          <w:b/>
          <w:bCs/>
        </w:rPr>
        <w:t>H2₀:</w:t>
      </w:r>
      <w:r w:rsidRPr="0070080E">
        <w:t xml:space="preserve"> Introducing the Shock Score for investment decision-making has no statistically significant effect on the </w:t>
      </w:r>
      <w:r w:rsidR="00400BE9">
        <w:t>risk–return</w:t>
      </w:r>
      <w:r w:rsidR="00E027AB">
        <w:t xml:space="preserve"> </w:t>
      </w:r>
      <w:r w:rsidR="00E027AB" w:rsidRPr="0070080E">
        <w:t>ratio</w:t>
      </w:r>
      <w:r w:rsidRPr="0070080E">
        <w:t xml:space="preserve"> of the portfolio.</w:t>
      </w:r>
    </w:p>
    <w:p w14:paraId="3CB0FF4D" w14:textId="1964B545" w:rsidR="00F67DDB" w:rsidRPr="0070080E" w:rsidRDefault="0094076D">
      <w:pPr>
        <w:pStyle w:val="BodyText"/>
      </w:pPr>
      <w:r w:rsidRPr="0070080E">
        <w:rPr>
          <w:b/>
          <w:bCs/>
        </w:rPr>
        <w:t>H2ₐ:</w:t>
      </w:r>
      <w:r w:rsidRPr="0070080E">
        <w:t xml:space="preserve"> Introducing the Shock Score for investment decision-making has a statistically significant effect on the </w:t>
      </w:r>
      <w:r w:rsidR="00400BE9">
        <w:t>risk–return</w:t>
      </w:r>
      <w:r w:rsidR="00E027AB">
        <w:t xml:space="preserve"> </w:t>
      </w:r>
      <w:r w:rsidR="00E027AB" w:rsidRPr="0070080E">
        <w:t>ratio</w:t>
      </w:r>
      <w:r w:rsidRPr="0070080E">
        <w:t xml:space="preserve"> of the portfolio.</w:t>
      </w:r>
    </w:p>
    <w:p w14:paraId="3CB0FF4E" w14:textId="4884F821" w:rsidR="00F67DDB" w:rsidRDefault="0094076D">
      <w:pPr>
        <w:pStyle w:val="BodyText"/>
      </w:pPr>
      <w:r w:rsidRPr="0070080E">
        <w:t xml:space="preserve">H2 evaluates whether providing the Shock Score dashboard to managers during information shock scenarios changes portfolio outcomes relative to a no-score condition. </w:t>
      </w:r>
      <w:r w:rsidR="00400BE9">
        <w:t>Risk–return</w:t>
      </w:r>
      <w:r w:rsidR="00E027AB">
        <w:t xml:space="preserve"> </w:t>
      </w:r>
      <w:r w:rsidR="00E027AB" w:rsidRPr="0070080E">
        <w:t>ratio</w:t>
      </w:r>
      <w:r w:rsidRPr="0070080E">
        <w:t xml:space="preserve"> is operationalized through Sharpe ratio and Sortino ratio as defined in section 2.6.4. The treatment condition (ShowSC = 1 versus ShowSC = 0, as defined in Section 2.6.3) is implemented through the within-subject experimental design, where each manager is exposed to comparable scenarios with and without the Shock Score.</w:t>
      </w:r>
    </w:p>
    <w:p w14:paraId="678F20B9" w14:textId="3BC9B35F" w:rsidR="00987F4A" w:rsidRPr="0070080E" w:rsidRDefault="00987F4A">
      <w:pPr>
        <w:pStyle w:val="BodyText"/>
      </w:pPr>
      <w:r w:rsidRPr="00987F4A">
        <w:t>Together, the two hypotheses operationalize the research questions as falsifiable statistical tests, with each clause of each question assigned to a specified test. RQ1 is answered directly by H1, which tests the association between shock intensity and Net Risk Stance in the panel regression framework specified in Chapter 4. RQ2 is answered in two steps corresponding to its two clauses. The behavioral clause—whether displaying the Shock Score changes Net Risk Stance responses—is evaluated within the same regression framework through the treatment indicator ShowSC and its interaction with shock intensity (Section 5.5.1). The outcome clause—whether displaying the Shock Score changes portfolio risk–return outcomes—is formally tested by H2 on simulated portfolios constructed from those responses (Section 5.5.2). Because simulated portfolio returns are built directly from Net Risk Stance responses, any treatment effect on outcomes must operate through the behavioral channel; the treatment estimates on Net Risk Stance therefore identify the behavioral link in the causal chain of Section 2.3, and H2 tests its endpoint. Every element of the research questions and objectives is thus resolved by a defined empirical test.</w:t>
      </w:r>
    </w:p>
    <w:p w14:paraId="3CB0FF4F" w14:textId="77777777" w:rsidR="00F67DDB" w:rsidRPr="0070080E" w:rsidRDefault="0094076D">
      <w:pPr>
        <w:pStyle w:val="Heading2"/>
      </w:pPr>
      <w:bookmarkStart w:id="66" w:name="_Toc231913439"/>
      <w:bookmarkStart w:id="67" w:name="definitions-of-key-terms"/>
      <w:bookmarkEnd w:id="63"/>
      <w:bookmarkEnd w:id="65"/>
      <w:r w:rsidRPr="0070080E">
        <w:t>2.6 Definitions of Key Terms</w:t>
      </w:r>
      <w:bookmarkEnd w:id="66"/>
    </w:p>
    <w:p w14:paraId="3CB0FF50" w14:textId="77777777" w:rsidR="00F67DDB" w:rsidRPr="0070080E" w:rsidRDefault="0094076D">
      <w:pPr>
        <w:pStyle w:val="FirstParagraph"/>
      </w:pPr>
      <w:r w:rsidRPr="0070080E">
        <w:t>This section defines key terms used throughout the thesis. Definitions are operational and intended to support consistent measurement and interpretation in later chapters.</w:t>
      </w:r>
    </w:p>
    <w:p w14:paraId="3CB0FF51" w14:textId="77777777" w:rsidR="00F67DDB" w:rsidRPr="0070080E" w:rsidRDefault="0094076D">
      <w:pPr>
        <w:numPr>
          <w:ilvl w:val="0"/>
          <w:numId w:val="6"/>
        </w:numPr>
      </w:pPr>
      <w:r w:rsidRPr="0070080E">
        <w:t>Emotional bias refers to systematic deviations in judgment and choice that arise from affective responses under uncertainty (</w:t>
      </w:r>
      <w:hyperlink r:id="rId151">
        <w:r w:rsidRPr="0070080E">
          <w:rPr>
            <w:rStyle w:val="Hyperlink"/>
          </w:rPr>
          <w:t>Kahneman &amp; Tversky, 1979</w:t>
        </w:r>
      </w:hyperlink>
      <w:r w:rsidRPr="0070080E">
        <w:t xml:space="preserve">; </w:t>
      </w:r>
      <w:hyperlink r:id="rId152">
        <w:r w:rsidRPr="0070080E">
          <w:rPr>
            <w:rStyle w:val="Hyperlink"/>
          </w:rPr>
          <w:t>Hirshleifer, 2015</w:t>
        </w:r>
      </w:hyperlink>
      <w:r w:rsidRPr="0070080E">
        <w:t>), leading decision-makers to overweight salient or emotionally charged information relative to a deliberative, rule-consistent decision process.</w:t>
      </w:r>
    </w:p>
    <w:p w14:paraId="3CB0FF52" w14:textId="5E36DF16" w:rsidR="00F67DDB" w:rsidRPr="0070080E" w:rsidRDefault="0094076D">
      <w:pPr>
        <w:numPr>
          <w:ilvl w:val="0"/>
          <w:numId w:val="6"/>
        </w:numPr>
      </w:pPr>
      <w:r w:rsidRPr="0070080E">
        <w:t>An external financial information shock is a discrete public information event relevant to a portfolio holding that arrives over a short horizon and has the potential to trigger heightened attention, uncertainty, and rapid market reaction (</w:t>
      </w:r>
      <w:hyperlink r:id="rId153">
        <w:r w:rsidRPr="0070080E">
          <w:rPr>
            <w:rStyle w:val="Hyperlink"/>
          </w:rPr>
          <w:t>Jiang &amp; Zhu, 201</w:t>
        </w:r>
        <w:r w:rsidR="001957C3">
          <w:rPr>
            <w:rStyle w:val="Hyperlink"/>
          </w:rPr>
          <w:t>7</w:t>
        </w:r>
      </w:hyperlink>
      <w:r w:rsidRPr="0070080E">
        <w:t>).</w:t>
      </w:r>
    </w:p>
    <w:p w14:paraId="3CB0FF53" w14:textId="77777777" w:rsidR="00F67DDB" w:rsidRPr="0070080E" w:rsidRDefault="0094076D">
      <w:pPr>
        <w:numPr>
          <w:ilvl w:val="0"/>
          <w:numId w:val="6"/>
        </w:numPr>
      </w:pPr>
      <w:r w:rsidRPr="0070080E">
        <w:t>The Shock Score is a quantitative decision-support indicator designed to summarize the emotional and informational intensity of an external financial information shock in a manager-interpretable format. In this thesis, the Shock Score has two representations: an analytical composite index used for statistical testing and an operational dashboard used for decision support. The construction methodology, component definitions, PCA-based composite index computation, and Shock Score dashboard design are documented in Section 4.3.</w:t>
      </w:r>
    </w:p>
    <w:p w14:paraId="3CB0FF54" w14:textId="02B9F010" w:rsidR="00F67DDB" w:rsidRPr="0070080E" w:rsidRDefault="0094076D">
      <w:pPr>
        <w:numPr>
          <w:ilvl w:val="0"/>
          <w:numId w:val="6"/>
        </w:numPr>
      </w:pPr>
      <w:r w:rsidRPr="0070080E">
        <w:t>The Shock Score dashboard is the manager-facing display of the indicator. It presents four signals: the direction of news sentiment (positive or negative), the severity of the shock (low, medium, or high), an estimated persistence horizon indicating how long the event is likely to remain decision-relevant, and a rules-based pre-commitment protocol that recommends a structured action</w:t>
      </w:r>
      <w:r w:rsidR="000A66AA">
        <w:t>—</w:t>
      </w:r>
      <w:r w:rsidRPr="0070080E">
        <w:t>standard processing, enhanced review, or a cooling-off period</w:t>
      </w:r>
      <w:r w:rsidR="000A66AA">
        <w:t>—</w:t>
      </w:r>
      <w:r w:rsidRPr="0070080E">
        <w:t>according to the shock’s intensity.</w:t>
      </w:r>
    </w:p>
    <w:p w14:paraId="3CB0FF55" w14:textId="77777777" w:rsidR="00F67DDB" w:rsidRPr="0070080E" w:rsidRDefault="0094076D">
      <w:pPr>
        <w:pStyle w:val="FirstParagraph"/>
      </w:pPr>
      <w:r w:rsidRPr="0070080E">
        <w:t xml:space="preserve">Treatment indicator for decision support: The study distinguishes between the existence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for an event and whether it is shown to the manager. For each manager </w:t>
      </w:r>
      <m:oMath>
        <m:r>
          <w:rPr>
            <w:rFonts w:ascii="Cambria Math" w:hAnsi="Cambria Math"/>
          </w:rPr>
          <m:t>i</m:t>
        </m:r>
      </m:oMath>
      <w:r w:rsidRPr="0070080E">
        <w:t xml:space="preserve"> and event </w:t>
      </w:r>
      <m:oMath>
        <m:r>
          <w:rPr>
            <w:rFonts w:ascii="Cambria Math" w:hAnsi="Cambria Math"/>
          </w:rPr>
          <m:t>e</m:t>
        </m:r>
      </m:oMath>
      <w:r w:rsidRPr="0070080E">
        <w:t>:</w:t>
      </w:r>
    </w:p>
    <w:p w14:paraId="3CB0FF56" w14:textId="77777777" w:rsidR="00F67DDB" w:rsidRPr="0070080E" w:rsidRDefault="00000000">
      <w:pPr>
        <w:pStyle w:val="BodyText"/>
      </w:pPr>
      <m:oMath>
        <m:sSub>
          <m:sSubPr>
            <m:ctrlPr>
              <w:rPr>
                <w:rFonts w:ascii="Cambria Math" w:hAnsi="Cambria Math"/>
              </w:rPr>
            </m:ctrlPr>
          </m:sSubPr>
          <m:e>
            <m:r>
              <m:rPr>
                <m:sty m:val="p"/>
              </m:rPr>
              <w:rPr>
                <w:rFonts w:ascii="Cambria Math" w:hAnsi="Cambria Math"/>
              </w:rPr>
              <m:t>ShowSC</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1</m:t>
        </m:r>
      </m:oMath>
      <w:r w:rsidR="0094076D" w:rsidRPr="0070080E">
        <w:t xml:space="preserve"> if the Shock Score dashboard is displayed</w:t>
      </w:r>
    </w:p>
    <w:p w14:paraId="3CB0FF57" w14:textId="77777777" w:rsidR="00F67DDB" w:rsidRPr="0070080E" w:rsidRDefault="00000000">
      <w:pPr>
        <w:pStyle w:val="BodyText"/>
      </w:pPr>
      <m:oMath>
        <m:sSub>
          <m:sSubPr>
            <m:ctrlPr>
              <w:rPr>
                <w:rFonts w:ascii="Cambria Math" w:hAnsi="Cambria Math"/>
              </w:rPr>
            </m:ctrlPr>
          </m:sSubPr>
          <m:e>
            <m:r>
              <m:rPr>
                <m:sty m:val="p"/>
              </m:rPr>
              <w:rPr>
                <w:rFonts w:ascii="Cambria Math" w:hAnsi="Cambria Math"/>
              </w:rPr>
              <m:t>ShowSC</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0</m:t>
        </m:r>
      </m:oMath>
      <w:r w:rsidR="0094076D" w:rsidRPr="0070080E">
        <w:t xml:space="preserve"> if the Shock Score dashboard is withheld</w:t>
      </w:r>
    </w:p>
    <w:p w14:paraId="3CB0FF58" w14:textId="77777777" w:rsidR="00F67DDB" w:rsidRPr="0070080E" w:rsidRDefault="0094076D">
      <w:pPr>
        <w:pStyle w:val="BodyText"/>
      </w:pPr>
      <w:r w:rsidRPr="0070080E">
        <w:t xml:space="preserve">When the Shock Score is not displayed,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remains defined at the event level; it is simply not observed by the respondent.</w:t>
      </w:r>
    </w:p>
    <w:p w14:paraId="3CB0FF59" w14:textId="6F3437B2" w:rsidR="00F67DDB" w:rsidRPr="0070080E" w:rsidRDefault="00400BE9">
      <w:pPr>
        <w:pStyle w:val="BodyText"/>
      </w:pPr>
      <w:r>
        <w:t>Risk–return</w:t>
      </w:r>
      <w:r w:rsidR="00E027AB">
        <w:t xml:space="preserve"> </w:t>
      </w:r>
      <w:r w:rsidR="00E027AB" w:rsidRPr="0070080E">
        <w:t>ratio</w:t>
      </w:r>
      <w:r w:rsidR="0094076D" w:rsidRPr="0070080E">
        <w:t xml:space="preserve"> refers to a risk-adjusted measure of portfolio performance that evaluates return relative to risk exposure. In this thesis, Sharpe ratio and Sortino ratio are specified as primary </w:t>
      </w:r>
      <w:r>
        <w:t>risk–return</w:t>
      </w:r>
      <w:r w:rsidR="00E027AB">
        <w:t xml:space="preserve"> </w:t>
      </w:r>
      <w:r w:rsidR="00E027AB" w:rsidRPr="0070080E">
        <w:t>metrics</w:t>
      </w:r>
      <w:r w:rsidR="0094076D" w:rsidRPr="0070080E">
        <w:t xml:space="preserve"> for evaluating portfolio outcomes under alternative decision conditions.</w:t>
      </w:r>
    </w:p>
    <w:p w14:paraId="3CB0FF5A" w14:textId="77777777" w:rsidR="00F67DDB" w:rsidRPr="0070080E" w:rsidRDefault="0094076D">
      <w:pPr>
        <w:pStyle w:val="BodyText"/>
      </w:pPr>
      <w:r w:rsidRPr="0070080E">
        <w:t>Sharpe ratio (</w:t>
      </w:r>
      <w:hyperlink r:id="rId154">
        <w:r w:rsidRPr="0070080E">
          <w:rPr>
            <w:rStyle w:val="Hyperlink"/>
          </w:rPr>
          <w:t>Sharpe, 1966</w:t>
        </w:r>
      </w:hyperlink>
      <w:r w:rsidRPr="0070080E">
        <w:t xml:space="preserve">): Let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70080E">
        <w:t xml:space="preserve"> denote portfolio return over period </w:t>
      </w:r>
      <m:oMath>
        <m:r>
          <w:rPr>
            <w:rFonts w:ascii="Cambria Math" w:hAnsi="Cambria Math"/>
          </w:rPr>
          <m:t>t</m:t>
        </m:r>
      </m:oMath>
      <w:r w:rsidRPr="0070080E">
        <w:t xml:space="preserve"> and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70080E">
        <w:t xml:space="preserve"> denote the risk-free rate over the same period. Let </w:t>
      </w:r>
      <m:oMath>
        <m:r>
          <w:rPr>
            <w:rFonts w:ascii="Cambria Math" w:hAnsi="Cambria Math"/>
          </w:rPr>
          <m:t>μ</m:t>
        </m:r>
      </m:oMath>
      <w:r w:rsidRPr="0070080E">
        <w:t xml:space="preserve"> denote the mean of excess returns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rsidRPr="0070080E">
        <w:t xml:space="preserve"> and </w:t>
      </w:r>
      <m:oMath>
        <m:r>
          <w:rPr>
            <w:rFonts w:ascii="Cambria Math" w:hAnsi="Cambria Math"/>
          </w:rPr>
          <m:t>σ</m:t>
        </m:r>
      </m:oMath>
      <w:r w:rsidRPr="0070080E">
        <w:t xml:space="preserve"> denote the standard deviation of excess returns. Then:</w:t>
      </w:r>
    </w:p>
    <w:p w14:paraId="3CB0FF5B" w14:textId="77777777" w:rsidR="00F67DDB" w:rsidRPr="0070080E" w:rsidRDefault="0094076D">
      <w:pPr>
        <w:pStyle w:val="BodyText"/>
      </w:pPr>
      <m:oMathPara>
        <m:oMathParaPr>
          <m:jc m:val="center"/>
        </m:oMathParaPr>
        <m:oMath>
          <m:r>
            <w:rPr>
              <w:rFonts w:ascii="Cambria Math" w:hAnsi="Cambria Math"/>
            </w:rPr>
            <m:t>SR</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σ</m:t>
              </m:r>
            </m:den>
          </m:f>
        </m:oMath>
      </m:oMathPara>
    </w:p>
    <w:p w14:paraId="3CB0FF5C" w14:textId="77777777" w:rsidR="00F67DDB" w:rsidRPr="0070080E" w:rsidRDefault="0094076D">
      <w:pPr>
        <w:pStyle w:val="FirstParagraph"/>
      </w:pPr>
      <w:r w:rsidRPr="0070080E">
        <w:t>Sortino ratio (</w:t>
      </w:r>
      <w:hyperlink r:id="rId155">
        <w:r w:rsidRPr="0070080E">
          <w:rPr>
            <w:rStyle w:val="Hyperlink"/>
          </w:rPr>
          <w:t>Sortino &amp; van der Meer, 1991</w:t>
        </w:r>
      </w:hyperlink>
      <w:r w:rsidRPr="0070080E">
        <w:t xml:space="preserve">): Let </w:t>
      </w:r>
      <m:oMath>
        <m:r>
          <m:rPr>
            <m:nor/>
          </m:rPr>
          <m:t>MAR</m:t>
        </m:r>
      </m:oMath>
      <w:r w:rsidRPr="0070080E">
        <w:t xml:space="preserve"> denote a minimum acceptable return, often set to the risk-free rate or zero depending on convention. Let </w:t>
      </w:r>
      <m:oMath>
        <m:r>
          <w:rPr>
            <w:rFonts w:ascii="Cambria Math" w:hAnsi="Cambria Math"/>
          </w:rPr>
          <m:t>μ</m:t>
        </m:r>
      </m:oMath>
      <w:r w:rsidRPr="0070080E">
        <w:t xml:space="preserve"> denote the mean of excess returns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MAR</m:t>
        </m:r>
        <m:r>
          <m:rPr>
            <m:sty m:val="p"/>
          </m:rPr>
          <w:rPr>
            <w:rFonts w:ascii="Cambria Math" w:hAnsi="Cambria Math"/>
          </w:rPr>
          <m:t>)</m:t>
        </m:r>
      </m:oMath>
      <w:r w:rsidRPr="0070080E">
        <w:t xml:space="preserve">. Let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rsidRPr="0070080E">
        <w:t xml:space="preserve"> denote downside deviation, defined as the square root of the mean of squared shortfalls below </w:t>
      </w:r>
      <m:oMath>
        <m:r>
          <m:rPr>
            <m:nor/>
          </m:rPr>
          <m:t>MAR</m:t>
        </m:r>
      </m:oMath>
      <w:r w:rsidRPr="0070080E">
        <w:t>:</w:t>
      </w:r>
    </w:p>
    <w:p w14:paraId="3CB0FF5D" w14:textId="77777777" w:rsidR="00F67DDB" w:rsidRPr="0070080E"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min(</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MAR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rad>
        </m:oMath>
      </m:oMathPara>
    </w:p>
    <w:p w14:paraId="3CB0FF5E" w14:textId="77777777" w:rsidR="00F67DDB" w:rsidRPr="0070080E" w:rsidRDefault="0094076D">
      <w:pPr>
        <w:pStyle w:val="FirstParagraph"/>
      </w:pPr>
      <w:r w:rsidRPr="0070080E">
        <w:t>Then:</w:t>
      </w:r>
    </w:p>
    <w:p w14:paraId="3CB0FF5F" w14:textId="77777777" w:rsidR="00F67DDB" w:rsidRPr="0070080E" w:rsidRDefault="0094076D">
      <w:pPr>
        <w:pStyle w:val="BodyText"/>
      </w:pPr>
      <m:oMathPara>
        <m:oMathParaPr>
          <m:jc m:val="center"/>
        </m:oMathParaPr>
        <m:oMath>
          <m:r>
            <m:rPr>
              <m:nor/>
            </m:rPr>
            <m:t>Sortino</m:t>
          </m:r>
          <m:r>
            <m:rPr>
              <m:sty m:val="p"/>
            </m:rPr>
            <w:rPr>
              <w:rFonts w:ascii="Cambria Math" w:hAnsi="Cambria Math"/>
            </w:rPr>
            <m:t>=</m:t>
          </m:r>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σ</m:t>
                  </m:r>
                </m:e>
                <m:sub>
                  <m:r>
                    <w:rPr>
                      <w:rFonts w:ascii="Cambria Math" w:hAnsi="Cambria Math"/>
                    </w:rPr>
                    <m:t>d</m:t>
                  </m:r>
                </m:sub>
              </m:sSub>
            </m:den>
          </m:f>
        </m:oMath>
      </m:oMathPara>
    </w:p>
    <w:p w14:paraId="3CB0FF60" w14:textId="77777777" w:rsidR="00F67DDB" w:rsidRPr="0070080E" w:rsidRDefault="0094076D">
      <w:pPr>
        <w:pStyle w:val="FirstParagraph"/>
      </w:pPr>
      <w:r w:rsidRPr="0070080E">
        <w:t xml:space="preserve">Exact conventions for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70080E">
        <w:t xml:space="preserve">, </w:t>
      </w:r>
      <m:oMath>
        <m:r>
          <m:rPr>
            <m:nor/>
          </m:rPr>
          <m:t>MAR</m:t>
        </m:r>
      </m:oMath>
      <w:r w:rsidRPr="0070080E">
        <w:t>, sampling frequency, and annualization are specified in Chapter 4.</w:t>
      </w:r>
    </w:p>
    <w:p w14:paraId="3CB0FF61" w14:textId="77777777" w:rsidR="00F67DDB" w:rsidRPr="0070080E" w:rsidRDefault="0094076D">
      <w:pPr>
        <w:pStyle w:val="Heading2"/>
      </w:pPr>
      <w:bookmarkStart w:id="68" w:name="_Toc231913440"/>
      <w:bookmarkStart w:id="69" w:name="assumptions"/>
      <w:bookmarkEnd w:id="67"/>
      <w:r w:rsidRPr="0070080E">
        <w:t>2.7 Assumptions</w:t>
      </w:r>
      <w:bookmarkEnd w:id="68"/>
    </w:p>
    <w:p w14:paraId="3CB0FF62" w14:textId="77777777" w:rsidR="00F67DDB" w:rsidRPr="0070080E" w:rsidRDefault="0094076D">
      <w:pPr>
        <w:pStyle w:val="FirstParagraph"/>
      </w:pPr>
      <w:r w:rsidRPr="0070080E">
        <w:t>Assumptions describe the conditions under which the research design supports valid interpretation. These assumptions are not treated as established facts but as prerequisites for empirical evaluation and inference.</w:t>
      </w:r>
    </w:p>
    <w:p w14:paraId="3CB0FF63" w14:textId="77777777" w:rsidR="00F67DDB" w:rsidRPr="0070080E" w:rsidRDefault="0094076D">
      <w:pPr>
        <w:pStyle w:val="BodyText"/>
      </w:pPr>
      <w:r w:rsidRPr="0070080E">
        <w:t>The study assumes that:</w:t>
      </w:r>
    </w:p>
    <w:p w14:paraId="3CB0FF64" w14:textId="77777777" w:rsidR="00F67DDB" w:rsidRPr="0070080E" w:rsidRDefault="0094076D">
      <w:pPr>
        <w:numPr>
          <w:ilvl w:val="0"/>
          <w:numId w:val="7"/>
        </w:numPr>
      </w:pPr>
      <w:r w:rsidRPr="0070080E">
        <w:t xml:space="preserve">the timing of external information shocks can be identified and aligned consistently with the decision window represented in the survey scenarios and portfolio outcome evaluation. The study further assumes that the event-level shock characteristics used to construct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and persistence are computed consistently across events and do not rely on ex post outcome information that would compromise interpretation.</w:t>
      </w:r>
    </w:p>
    <w:p w14:paraId="3CB0FF65" w14:textId="26E06665" w:rsidR="00F67DDB" w:rsidRPr="0070080E" w:rsidRDefault="0094076D">
      <w:pPr>
        <w:numPr>
          <w:ilvl w:val="0"/>
          <w:numId w:val="7"/>
        </w:numPr>
      </w:pPr>
      <w:r w:rsidRPr="0070080E">
        <w:t xml:space="preserve">respondents interpret the decision task consistently and that the Net Risk Stance scale captures intended exposure adjustment in a comparable way across respondents and scenarios. Scenario order is counterbalanced consistent with within-subject design conventions established by </w:t>
      </w:r>
      <w:hyperlink r:id="rId156">
        <w:r w:rsidRPr="0070080E">
          <w:rPr>
            <w:rStyle w:val="Hyperlink"/>
          </w:rPr>
          <w:t>Charness et al.</w:t>
        </w:r>
        <w:r w:rsidR="00EC792F">
          <w:rPr>
            <w:rStyle w:val="Hyperlink"/>
          </w:rPr>
          <w:t xml:space="preserve"> (</w:t>
        </w:r>
        <w:r w:rsidRPr="0070080E">
          <w:rPr>
            <w:rStyle w:val="Hyperlink"/>
          </w:rPr>
          <w:t>2012</w:t>
        </w:r>
      </w:hyperlink>
      <w:r w:rsidR="00EC792F">
        <w:rPr>
          <w:rStyle w:val="Hyperlink"/>
        </w:rPr>
        <w:t>)</w:t>
      </w:r>
      <w:r w:rsidRPr="0070080E">
        <w:t xml:space="preserve"> to mitigate systematic learning and order effects. The design further assumes that respondents’ decisions reflect their intended stance under the scenario constraints and are not materially distorted by survey fatigue or strategic responding (</w:t>
      </w:r>
      <w:hyperlink r:id="rId157">
        <w:r w:rsidRPr="0070080E">
          <w:rPr>
            <w:rStyle w:val="Hyperlink"/>
          </w:rPr>
          <w:t>Krosnick, 1999</w:t>
        </w:r>
      </w:hyperlink>
      <w:r w:rsidRPr="0070080E">
        <w:t>).</w:t>
      </w:r>
    </w:p>
    <w:p w14:paraId="3CB0FF66" w14:textId="77777777" w:rsidR="00F67DDB" w:rsidRPr="0070080E" w:rsidRDefault="0094076D">
      <w:pPr>
        <w:pStyle w:val="Heading2"/>
      </w:pPr>
      <w:bookmarkStart w:id="70" w:name="_Toc231913441"/>
      <w:bookmarkStart w:id="71" w:name="limitations"/>
      <w:bookmarkEnd w:id="69"/>
      <w:r w:rsidRPr="0070080E">
        <w:t>2.8 Limitations</w:t>
      </w:r>
      <w:bookmarkEnd w:id="70"/>
    </w:p>
    <w:p w14:paraId="3CB0FF67" w14:textId="77777777" w:rsidR="00F67DDB" w:rsidRPr="0070080E" w:rsidRDefault="0094076D">
      <w:pPr>
        <w:pStyle w:val="FirstParagraph"/>
      </w:pPr>
      <w:r w:rsidRPr="0070080E">
        <w:t>Limitations define boundaries on measurement, inference, and generalizability. They clarify what the study can and cannot conclude from the data and design.</w:t>
      </w:r>
    </w:p>
    <w:p w14:paraId="3CB0FF68" w14:textId="5269188A" w:rsidR="00F67DDB" w:rsidRPr="0070080E" w:rsidRDefault="0094076D">
      <w:pPr>
        <w:pStyle w:val="BodyText"/>
      </w:pPr>
      <w:r w:rsidRPr="0070080E">
        <w:t>Emotional intensity is not observed directly in this study and is proxied through four observable shock characteristics—Article Count, Sentiment Extremity, Attention Intensity, and Event-Type Severity</w:t>
      </w:r>
      <w:r w:rsidR="000A66AA">
        <w:t>—</w:t>
      </w:r>
      <w:r w:rsidRPr="0070080E">
        <w:t xml:space="preserve">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via principal component analysis (components and construction defined in Section 4.3.5; PCA method per </w:t>
      </w:r>
      <w:hyperlink r:id="rId158">
        <w:r w:rsidRPr="0070080E">
          <w:rPr>
            <w:rStyle w:val="Hyperlink"/>
          </w:rPr>
          <w:t>Jolliffe &amp; Cadima, 2016</w:t>
        </w:r>
      </w:hyperlink>
      <w:r w:rsidRPr="0070080E">
        <w:t>). Each component captures a distinct dimension of the informational stimulus that behavioral research associates with heightened investor attention and affective response (</w:t>
      </w:r>
      <w:hyperlink r:id="rId159">
        <w:r w:rsidRPr="0070080E">
          <w:rPr>
            <w:rStyle w:val="Hyperlink"/>
          </w:rPr>
          <w:t>Loewenstein et al., 2001</w:t>
        </w:r>
      </w:hyperlink>
      <w:r w:rsidRPr="0070080E">
        <w:t xml:space="preserve">; </w:t>
      </w:r>
      <w:hyperlink r:id="rId160">
        <w:r w:rsidRPr="0070080E">
          <w:rPr>
            <w:rStyle w:val="Hyperlink"/>
          </w:rPr>
          <w:t>Barber &amp; Odean, 2008</w:t>
        </w:r>
      </w:hyperlink>
      <w:r w:rsidRPr="0070080E">
        <w:t>). The Shock Score as a composite proxy for emotional intensity is a novel construct introduced in this thesis; its construct validity is an empirical question evaluated in Chapter 5 through its explanatory power over Net Risk Stance responses. The effectiveness of the persistence score and pre-commitment protocol components additionally depends on predefined thresholds, which may not be universally optimal across all event types and market regimes.</w:t>
      </w:r>
    </w:p>
    <w:p w14:paraId="769D2581" w14:textId="77777777" w:rsidR="004F6FB5" w:rsidRDefault="0094076D" w:rsidP="004F6FB5">
      <w:pPr>
        <w:pStyle w:val="BodyText"/>
      </w:pPr>
      <w:r w:rsidRPr="0070080E">
        <w:t>Findings may not generalize beyond the defined portfolio universe, event types, and time horizon represented by the use cases. The effectiveness of the Shock Score and the associated pre-commitment protocol may vary across market regimes, volatility environments, and institutional contexts. The within-subject experimental setting evaluates intended decision responses under controlled scenarios and may differ from real-world behavior under organizational constraints, transaction costs, and liquidity considerations.</w:t>
      </w:r>
    </w:p>
    <w:p w14:paraId="6D3060C6" w14:textId="018C18B9" w:rsidR="004F6FB5" w:rsidRPr="0070080E" w:rsidRDefault="004F6FB5" w:rsidP="004F6FB5">
      <w:pPr>
        <w:pStyle w:val="BodyText"/>
      </w:pPr>
      <w:r w:rsidRPr="004F6FB5">
        <w:rPr>
          <w:rFonts w:hint="eastAsia"/>
        </w:rPr>
        <w:t xml:space="preserve">Respondent demographics, including assets under management, are recorded only as descriptive controls; the assets-under-management bands are treated as ordered categories and do not enter the hypothesis tests, so their boundary definitions do not affect </w:t>
      </w:r>
      <w:r w:rsidRPr="004F6FB5">
        <w:t>the inferential results.</w:t>
      </w:r>
    </w:p>
    <w:p w14:paraId="4223D916" w14:textId="2171F536" w:rsidR="008617A1" w:rsidRPr="006478BB" w:rsidRDefault="0094076D" w:rsidP="006478BB">
      <w:pPr>
        <w:pStyle w:val="BodyText"/>
      </w:pPr>
      <w:r w:rsidRPr="0070080E">
        <w:t xml:space="preserve">The study evaluates portfolio </w:t>
      </w:r>
      <w:r w:rsidR="00400BE9">
        <w:t>risk–return</w:t>
      </w:r>
      <w:r w:rsidRPr="0070080E">
        <w:t xml:space="preserve"> outcomes through simulation rather than through observation of actual trading (</w:t>
      </w:r>
      <w:hyperlink r:id="rId161">
        <w:r w:rsidRPr="0070080E">
          <w:rPr>
            <w:rStyle w:val="Hyperlink"/>
          </w:rPr>
          <w:t>Charness et al., 2012</w:t>
        </w:r>
      </w:hyperlink>
      <w:r w:rsidRPr="0070080E">
        <w:t>). Managers provide stated decision responses via the survey instrument; these responses are then translated into portfolio weight adjustments and evaluated against realized market returns within a simulation framework. As with any design relying on stated rather than revealed preferences, the relationship between reported intentions and actual behavior introduces a potential validity constraint (</w:t>
      </w:r>
      <w:hyperlink r:id="rId162">
        <w:r w:rsidRPr="0070080E">
          <w:rPr>
            <w:rStyle w:val="Hyperlink"/>
          </w:rPr>
          <w:t>Huber et al., 2022</w:t>
        </w:r>
      </w:hyperlink>
      <w:r w:rsidRPr="0070080E">
        <w:t xml:space="preserve">). As a result, the portfolio outcome findings for H2 are jointly conditional on two elements: (a) the behavioral effect of the Shock Score on stated decisions, and (b) the adequacy of the simulation model that maps stated decisions to portfolio returns. If the translation rules, rebalancing assumptions, or return-attribution conventions do not adequately represent how stated intentions would manifest in live portfolio management, the portfolio-level results may over- or understate the true effect of decision support. Figure 2.2 illustrates the boundary between directly observed data and model-dependent inference. </w:t>
      </w:r>
    </w:p>
    <w:p w14:paraId="3CB0FF6B" w14:textId="7460D6F8" w:rsidR="00F67DDB" w:rsidRPr="0070080E" w:rsidRDefault="0094076D" w:rsidP="00F13E40">
      <w:pPr>
        <w:pStyle w:val="Tableid"/>
      </w:pPr>
      <w:r w:rsidRPr="0070080E">
        <w:t>Figure 2.2</w:t>
      </w:r>
    </w:p>
    <w:p w14:paraId="3CB0FF6C" w14:textId="414888E6" w:rsidR="00F67DDB" w:rsidRPr="0070080E" w:rsidRDefault="0094076D" w:rsidP="00F13E40">
      <w:pPr>
        <w:pStyle w:val="TableCaption"/>
      </w:pPr>
      <w:r w:rsidRPr="0070080E">
        <w:t>Causal Logic of the Study Design</w:t>
      </w:r>
    </w:p>
    <w:p w14:paraId="3CB0FF6D" w14:textId="77777777" w:rsidR="00F67DDB" w:rsidRPr="0070080E" w:rsidRDefault="0094076D" w:rsidP="00F13E40">
      <w:pPr>
        <w:pStyle w:val="Compact"/>
      </w:pPr>
      <w:r w:rsidRPr="0070080E">
        <w:rPr>
          <w:noProof/>
        </w:rPr>
        <w:drawing>
          <wp:inline distT="0" distB="0" distL="0" distR="0" wp14:anchorId="3CB10819" wp14:editId="3CB1081A">
            <wp:extent cx="5943600" cy="301512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images/img_casual_logic.svg"/>
                    <pic:cNvPicPr>
                      <a:picLocks noChangeAspect="1" noChangeArrowheads="1"/>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5943600" cy="3015120"/>
                    </a:xfrm>
                    <a:prstGeom prst="rect">
                      <a:avLst/>
                    </a:prstGeom>
                    <a:noFill/>
                    <a:ln w="9525">
                      <a:noFill/>
                      <a:headEnd/>
                      <a:tailEnd/>
                    </a:ln>
                  </pic:spPr>
                </pic:pic>
              </a:graphicData>
            </a:graphic>
          </wp:inline>
        </w:drawing>
      </w:r>
    </w:p>
    <w:p w14:paraId="3CB0FF6E" w14:textId="30AF713D" w:rsidR="00F67DDB" w:rsidRPr="0070080E" w:rsidRDefault="0094076D" w:rsidP="00F13E40">
      <w:pPr>
        <w:pStyle w:val="BodyText"/>
        <w:ind w:firstLine="0"/>
      </w:pPr>
      <w:r w:rsidRPr="0070080E">
        <w:rPr>
          <w:i/>
          <w:iCs/>
        </w:rPr>
        <w:t>Note.</w:t>
      </w:r>
      <w:r w:rsidRPr="0070080E">
        <w:t xml:space="preserve"> The left domain (observed) encompasses survey responses and market data. The right domain (simulated) encompasses the translation of stated decisions into portfolio outcomes, introducing model dependency that bounds interpretation of H2 results. Original figure created for this study</w:t>
      </w:r>
      <w:r w:rsidR="000642B4">
        <w:t xml:space="preserve"> (2026)</w:t>
      </w:r>
      <w:r w:rsidRPr="0070080E">
        <w:t>.</w:t>
      </w:r>
    </w:p>
    <w:p w14:paraId="3CB0FF6F" w14:textId="77777777" w:rsidR="00F67DDB" w:rsidRPr="0070080E" w:rsidRDefault="0094076D">
      <w:pPr>
        <w:pStyle w:val="Heading2"/>
      </w:pPr>
      <w:bookmarkStart w:id="72" w:name="_Toc231913442"/>
      <w:bookmarkStart w:id="73" w:name="chapter-conclusion"/>
      <w:bookmarkEnd w:id="71"/>
      <w:r w:rsidRPr="0070080E">
        <w:t>2.9 Chapter Conclusion</w:t>
      </w:r>
      <w:bookmarkEnd w:id="72"/>
    </w:p>
    <w:p w14:paraId="3CB0FF70" w14:textId="77777777" w:rsidR="00F67DDB" w:rsidRPr="0070080E" w:rsidRDefault="0094076D">
      <w:pPr>
        <w:pStyle w:val="FirstParagraph"/>
      </w:pPr>
      <w:r w:rsidRPr="0070080E">
        <w:t>Chapter 2 defined the research problem and objectives, formulated research questions and hypotheses, and established key operational definitions, assumptions, and limitations guiding the empirical study. The chapter specified the primary measurement approach for managerial decision response using a single-item Net Risk Stance scale and defined the Shock Score as a PCA-based composite decision-support indicator with two representations: an analytical composite index and a manager-facing dashboard. The construction methodology and component definitions are detailed in Chapter 4 (Section 4.3).</w:t>
      </w:r>
    </w:p>
    <w:p w14:paraId="3CB0FF71" w14:textId="2B8FD464" w:rsidR="00F67DDB" w:rsidRPr="0070080E" w:rsidRDefault="0094076D">
      <w:pPr>
        <w:pStyle w:val="BodyText"/>
      </w:pPr>
      <w:r w:rsidRPr="0070080E">
        <w:t>Taken together, the study design integrates real-time information shock measurement, a professional sample of portfolio managers, behaviorally grounded decision support, and portfolio-level outcome validation</w:t>
      </w:r>
      <w:r w:rsidR="000A66AA">
        <w:t>—</w:t>
      </w:r>
      <w:r w:rsidRPr="0070080E">
        <w:t xml:space="preserve">an integration that, as the gap analysis presented in Chapter 3 (Section 3.6) demonstrates, does not appear to have been attempted in prior research. Chapter 3 examines the theoretical and empirical literature that motivates the study constructs and supports the logic linking information shocks, managerial decision behavior, and portfolio </w:t>
      </w:r>
      <w:r w:rsidR="00400BE9">
        <w:t>risk–return</w:t>
      </w:r>
      <w:r w:rsidRPr="0070080E">
        <w:t xml:space="preserve"> outcomes.</w:t>
      </w:r>
    </w:p>
    <w:p w14:paraId="3CB0FF72" w14:textId="77777777" w:rsidR="00F67DDB" w:rsidRPr="0070080E" w:rsidRDefault="0094076D">
      <w:pPr>
        <w:pStyle w:val="Heading1"/>
      </w:pPr>
      <w:bookmarkStart w:id="74" w:name="_Toc231913443"/>
      <w:bookmarkStart w:id="75" w:name="chapter-3.-literature-review"/>
      <w:bookmarkEnd w:id="47"/>
      <w:bookmarkEnd w:id="73"/>
      <w:r w:rsidRPr="0070080E">
        <w:t>Chapter 3. Literature Review</w:t>
      </w:r>
      <w:bookmarkEnd w:id="74"/>
    </w:p>
    <w:p w14:paraId="3CB0FF73" w14:textId="061FED61" w:rsidR="00F67DDB" w:rsidRPr="0070080E" w:rsidRDefault="0094076D">
      <w:pPr>
        <w:pStyle w:val="FirstParagraph"/>
      </w:pPr>
      <w:r w:rsidRPr="0070080E">
        <w:t xml:space="preserve">The literature review is structured to bridge foundational behavioral finance theory with the applied challenges of professional investment decision-making, culminating in the rationale for structured debiasing tools. This body of literature directly supports the two hypotheses of the study: H1, which posits that information shock intensity is associated with measurable shifts in </w:t>
      </w:r>
      <w:r w:rsidR="00AF1BA6" w:rsidRPr="00AF1BA6">
        <w:t>managers' Net Risk Stance responses</w:t>
      </w:r>
      <w:r w:rsidRPr="0070080E">
        <w:t>; and H2, which posits that the Shock Score dashboard moderates that response by acting as a pre-commitment nudge.</w:t>
      </w:r>
    </w:p>
    <w:p w14:paraId="3CB0FF74" w14:textId="77777777" w:rsidR="00F67DDB" w:rsidRPr="0070080E" w:rsidRDefault="0094076D">
      <w:pPr>
        <w:pStyle w:val="Heading2"/>
      </w:pPr>
      <w:bookmarkStart w:id="76" w:name="_Toc231913444"/>
      <w:bookmarkStart w:id="77" w:name="X446411ce7741dcf9bca3ad420fe62ad0c247590"/>
      <w:r w:rsidRPr="0070080E">
        <w:t>3.1 Link Between Literature and Research Hypotheses</w:t>
      </w:r>
      <w:bookmarkEnd w:id="76"/>
    </w:p>
    <w:p w14:paraId="3CB0FF75" w14:textId="77777777" w:rsidR="00F67DDB" w:rsidRPr="0070080E" w:rsidRDefault="0094076D">
      <w:pPr>
        <w:pStyle w:val="FirstParagraph"/>
      </w:pPr>
      <w:r w:rsidRPr="0070080E">
        <w:t>Chapter 3 is organized as follows. The present section (3.1) establishes the link between the literature and the research hypotheses, defining information shocks and motivating the use of a composite measure. Section 3.2 reviews behavioral biases in investment decision-making. Section 3.3 examines managerial decision-making under uncertainty and the persistence of bias among experienced professionals. Section 3.4 surveys tools developed to mitigate behavioral bias, including rule-based pre-commitment protocols, automated and AI-driven approaches, and behavioral metrics. Section 3.5 draws implications for portfolio management. Section 3.6 identifies limitations in existing research and positions the Shock Score within the gap addressed by this thesis. Section 3.7 concludes the chapter.</w:t>
      </w:r>
    </w:p>
    <w:p w14:paraId="3CB0FF76" w14:textId="77777777" w:rsidR="00F67DDB" w:rsidRPr="0070080E" w:rsidRDefault="0094076D">
      <w:pPr>
        <w:pStyle w:val="BodyText"/>
      </w:pPr>
      <w:r w:rsidRPr="0070080E">
        <w:t>The research hypotheses draw on key concepts from behavioral finance (</w:t>
      </w:r>
      <w:hyperlink r:id="rId165">
        <w:r w:rsidRPr="0070080E">
          <w:rPr>
            <w:rStyle w:val="Hyperlink"/>
          </w:rPr>
          <w:t>Barberis &amp; Thaler, 2002</w:t>
        </w:r>
      </w:hyperlink>
      <w:r w:rsidRPr="0070080E">
        <w:t>) and decision-making literature (</w:t>
      </w:r>
      <w:hyperlink r:id="rId166">
        <w:r w:rsidRPr="0070080E">
          <w:rPr>
            <w:rStyle w:val="Hyperlink"/>
          </w:rPr>
          <w:t>Kahneman, 2011</w:t>
        </w:r>
      </w:hyperlink>
      <w:r w:rsidRPr="0070080E">
        <w:t xml:space="preserve">), focusing on how information shocks affect market behavior. An </w:t>
      </w:r>
      <w:r w:rsidRPr="0070080E">
        <w:rPr>
          <w:b/>
          <w:bCs/>
        </w:rPr>
        <w:t>information shock</w:t>
      </w:r>
      <w:r w:rsidRPr="0070080E">
        <w:t xml:space="preserve"> refers to publicly available news or updates about individual stocks that generate a material short-term market reaction, typically observable at a daily frequency. Such information shocks affect short-term price dynamics and volatility without necessarily changing the long-term fundamentals of the underlying firm and, therefore, its valuation (</w:t>
      </w:r>
      <w:hyperlink r:id="rId167">
        <w:r w:rsidRPr="0070080E">
          <w:rPr>
            <w:rStyle w:val="Hyperlink"/>
          </w:rPr>
          <w:t>Meng et al., 2024</w:t>
        </w:r>
      </w:hyperlink>
      <w:r w:rsidRPr="0070080E">
        <w:t xml:space="preserve">; </w:t>
      </w:r>
      <w:hyperlink r:id="rId168">
        <w:r w:rsidRPr="0070080E">
          <w:rPr>
            <w:rStyle w:val="Hyperlink"/>
          </w:rPr>
          <w:t>Tetlock, 2007</w:t>
        </w:r>
      </w:hyperlink>
      <w:r w:rsidRPr="0070080E">
        <w:t>).</w:t>
      </w:r>
    </w:p>
    <w:p w14:paraId="3CB0FF77" w14:textId="046A3321" w:rsidR="00F67DDB" w:rsidRPr="0070080E" w:rsidRDefault="00000000">
      <w:pPr>
        <w:pStyle w:val="BodyText"/>
      </w:pPr>
      <w:hyperlink r:id="rId169">
        <w:r w:rsidR="0094076D" w:rsidRPr="0070080E">
          <w:rPr>
            <w:rStyle w:val="Hyperlink"/>
          </w:rPr>
          <w:t xml:space="preserve">Barberis </w:t>
        </w:r>
        <w:r w:rsidR="00BD5A46">
          <w:rPr>
            <w:rStyle w:val="Hyperlink"/>
          </w:rPr>
          <w:t>and</w:t>
        </w:r>
        <w:r w:rsidR="0094076D" w:rsidRPr="0070080E">
          <w:rPr>
            <w:rStyle w:val="Hyperlink"/>
          </w:rPr>
          <w:t xml:space="preserve"> Thaler</w:t>
        </w:r>
        <w:r w:rsidR="00BD5A46">
          <w:rPr>
            <w:rStyle w:val="Hyperlink"/>
          </w:rPr>
          <w:t xml:space="preserve"> (</w:t>
        </w:r>
        <w:r w:rsidR="0094076D" w:rsidRPr="0070080E">
          <w:rPr>
            <w:rStyle w:val="Hyperlink"/>
          </w:rPr>
          <w:t>2002</w:t>
        </w:r>
      </w:hyperlink>
      <w:r w:rsidR="00BD5A46">
        <w:rPr>
          <w:rStyle w:val="Hyperlink"/>
        </w:rPr>
        <w:t>)</w:t>
      </w:r>
      <w:r w:rsidR="0094076D" w:rsidRPr="0070080E">
        <w:t xml:space="preserve"> and </w:t>
      </w:r>
      <w:hyperlink r:id="rId170">
        <w:r w:rsidR="0094076D" w:rsidRPr="0070080E">
          <w:rPr>
            <w:rStyle w:val="Hyperlink"/>
          </w:rPr>
          <w:t>Hirshleifer</w:t>
        </w:r>
        <w:r w:rsidR="00BD5A46">
          <w:rPr>
            <w:rStyle w:val="Hyperlink"/>
          </w:rPr>
          <w:t xml:space="preserve"> (</w:t>
        </w:r>
        <w:r w:rsidR="0094076D" w:rsidRPr="0070080E">
          <w:rPr>
            <w:rStyle w:val="Hyperlink"/>
          </w:rPr>
          <w:t>2015</w:t>
        </w:r>
      </w:hyperlink>
      <w:r w:rsidR="00BD5A46">
        <w:rPr>
          <w:rStyle w:val="Hyperlink"/>
        </w:rPr>
        <w:t>)</w:t>
      </w:r>
      <w:r w:rsidR="0094076D" w:rsidRPr="0070080E">
        <w:t xml:space="preserve"> reviewed and synthesized evidence that information shocks influence market prices through behavioral and emotional biases. </w:t>
      </w:r>
      <w:hyperlink r:id="rId171">
        <w:r w:rsidR="0094076D" w:rsidRPr="0070080E">
          <w:rPr>
            <w:rStyle w:val="Hyperlink"/>
          </w:rPr>
          <w:t>Meng et al.</w:t>
        </w:r>
        <w:r w:rsidR="00BD5A46">
          <w:rPr>
            <w:rStyle w:val="Hyperlink"/>
          </w:rPr>
          <w:t xml:space="preserve"> (</w:t>
        </w:r>
        <w:r w:rsidR="0094076D" w:rsidRPr="0070080E">
          <w:rPr>
            <w:rStyle w:val="Hyperlink"/>
          </w:rPr>
          <w:t>2024</w:t>
        </w:r>
      </w:hyperlink>
      <w:r w:rsidR="00BD5A46">
        <w:rPr>
          <w:rStyle w:val="Hyperlink"/>
        </w:rPr>
        <w:t>)</w:t>
      </w:r>
      <w:r w:rsidR="0094076D" w:rsidRPr="0070080E">
        <w:t xml:space="preserve"> and </w:t>
      </w:r>
      <w:hyperlink r:id="rId172">
        <w:r w:rsidR="0094076D" w:rsidRPr="0070080E">
          <w:rPr>
            <w:rStyle w:val="Hyperlink"/>
          </w:rPr>
          <w:t xml:space="preserve">Barber </w:t>
        </w:r>
        <w:r w:rsidR="00BD5A46">
          <w:rPr>
            <w:rStyle w:val="Hyperlink"/>
          </w:rPr>
          <w:t>and</w:t>
        </w:r>
        <w:r w:rsidR="0094076D" w:rsidRPr="0070080E">
          <w:rPr>
            <w:rStyle w:val="Hyperlink"/>
          </w:rPr>
          <w:t xml:space="preserve"> Odean</w:t>
        </w:r>
        <w:r w:rsidR="00BD5A46">
          <w:rPr>
            <w:rStyle w:val="Hyperlink"/>
          </w:rPr>
          <w:t xml:space="preserve"> (</w:t>
        </w:r>
        <w:r w:rsidR="0094076D" w:rsidRPr="0070080E">
          <w:rPr>
            <w:rStyle w:val="Hyperlink"/>
          </w:rPr>
          <w:t>2008</w:t>
        </w:r>
      </w:hyperlink>
      <w:r w:rsidR="00BD5A46">
        <w:rPr>
          <w:rStyle w:val="Hyperlink"/>
        </w:rPr>
        <w:t>)</w:t>
      </w:r>
      <w:r w:rsidR="0094076D" w:rsidRPr="0070080E">
        <w:t xml:space="preserve"> documented that investors and managers overreact to salient or emotionally charged news due to cognitive and affective biases, leading to temporary price distortions rather than a purely fundamentals-based revaluation. Notably, </w:t>
      </w:r>
      <w:hyperlink r:id="rId173">
        <w:r w:rsidR="0094076D" w:rsidRPr="0070080E">
          <w:rPr>
            <w:rStyle w:val="Hyperlink"/>
          </w:rPr>
          <w:t>Meng et al.</w:t>
        </w:r>
        <w:r w:rsidR="00BD5A46">
          <w:rPr>
            <w:rStyle w:val="Hyperlink"/>
          </w:rPr>
          <w:t xml:space="preserve"> (</w:t>
        </w:r>
        <w:r w:rsidR="0094076D" w:rsidRPr="0070080E">
          <w:rPr>
            <w:rStyle w:val="Hyperlink"/>
          </w:rPr>
          <w:t>2024</w:t>
        </w:r>
      </w:hyperlink>
      <w:r w:rsidR="00BD5A46">
        <w:rPr>
          <w:rStyle w:val="Hyperlink"/>
        </w:rPr>
        <w:t>)</w:t>
      </w:r>
      <w:r w:rsidR="0094076D" w:rsidRPr="0070080E">
        <w:t xml:space="preserve"> identified information shocks through price reactions, whereas the present study approaches shock identification from the news side, deriving shock characteristics observable before the market response (the construction of the Shock Score is documented in Chapter 4). The Shock Score, introduced in Chapter 4, is motivated by research on sentiment, attention, and volatility-based measures of market reaction; its operationalization and components are documented there.</w:t>
      </w:r>
    </w:p>
    <w:p w14:paraId="3CB0FF78" w14:textId="77777777" w:rsidR="00F67DDB" w:rsidRPr="0070080E" w:rsidRDefault="0094076D">
      <w:pPr>
        <w:pStyle w:val="BodyText"/>
      </w:pPr>
      <w:r w:rsidRPr="0070080E">
        <w:t>While the literature contains indices and measures aimed at capturing market sentiment or uncertainty, such as sentiment indices or news-based volatility indicators, comparatively less attention has been devoted to tools explicitly designed to support managerial decision-making at the time of an information shock. This motivates the development and empirical testing of the Shock Score as a decision-support mechanism intended to improve investment decisions by reducing behavioral overreaction.</w:t>
      </w:r>
    </w:p>
    <w:p w14:paraId="3CB0FF79" w14:textId="11E2557E" w:rsidR="00F67DDB" w:rsidRPr="0070080E" w:rsidRDefault="0094076D">
      <w:pPr>
        <w:pStyle w:val="BodyText"/>
      </w:pPr>
      <w:r w:rsidRPr="0070080E">
        <w:t xml:space="preserve">Taken together, the studies reviewed below are interpreted in this thesis as implying a causal pathway from external information shocks to portfolio-level outcomes. Sudden and salient news events may increase cognitive load and emotional arousal, potentially activating behavioral biases such as overconfidence, loss aversion, attention-driven extrapolation, and herding. These biases may distort managers’ perceptions of risk and return precisely when rapid decisions are required. They may lead to systematically altered portfolio actions, including procyclical rebalancing, excessive turnover, delayed adjustment, or temporary deviations from strategic risk targets. As a result, information shocks are expected to affect realized portfolio </w:t>
      </w:r>
      <w:r w:rsidR="00400BE9">
        <w:t>risk–return</w:t>
      </w:r>
      <w:r w:rsidRPr="0070080E">
        <w:t xml:space="preserve"> </w:t>
      </w:r>
      <w:r w:rsidR="008D4E9C">
        <w:t>outcomes</w:t>
      </w:r>
      <w:r w:rsidR="008D4E9C" w:rsidRPr="0070080E">
        <w:t xml:space="preserve"> </w:t>
      </w:r>
      <w:r w:rsidRPr="0070080E">
        <w:t xml:space="preserve">in the short term, not only through price dynamics but also through behaviorally mediated decision errors. This logic provides the theoretical foundation for the first research hypothesis, which examines whether external information shocks are associated with measurable changes in portfolio </w:t>
      </w:r>
      <w:r w:rsidR="00400BE9">
        <w:t>risk–return</w:t>
      </w:r>
      <w:r w:rsidRPr="0070080E">
        <w:t xml:space="preserve"> outcomes.</w:t>
      </w:r>
    </w:p>
    <w:p w14:paraId="3CB0FF7A" w14:textId="77777777" w:rsidR="00F67DDB" w:rsidRPr="0070080E" w:rsidRDefault="0094076D">
      <w:pPr>
        <w:pStyle w:val="Heading2"/>
      </w:pPr>
      <w:bookmarkStart w:id="78" w:name="_Toc231913445"/>
      <w:bookmarkStart w:id="79" w:name="X262863e72e55a6d2807e0a4ec6181e31e900a3f"/>
      <w:bookmarkEnd w:id="77"/>
      <w:r w:rsidRPr="0070080E">
        <w:t>3.2 Behavioral Biases in Investment Decision-Making</w:t>
      </w:r>
      <w:bookmarkEnd w:id="78"/>
    </w:p>
    <w:p w14:paraId="3CB0FF7B" w14:textId="61D5A74C" w:rsidR="00F67DDB" w:rsidRPr="0070080E" w:rsidRDefault="0094076D">
      <w:pPr>
        <w:pStyle w:val="Heading3"/>
      </w:pPr>
      <w:bookmarkStart w:id="80" w:name="X836d29cca1b251c4591eb9ab7704b4100cb2bef"/>
      <w:r w:rsidRPr="0070080E">
        <w:t xml:space="preserve">3.2.1 Behavioral </w:t>
      </w:r>
      <w:r w:rsidR="00D04E66" w:rsidRPr="0070080E">
        <w:t>B</w:t>
      </w:r>
      <w:r w:rsidRPr="0070080E">
        <w:t xml:space="preserve">iases </w:t>
      </w:r>
      <w:r w:rsidR="00D04E66" w:rsidRPr="0070080E">
        <w:t>D</w:t>
      </w:r>
      <w:r w:rsidRPr="0070080E">
        <w:t xml:space="preserve">riving </w:t>
      </w:r>
      <w:r w:rsidR="00D04E66" w:rsidRPr="0070080E">
        <w:t>O</w:t>
      </w:r>
      <w:r w:rsidRPr="0070080E">
        <w:t xml:space="preserve">verreaction </w:t>
      </w:r>
      <w:r w:rsidR="00D04E66" w:rsidRPr="0070080E">
        <w:t>U</w:t>
      </w:r>
      <w:r w:rsidRPr="0070080E">
        <w:t xml:space="preserve">nder </w:t>
      </w:r>
      <w:r w:rsidR="00D04E66" w:rsidRPr="0070080E">
        <w:t>U</w:t>
      </w:r>
      <w:r w:rsidRPr="0070080E">
        <w:t>ncertainty</w:t>
      </w:r>
    </w:p>
    <w:p w14:paraId="3CB0FF7C" w14:textId="77777777" w:rsidR="00F67DDB" w:rsidRPr="0070080E" w:rsidRDefault="0094076D">
      <w:pPr>
        <w:pStyle w:val="FirstParagraph"/>
      </w:pPr>
      <w:r w:rsidRPr="0070080E">
        <w:t>Behavioral finance theory documented how cognitive biases such as overconfidence (</w:t>
      </w:r>
      <w:hyperlink r:id="rId174">
        <w:r w:rsidRPr="0070080E">
          <w:rPr>
            <w:rStyle w:val="Hyperlink"/>
          </w:rPr>
          <w:t>Moore &amp; Healy, 2008</w:t>
        </w:r>
      </w:hyperlink>
      <w:r w:rsidRPr="0070080E">
        <w:t xml:space="preserve">; </w:t>
      </w:r>
      <w:hyperlink r:id="rId175">
        <w:r w:rsidRPr="0070080E">
          <w:rPr>
            <w:rStyle w:val="Hyperlink"/>
          </w:rPr>
          <w:t>Barber &amp; Odean, 2001</w:t>
        </w:r>
      </w:hyperlink>
      <w:r w:rsidRPr="0070080E">
        <w:t>), loss aversion (</w:t>
      </w:r>
      <w:hyperlink r:id="rId176">
        <w:r w:rsidRPr="0070080E">
          <w:rPr>
            <w:rStyle w:val="Hyperlink"/>
          </w:rPr>
          <w:t>Kahneman &amp; Tversky, 1979</w:t>
        </w:r>
      </w:hyperlink>
      <w:r w:rsidRPr="0070080E">
        <w:t>), the disposition effect (</w:t>
      </w:r>
      <w:hyperlink r:id="rId177">
        <w:r w:rsidRPr="0070080E">
          <w:rPr>
            <w:rStyle w:val="Hyperlink"/>
          </w:rPr>
          <w:t>Frazzini, 2006</w:t>
        </w:r>
      </w:hyperlink>
      <w:r w:rsidRPr="0070080E">
        <w:t>), and emotional trading (</w:t>
      </w:r>
      <w:hyperlink r:id="rId178">
        <w:r w:rsidRPr="0070080E">
          <w:rPr>
            <w:rStyle w:val="Hyperlink"/>
          </w:rPr>
          <w:t>Lo et al., 2005</w:t>
        </w:r>
      </w:hyperlink>
      <w:r w:rsidRPr="0070080E">
        <w:t>) shape investor behavior and amplify short-term market reactions to information shocks. Professional investors, despite their expertise, are not immune to these cognitive shortcuts and biases that affect human judgment under uncertainty (</w:t>
      </w:r>
      <w:hyperlink r:id="rId179">
        <w:r w:rsidRPr="0070080E">
          <w:rPr>
            <w:rStyle w:val="Hyperlink"/>
          </w:rPr>
          <w:t>Hirshleifer, 2015</w:t>
        </w:r>
      </w:hyperlink>
      <w:r w:rsidRPr="0070080E">
        <w:t xml:space="preserve">; </w:t>
      </w:r>
      <w:hyperlink r:id="rId180">
        <w:r w:rsidRPr="0070080E">
          <w:rPr>
            <w:rStyle w:val="Hyperlink"/>
          </w:rPr>
          <w:t>Barberis &amp; Thaler, 2002</w:t>
        </w:r>
      </w:hyperlink>
      <w:r w:rsidRPr="0070080E">
        <w:t xml:space="preserve">). Several prevalent biases, including </w:t>
      </w:r>
      <w:r w:rsidRPr="0070080E">
        <w:rPr>
          <w:b/>
          <w:bCs/>
        </w:rPr>
        <w:t>overconfidence</w:t>
      </w:r>
      <w:r w:rsidRPr="0070080E">
        <w:t xml:space="preserve">, </w:t>
      </w:r>
      <w:r w:rsidRPr="0070080E">
        <w:rPr>
          <w:b/>
          <w:bCs/>
        </w:rPr>
        <w:t>availability and recency bias</w:t>
      </w:r>
      <w:r w:rsidRPr="0070080E">
        <w:t xml:space="preserve">, </w:t>
      </w:r>
      <w:r w:rsidRPr="0070080E">
        <w:rPr>
          <w:b/>
          <w:bCs/>
        </w:rPr>
        <w:t>herding</w:t>
      </w:r>
      <w:r w:rsidRPr="0070080E">
        <w:t xml:space="preserve">, and </w:t>
      </w:r>
      <w:r w:rsidRPr="0070080E">
        <w:rPr>
          <w:b/>
          <w:bCs/>
        </w:rPr>
        <w:t>emotional/physiological biases</w:t>
      </w:r>
      <w:r w:rsidRPr="0070080E">
        <w:t>, can cause expert decision-makers to react in ways that amplify short-term market volatility and overreact to financial information shocks. The following paragraphs discuss each bias and its impact on short-term market dynamics.</w:t>
      </w:r>
    </w:p>
    <w:p w14:paraId="3CB0FF7D" w14:textId="77777777" w:rsidR="00F67DDB" w:rsidRPr="0070080E" w:rsidRDefault="0094076D">
      <w:pPr>
        <w:pStyle w:val="BodyText"/>
      </w:pPr>
      <w:r w:rsidRPr="0070080E">
        <w:t>Overconfidence is a well-documented cognitive bias in which individuals exhibit unwarranted faith in the accuracy of their judgments and beliefs (</w:t>
      </w:r>
      <w:hyperlink r:id="rId181">
        <w:r w:rsidRPr="0070080E">
          <w:rPr>
            <w:rStyle w:val="Hyperlink"/>
          </w:rPr>
          <w:t>Moore &amp; Healy, 2008</w:t>
        </w:r>
      </w:hyperlink>
      <w:r w:rsidRPr="0070080E">
        <w:t>). In the finance literature, overconfidence manifests in excessive trading and systematic overestimation of predictive ability (</w:t>
      </w:r>
      <w:hyperlink r:id="rId182">
        <w:r w:rsidRPr="0070080E">
          <w:rPr>
            <w:rStyle w:val="Hyperlink"/>
          </w:rPr>
          <w:t>Barberis &amp; Thaler, 2002</w:t>
        </w:r>
      </w:hyperlink>
      <w:r w:rsidRPr="0070080E">
        <w:t xml:space="preserve">). </w:t>
      </w:r>
      <w:hyperlink r:id="rId183">
        <w:r w:rsidRPr="0070080E">
          <w:rPr>
            <w:rStyle w:val="Hyperlink"/>
          </w:rPr>
          <w:t>Barber and Odean (2001)</w:t>
        </w:r>
      </w:hyperlink>
      <w:r w:rsidRPr="0070080E">
        <w:t xml:space="preserve"> provided evidence that investors with higher inferred overconfidence trade more frequently and earn lower risk-adjusted returns, a pattern consistent with overconfidence-driven misjudgment.</w:t>
      </w:r>
    </w:p>
    <w:p w14:paraId="3CB0FF7E" w14:textId="77777777" w:rsidR="00F67DDB" w:rsidRPr="0070080E" w:rsidRDefault="0094076D">
      <w:pPr>
        <w:pStyle w:val="BodyText"/>
      </w:pPr>
      <w:r w:rsidRPr="0070080E">
        <w:t>This bias manifests even among professionals; for example, successful traders and fund managers may become overconfident in their skill, particularly after a streak of good performance (</w:t>
      </w:r>
      <w:hyperlink r:id="rId184">
        <w:r w:rsidRPr="0070080E">
          <w:rPr>
            <w:rStyle w:val="Hyperlink"/>
          </w:rPr>
          <w:t>Gervais &amp; Odean, 2001</w:t>
        </w:r>
      </w:hyperlink>
      <w:r w:rsidRPr="0070080E">
        <w:t>). Overconfidence leads investors to underweight risks and trade more aggressively than rational benchmarks would predict, often to their own detriment (</w:t>
      </w:r>
      <w:hyperlink r:id="rId185">
        <w:r w:rsidRPr="0070080E">
          <w:rPr>
            <w:rStyle w:val="Hyperlink"/>
          </w:rPr>
          <w:t>Odean, 1999</w:t>
        </w:r>
      </w:hyperlink>
      <w:r w:rsidRPr="0070080E">
        <w:t>). Theoretical models showed that overconfident investors can introduce excess volatility into markets by overreacting to new information (</w:t>
      </w:r>
      <w:hyperlink r:id="rId186">
        <w:r w:rsidRPr="0070080E">
          <w:rPr>
            <w:rStyle w:val="Hyperlink"/>
          </w:rPr>
          <w:t>Gervais &amp; Odean, 2001</w:t>
        </w:r>
      </w:hyperlink>
      <w:r w:rsidRPr="0070080E">
        <w:t>). Prices may move more than fundamentals justify due to overly aggressive trading on private signals, generating short-run momentum that later reverses (</w:t>
      </w:r>
      <w:hyperlink r:id="rId187">
        <w:r w:rsidRPr="0070080E">
          <w:rPr>
            <w:rStyle w:val="Hyperlink"/>
          </w:rPr>
          <w:t>Daniel et al., 1998</w:t>
        </w:r>
      </w:hyperlink>
      <w:r w:rsidRPr="0070080E">
        <w:t>). In the context of this study, this dynamic suggests that managers can deviate from their investment mandates in response to information shocks. The Shock Score is intended to provide a structured reference point against which managers may calibrate the objective severity of the shock. Whether it functions in this way is evaluated empirically in H2 (Chapter 5).</w:t>
      </w:r>
    </w:p>
    <w:p w14:paraId="3CB0FF7F" w14:textId="77777777" w:rsidR="00F67DDB" w:rsidRPr="0070080E" w:rsidRDefault="0094076D">
      <w:pPr>
        <w:pStyle w:val="BodyText"/>
      </w:pPr>
      <w:r w:rsidRPr="0070080E">
        <w:t xml:space="preserve">Another class of bias arises from the </w:t>
      </w:r>
      <w:proofErr w:type="gramStart"/>
      <w:r w:rsidRPr="0070080E">
        <w:t>heuristics</w:t>
      </w:r>
      <w:proofErr w:type="gramEnd"/>
      <w:r w:rsidRPr="0070080E">
        <w:t xml:space="preserve"> investors use to judge the importance of information. The availability heuristic refers to the tendency to assess the probability or relevance of an event based on how easily examples come to mind (</w:t>
      </w:r>
      <w:hyperlink r:id="rId188">
        <w:r w:rsidRPr="0070080E">
          <w:rPr>
            <w:rStyle w:val="Hyperlink"/>
          </w:rPr>
          <w:t>Tversky &amp; Kahneman, 1974</w:t>
        </w:r>
      </w:hyperlink>
      <w:r w:rsidRPr="0070080E">
        <w:t>). This implies that vivid or recent information often dominates decision-making because it is readily recalled, even if it is not objectively more informative. A closely related phenomenon is recency bias, the inclination to give disproportionately high weight to the most recent events or data points when forming judgments. Evidence in behavioral finance indicated that investors and other decision-makers overweight recent outcomes relative to earlier information, thereby distorting expectations (</w:t>
      </w:r>
      <w:hyperlink r:id="rId189">
        <w:r w:rsidRPr="0070080E">
          <w:rPr>
            <w:rStyle w:val="Hyperlink"/>
          </w:rPr>
          <w:t>Hirshleifer, 2015</w:t>
        </w:r>
      </w:hyperlink>
      <w:r w:rsidRPr="0070080E">
        <w:t>). Even seasoned professionals are susceptible: mutual fund managers have been shown to extrapolate their fund’s recent performance into their outlook for the overall market, effectively basing forecasts on the latest returns rather than long-term fundamentals (</w:t>
      </w:r>
      <w:hyperlink r:id="rId190">
        <w:r w:rsidRPr="0070080E">
          <w:rPr>
            <w:rStyle w:val="Hyperlink"/>
          </w:rPr>
          <w:t>Azimi, 2019</w:t>
        </w:r>
      </w:hyperlink>
      <w:r w:rsidRPr="0070080E">
        <w:t>). Such availability and recency biases can amplify short-term volatility by fueling overreactions to salient news, as prices may temporarily overshoot intrinsic values before expectations adjust. In this study, availability and recency bias are treated as factors that may cause portfolio managers to overweight the most recent or salient information shock signal; the Shock Score counteracts this by aggregating multiple objective information shock dimensions rather than relying on subjective perception.</w:t>
      </w:r>
    </w:p>
    <w:p w14:paraId="3CB0FF80" w14:textId="08B349D8" w:rsidR="00F67DDB" w:rsidRPr="0070080E" w:rsidRDefault="0094076D">
      <w:pPr>
        <w:pStyle w:val="BodyText"/>
      </w:pPr>
      <w:r w:rsidRPr="0070080E">
        <w:t xml:space="preserve">Herding describes the tendency of investors to mimic the actions of others instead of relying on their own independent analysis. In uncertain environments, </w:t>
      </w:r>
      <w:hyperlink r:id="rId191">
        <w:r w:rsidRPr="0070080E">
          <w:rPr>
            <w:rStyle w:val="Hyperlink"/>
          </w:rPr>
          <w:t xml:space="preserve">Bikhchandani </w:t>
        </w:r>
        <w:r w:rsidR="005F0B61">
          <w:rPr>
            <w:rStyle w:val="Hyperlink"/>
          </w:rPr>
          <w:t>and</w:t>
        </w:r>
        <w:r w:rsidRPr="0070080E">
          <w:rPr>
            <w:rStyle w:val="Hyperlink"/>
          </w:rPr>
          <w:t xml:space="preserve"> Sharma</w:t>
        </w:r>
        <w:r w:rsidR="005F0B61">
          <w:rPr>
            <w:rStyle w:val="Hyperlink"/>
          </w:rPr>
          <w:t xml:space="preserve"> (</w:t>
        </w:r>
        <w:r w:rsidRPr="0070080E">
          <w:rPr>
            <w:rStyle w:val="Hyperlink"/>
          </w:rPr>
          <w:t>2000</w:t>
        </w:r>
      </w:hyperlink>
      <w:r w:rsidR="005F0B61">
        <w:rPr>
          <w:rStyle w:val="Hyperlink"/>
        </w:rPr>
        <w:t>)</w:t>
      </w:r>
      <w:r w:rsidRPr="0070080E">
        <w:t xml:space="preserve"> and Brown et al</w:t>
      </w:r>
      <w:r w:rsidR="005F0B61">
        <w:t xml:space="preserve">. </w:t>
      </w:r>
      <w:r w:rsidRPr="0070080E">
        <w:t>(2014) documented that even professional investors may follow the crowd, for instance by buying or selling a stock because many of their peers are doing so, either assuming that the collective might know better or as a form of career risk management (it may feel safer to err in a crowd than to err alone) (</w:t>
      </w:r>
      <w:hyperlink r:id="rId192">
        <w:r w:rsidRPr="0070080E">
          <w:rPr>
            <w:rStyle w:val="Hyperlink"/>
          </w:rPr>
          <w:t>Jiang &amp; Verardo, 2018</w:t>
        </w:r>
      </w:hyperlink>
      <w:r w:rsidRPr="0070080E">
        <w:t xml:space="preserve">; </w:t>
      </w:r>
      <w:hyperlink r:id="rId193">
        <w:r w:rsidRPr="0070080E">
          <w:rPr>
            <w:rStyle w:val="Hyperlink"/>
          </w:rPr>
          <w:t>Bikhchandani et al., 1992</w:t>
        </w:r>
      </w:hyperlink>
      <w:r w:rsidRPr="0070080E">
        <w:t xml:space="preserve">). In formal terms, herd behavior occurs when investors follow or copy others’ investment decisions rather than act on their private information. The herding heuristic can amplify short-term market movements: coordinated buying may push prices above fundamentals and coordinated selling below. </w:t>
      </w:r>
      <w:hyperlink r:id="rId194">
        <w:r w:rsidRPr="0070080E">
          <w:rPr>
            <w:rStyle w:val="Hyperlink"/>
          </w:rPr>
          <w:t xml:space="preserve">Jiang </w:t>
        </w:r>
        <w:r w:rsidR="005F0B61">
          <w:rPr>
            <w:rStyle w:val="Hyperlink"/>
          </w:rPr>
          <w:t>and</w:t>
        </w:r>
        <w:r w:rsidRPr="0070080E">
          <w:rPr>
            <w:rStyle w:val="Hyperlink"/>
          </w:rPr>
          <w:t xml:space="preserve"> Verardo</w:t>
        </w:r>
        <w:r w:rsidR="005F0B61">
          <w:rPr>
            <w:rStyle w:val="Hyperlink"/>
          </w:rPr>
          <w:t xml:space="preserve"> (</w:t>
        </w:r>
        <w:r w:rsidRPr="0070080E">
          <w:rPr>
            <w:rStyle w:val="Hyperlink"/>
          </w:rPr>
          <w:t>2018</w:t>
        </w:r>
      </w:hyperlink>
      <w:r w:rsidR="005F0B61">
        <w:rPr>
          <w:rStyle w:val="Hyperlink"/>
        </w:rPr>
        <w:t>)</w:t>
      </w:r>
      <w:r w:rsidRPr="0070080E">
        <w:t xml:space="preserve"> and </w:t>
      </w:r>
      <w:hyperlink r:id="rId195">
        <w:r w:rsidRPr="0070080E">
          <w:rPr>
            <w:rStyle w:val="Hyperlink"/>
          </w:rPr>
          <w:t>Brown et al.</w:t>
        </w:r>
        <w:r w:rsidR="005F0B61">
          <w:rPr>
            <w:rStyle w:val="Hyperlink"/>
          </w:rPr>
          <w:t xml:space="preserve"> (</w:t>
        </w:r>
        <w:r w:rsidRPr="0070080E">
          <w:rPr>
            <w:rStyle w:val="Hyperlink"/>
          </w:rPr>
          <w:t>2014</w:t>
        </w:r>
      </w:hyperlink>
      <w:r w:rsidR="005F0B61">
        <w:rPr>
          <w:rStyle w:val="Hyperlink"/>
        </w:rPr>
        <w:t>)</w:t>
      </w:r>
      <w:r w:rsidRPr="0070080E">
        <w:t xml:space="preserve"> showed that herding-induced price pressures can be short-lived: stocks persistently bought by institutions tend to earn negative subsequent returns as prices correct, while persistently sold stocks tend to rebound. Accordingly, herding by professional investors can contribute to short-run price instability and volatility around information events. In the present study, herding represents a confounding behavioral factor; by presenting the Shock Score individually to each respondent in a controlled scenario design, the study isolates individual decision responses from peer influence.</w:t>
      </w:r>
    </w:p>
    <w:p w14:paraId="3CB0FF81" w14:textId="1B4C622A" w:rsidR="00F67DDB" w:rsidRPr="0070080E" w:rsidRDefault="0094076D">
      <w:pPr>
        <w:pStyle w:val="BodyText"/>
      </w:pPr>
      <w:r w:rsidRPr="0070080E">
        <w:t xml:space="preserve">Beyond cognitive heuristics, emotional and physiological factors can heavily influence investors’ judgment under stress. Professional decision-makers are not emotionless agents; feelings such as fear, greed, anxiety, or over-excitement can bias choices, particularly during market shocks. </w:t>
      </w:r>
      <w:hyperlink r:id="rId196">
        <w:r w:rsidRPr="0070080E">
          <w:rPr>
            <w:rStyle w:val="Hyperlink"/>
          </w:rPr>
          <w:t>Lo et al.</w:t>
        </w:r>
        <w:r w:rsidR="005F0B61">
          <w:rPr>
            <w:rStyle w:val="Hyperlink"/>
          </w:rPr>
          <w:t xml:space="preserve"> (</w:t>
        </w:r>
        <w:r w:rsidRPr="0070080E">
          <w:rPr>
            <w:rStyle w:val="Hyperlink"/>
          </w:rPr>
          <w:t>2005</w:t>
        </w:r>
      </w:hyperlink>
      <w:r w:rsidR="005F0B61">
        <w:rPr>
          <w:rStyle w:val="Hyperlink"/>
        </w:rPr>
        <w:t>)</w:t>
      </w:r>
      <w:r w:rsidRPr="0070080E">
        <w:t xml:space="preserve"> documented that acute stress and arousal can impair decision-making even in expert traders (</w:t>
      </w:r>
      <w:hyperlink r:id="rId197">
        <w:r w:rsidRPr="0070080E">
          <w:rPr>
            <w:rStyle w:val="Hyperlink"/>
          </w:rPr>
          <w:t>Coates &amp; Herbert, 2008</w:t>
        </w:r>
      </w:hyperlink>
      <w:r w:rsidRPr="0070080E">
        <w:t>). During periods of market turmoil, fear can trigger a physiological stress response that inclines investors to flee from risk. Elevated cortisol levels have been shown to correspond with such conditions; under high cortisol, traders become more risk-averse, potentially intensifying sell-offs (</w:t>
      </w:r>
      <w:hyperlink r:id="rId198">
        <w:r w:rsidRPr="0070080E">
          <w:rPr>
            <w:rStyle w:val="Hyperlink"/>
          </w:rPr>
          <w:t>Coates &amp; Herbert, 2008</w:t>
        </w:r>
      </w:hyperlink>
      <w:r w:rsidRPr="0070080E">
        <w:t>). Evidence further indicated that traders exhibiting highly intense emotional reactions tend to make poorer trading decisions and achieve worse outcomes on average (</w:t>
      </w:r>
      <w:hyperlink r:id="rId199">
        <w:r w:rsidRPr="0070080E">
          <w:rPr>
            <w:rStyle w:val="Hyperlink"/>
          </w:rPr>
          <w:t>Lo et al., 2005</w:t>
        </w:r>
      </w:hyperlink>
      <w:r w:rsidRPr="0070080E">
        <w:t>). Overall, emotional and physiological biases contribute to short-term market instability by driving overreactions to information shocks. This study treats emotional bias as a latent driver of deviation from neutral risk stance; the Shock Score is intended to provide a stabilizing informational anchor at the point when information is consumed and a decision response is forming.</w:t>
      </w:r>
    </w:p>
    <w:p w14:paraId="3CB0FF82" w14:textId="5C9F391D" w:rsidR="00F67DDB" w:rsidRPr="0070080E" w:rsidRDefault="0094076D">
      <w:pPr>
        <w:pStyle w:val="Heading3"/>
      </w:pPr>
      <w:bookmarkStart w:id="81" w:name="X73aba0042d5953f5d207171abee266926389920"/>
      <w:bookmarkEnd w:id="80"/>
      <w:r w:rsidRPr="0070080E">
        <w:t xml:space="preserve">3.2.2 Loss </w:t>
      </w:r>
      <w:r w:rsidR="00D04E66" w:rsidRPr="0070080E">
        <w:t>A</w:t>
      </w:r>
      <w:r w:rsidRPr="0070080E">
        <w:t xml:space="preserve">version and </w:t>
      </w:r>
      <w:r w:rsidR="00D04E66" w:rsidRPr="0070080E">
        <w:t>A</w:t>
      </w:r>
      <w:r w:rsidRPr="0070080E">
        <w:t xml:space="preserve">symmetric </w:t>
      </w:r>
      <w:r w:rsidR="00D04E66" w:rsidRPr="0070080E">
        <w:t>R</w:t>
      </w:r>
      <w:r w:rsidRPr="0070080E">
        <w:t xml:space="preserve">esponses to </w:t>
      </w:r>
      <w:r w:rsidR="00D04E66" w:rsidRPr="0070080E">
        <w:t>N</w:t>
      </w:r>
      <w:r w:rsidRPr="0070080E">
        <w:t xml:space="preserve">egative </w:t>
      </w:r>
      <w:r w:rsidR="00D04E66" w:rsidRPr="0070080E">
        <w:t>I</w:t>
      </w:r>
      <w:r w:rsidRPr="0070080E">
        <w:t>nformation</w:t>
      </w:r>
    </w:p>
    <w:p w14:paraId="3CB0FF83" w14:textId="77777777" w:rsidR="00F67DDB" w:rsidRPr="0070080E" w:rsidRDefault="0094076D">
      <w:pPr>
        <w:pStyle w:val="FirstParagraph"/>
      </w:pPr>
      <w:r w:rsidRPr="0070080E">
        <w:t>Prospect theory, as developed by Kahneman and Tversky, posited that individuals exhibit loss aversion, meaning that losses are experienced more intensely than gains of equal magnitude (</w:t>
      </w:r>
      <w:hyperlink r:id="rId200">
        <w:r w:rsidRPr="0070080E">
          <w:rPr>
            <w:rStyle w:val="Hyperlink"/>
          </w:rPr>
          <w:t>Kahneman &amp; Tversky, 1979</w:t>
        </w:r>
      </w:hyperlink>
      <w:r w:rsidRPr="0070080E">
        <w:t>). This framework shapes how decision-makers respond to financial news information shocks.</w:t>
      </w:r>
    </w:p>
    <w:p w14:paraId="3CB0FF84" w14:textId="77777777" w:rsidR="00F67DDB" w:rsidRPr="0070080E" w:rsidRDefault="00000000">
      <w:pPr>
        <w:pStyle w:val="BodyText"/>
      </w:pPr>
      <w:hyperlink r:id="rId201">
        <w:r w:rsidR="0094076D" w:rsidRPr="0070080E">
          <w:rPr>
            <w:rStyle w:val="Hyperlink"/>
          </w:rPr>
          <w:t>Tetlock (2007)</w:t>
        </w:r>
      </w:hyperlink>
      <w:r w:rsidR="0094076D" w:rsidRPr="0070080E">
        <w:t xml:space="preserve"> found that market participants, including professional investors, exhibit asymmetric reactions to negative versus positive information. For example, Tetlock (2007) found that negative media sentiment predicts a temporary decline in daily market returns, with prices typically rebounding shortly thereafter, a pattern consistent with overreaction to pessimistic news.</w:t>
      </w:r>
    </w:p>
    <w:p w14:paraId="3CB0FF85" w14:textId="600FA86A" w:rsidR="00F67DDB" w:rsidRPr="0070080E" w:rsidRDefault="0094076D">
      <w:pPr>
        <w:pStyle w:val="BodyText"/>
      </w:pPr>
      <w:r w:rsidRPr="0070080E">
        <w:t>Löffler</w:t>
      </w:r>
      <w:r w:rsidR="00425464">
        <w:t xml:space="preserve"> et al.</w:t>
      </w:r>
      <w:r w:rsidRPr="0070080E">
        <w:t xml:space="preserve"> (20</w:t>
      </w:r>
      <w:r w:rsidR="00425464">
        <w:t>21</w:t>
      </w:r>
      <w:r w:rsidRPr="0070080E">
        <w:t>) analyzed market reactions to credit rating changes and showed that downgrades trigger substantially larger price movements than upgrades. This pronounced asymmetry indicated that markets penalize negative credit news far more strongly than they reward positive revisions, even when the underlying informational content is comparable</w:t>
      </w:r>
      <w:r w:rsidR="006965AA">
        <w:t>.</w:t>
      </w:r>
    </w:p>
    <w:p w14:paraId="3CB0FF86" w14:textId="77777777" w:rsidR="00F67DDB" w:rsidRPr="0070080E" w:rsidRDefault="0094076D">
      <w:pPr>
        <w:pStyle w:val="BodyText"/>
      </w:pPr>
      <w:r w:rsidRPr="0070080E">
        <w:t>Neel (2024) provided cross-country evidence that institutional investors operating in more loss-averse cultural environments react more strongly to negative earnings surprises than to positive ones. This cultural perspective reinforces the systematic nature of asymmetric reaction patterns and supports the view that overreaction, particularly in response to loss-related information, is a persistent behavioral feature of financial markets.</w:t>
      </w:r>
    </w:p>
    <w:p w14:paraId="3CB0FF87" w14:textId="77777777" w:rsidR="00F67DDB" w:rsidRPr="0070080E" w:rsidRDefault="0094076D">
      <w:pPr>
        <w:pStyle w:val="BodyText"/>
      </w:pPr>
      <w:r w:rsidRPr="0070080E">
        <w:t>Taken together, these findings are synthesized in this thesis to support the assumption that negative financial information shocks tend to provoke more immediate and emotionally amplified responses than positive information shocks, thereby increasing the likelihood of short-term overreaction and subsequent reversal dynamics. This asymmetry is reflected in the study design through the inclusion of both positive and negative information shocks across scenarios, allowing H1 to be tested across the full directional range of the Net Risk Stance variable.</w:t>
      </w:r>
    </w:p>
    <w:p w14:paraId="3CB0FF88" w14:textId="5BDA387C" w:rsidR="00F67DDB" w:rsidRPr="0070080E" w:rsidRDefault="0094076D">
      <w:pPr>
        <w:pStyle w:val="Heading3"/>
      </w:pPr>
      <w:bookmarkStart w:id="82" w:name="Xa785dd27434210884714c004b98b5ead46c76e3"/>
      <w:bookmarkEnd w:id="81"/>
      <w:r w:rsidRPr="0070080E">
        <w:t xml:space="preserve">3.2.3 The </w:t>
      </w:r>
      <w:r w:rsidR="00D04E66" w:rsidRPr="0070080E">
        <w:t>D</w:t>
      </w:r>
      <w:r w:rsidRPr="0070080E">
        <w:t xml:space="preserve">isposition </w:t>
      </w:r>
      <w:r w:rsidR="00D04E66" w:rsidRPr="0070080E">
        <w:t>E</w:t>
      </w:r>
      <w:r w:rsidRPr="0070080E">
        <w:t xml:space="preserve">ffect and </w:t>
      </w:r>
      <w:r w:rsidR="00D04E66" w:rsidRPr="0070080E">
        <w:t>E</w:t>
      </w:r>
      <w:r w:rsidRPr="0070080E">
        <w:t>motion-</w:t>
      </w:r>
      <w:r w:rsidR="00614B36" w:rsidRPr="0070080E">
        <w:t>D</w:t>
      </w:r>
      <w:r w:rsidRPr="0070080E">
        <w:t xml:space="preserve">riven </w:t>
      </w:r>
      <w:r w:rsidR="00614B36" w:rsidRPr="0070080E">
        <w:t>T</w:t>
      </w:r>
      <w:r w:rsidRPr="0070080E">
        <w:t xml:space="preserve">rading </w:t>
      </w:r>
      <w:r w:rsidR="00614B36" w:rsidRPr="0070080E">
        <w:t>B</w:t>
      </w:r>
      <w:r w:rsidRPr="0070080E">
        <w:t>ehavior</w:t>
      </w:r>
    </w:p>
    <w:p w14:paraId="3CB0FF89" w14:textId="77777777" w:rsidR="00F67DDB" w:rsidRPr="0070080E" w:rsidRDefault="0094076D">
      <w:pPr>
        <w:pStyle w:val="FirstParagraph"/>
      </w:pPr>
      <w:r w:rsidRPr="0070080E">
        <w:t xml:space="preserve">The disposition effect refers to the tendency of investors to sell assets that have performed well while retaining assets that have incurred losses, a behavior leading to suboptimal portfolio rebalancing. While initially documented among retail investors, </w:t>
      </w:r>
      <w:hyperlink r:id="rId202">
        <w:r w:rsidRPr="0070080E">
          <w:rPr>
            <w:rStyle w:val="Hyperlink"/>
          </w:rPr>
          <w:t>Frazzini (2006)</w:t>
        </w:r>
      </w:hyperlink>
      <w:r w:rsidRPr="0070080E">
        <w:t xml:space="preserve"> and </w:t>
      </w:r>
      <w:hyperlink r:id="rId203">
        <w:r w:rsidRPr="0070080E">
          <w:rPr>
            <w:rStyle w:val="Hyperlink"/>
          </w:rPr>
          <w:t>Grinblatt and Keloharju (2001)</w:t>
        </w:r>
      </w:hyperlink>
      <w:r w:rsidRPr="0070080E">
        <w:t xml:space="preserve"> documented that the disposition effect is also present among professional decision-makers, including institutional investors. Using detailed trading records, </w:t>
      </w:r>
      <w:hyperlink r:id="rId204">
        <w:r w:rsidRPr="0070080E">
          <w:rPr>
            <w:rStyle w:val="Hyperlink"/>
          </w:rPr>
          <w:t>Grinblatt and Keloharju (2001)</w:t>
        </w:r>
      </w:hyperlink>
      <w:r w:rsidRPr="0070080E">
        <w:t xml:space="preserve"> showed that investors are more likely to sell winning positions than losing ones, even after controlling for tax considerations and liquidity needs. Similarly, </w:t>
      </w:r>
      <w:hyperlink r:id="rId205">
        <w:r w:rsidRPr="0070080E">
          <w:rPr>
            <w:rStyle w:val="Hyperlink"/>
          </w:rPr>
          <w:t>Frazzini (2006)</w:t>
        </w:r>
      </w:hyperlink>
      <w:r w:rsidRPr="0070080E">
        <w:t xml:space="preserve"> found that the disposition effect contributes to underreaction to news and predictable return patterns, consistent with investors holding losing positions too long and realizing losses too slowly. These findings indicated that regret avoidance and emotional attachment to losses can interfere with rational rebalancing decisions even in institutional settings.</w:t>
      </w:r>
    </w:p>
    <w:p w14:paraId="3CB0FF8A" w14:textId="270D0E23" w:rsidR="00F67DDB" w:rsidRPr="0070080E" w:rsidRDefault="00000000">
      <w:pPr>
        <w:pStyle w:val="BodyText"/>
      </w:pPr>
      <w:hyperlink r:id="rId206">
        <w:r w:rsidR="0094076D" w:rsidRPr="0070080E">
          <w:rPr>
            <w:rStyle w:val="Hyperlink"/>
          </w:rPr>
          <w:t>Daniel et al.</w:t>
        </w:r>
        <w:r w:rsidR="00230B55">
          <w:rPr>
            <w:rStyle w:val="Hyperlink"/>
          </w:rPr>
          <w:t xml:space="preserve"> (</w:t>
        </w:r>
        <w:r w:rsidR="0094076D" w:rsidRPr="0070080E">
          <w:rPr>
            <w:rStyle w:val="Hyperlink"/>
          </w:rPr>
          <w:t>1998</w:t>
        </w:r>
      </w:hyperlink>
      <w:r w:rsidR="00230B55">
        <w:rPr>
          <w:rStyle w:val="Hyperlink"/>
        </w:rPr>
        <w:t>)</w:t>
      </w:r>
      <w:r w:rsidR="0094076D" w:rsidRPr="0070080E">
        <w:t xml:space="preserve"> modeled how overreaction driven by overconfidence can produce short-horizon return predictability, while </w:t>
      </w:r>
      <w:hyperlink r:id="rId207">
        <w:r w:rsidR="0094076D" w:rsidRPr="0070080E">
          <w:rPr>
            <w:rStyle w:val="Hyperlink"/>
          </w:rPr>
          <w:t>Frazzini</w:t>
        </w:r>
        <w:r w:rsidR="00230B55">
          <w:rPr>
            <w:rStyle w:val="Hyperlink"/>
          </w:rPr>
          <w:t xml:space="preserve"> (</w:t>
        </w:r>
        <w:r w:rsidR="0094076D" w:rsidRPr="0070080E">
          <w:rPr>
            <w:rStyle w:val="Hyperlink"/>
          </w:rPr>
          <w:t>2006</w:t>
        </w:r>
      </w:hyperlink>
      <w:r w:rsidR="00230B55">
        <w:rPr>
          <w:rStyle w:val="Hyperlink"/>
        </w:rPr>
        <w:t>)</w:t>
      </w:r>
      <w:r w:rsidR="0094076D" w:rsidRPr="0070080E">
        <w:t xml:space="preserve"> documented that the disposition effect produces underreaction to news: investors hold losing positions and realize gains prematurely, leading to post-announcement price drift. These two channels represent complementary behavioral mechanisms through which information shocks distort price adjustment. In the latter interpretation, emotionally salient losses increase the tendency to hold losing positions longer, while salient gains increase the tendency to realize winners prematurely, thereby embedding short-horizon decision errors into portfolio turnover and performance outcomes. Empirical evidence supports this mechanism: Da</w:t>
      </w:r>
      <w:r w:rsidR="00135783">
        <w:t xml:space="preserve"> et al.</w:t>
      </w:r>
      <w:r w:rsidR="0094076D" w:rsidRPr="0070080E">
        <w:t xml:space="preserve"> (2011) showed that attention-driven trading around news events increases turnover in attention-grabbing stocks, consistent with a stronger propensity to trade recent winners and delayed adjustment in losers. As a result, emotion-driven trading following information shocks not only amplifies short-term volatility but also induces systematic rebalancing inefficiencies consistent with the disposition effect. In this study, the disposition effect represents a potential source of asymmetric bias in the Net Risk Stance variable, where managers may respond differently to positive and negative information shocks independent of their objective severity as measured by the Shock Score.</w:t>
      </w:r>
    </w:p>
    <w:p w14:paraId="3CB0FF8B" w14:textId="586D1760" w:rsidR="00F67DDB" w:rsidRPr="0070080E" w:rsidRDefault="0094076D">
      <w:pPr>
        <w:pStyle w:val="Heading3"/>
      </w:pPr>
      <w:bookmarkStart w:id="83" w:name="Xabab0cb9fec60cb4e8a9be601473f119130247d"/>
      <w:bookmarkEnd w:id="82"/>
      <w:r w:rsidRPr="0070080E">
        <w:t xml:space="preserve">3.2.4 Overreaction and </w:t>
      </w:r>
      <w:r w:rsidR="00614B36" w:rsidRPr="0070080E">
        <w:t>S</w:t>
      </w:r>
      <w:r w:rsidRPr="0070080E">
        <w:t xml:space="preserve">ubsequent </w:t>
      </w:r>
      <w:r w:rsidR="00614B36" w:rsidRPr="0070080E">
        <w:t>R</w:t>
      </w:r>
      <w:r w:rsidRPr="0070080E">
        <w:t xml:space="preserve">eversals </w:t>
      </w:r>
      <w:r w:rsidR="00614B36" w:rsidRPr="0070080E">
        <w:t>F</w:t>
      </w:r>
      <w:r w:rsidRPr="0070080E">
        <w:t xml:space="preserve">ollowing </w:t>
      </w:r>
      <w:r w:rsidR="00614B36" w:rsidRPr="0070080E">
        <w:t>P</w:t>
      </w:r>
      <w:r w:rsidRPr="0070080E">
        <w:t xml:space="preserve">ublic </w:t>
      </w:r>
      <w:r w:rsidR="00614B36" w:rsidRPr="0070080E">
        <w:t>N</w:t>
      </w:r>
      <w:r w:rsidRPr="0070080E">
        <w:t>ews</w:t>
      </w:r>
    </w:p>
    <w:p w14:paraId="3CB0FF8C" w14:textId="204057A2" w:rsidR="00F67DDB" w:rsidRPr="0070080E" w:rsidRDefault="00000000">
      <w:pPr>
        <w:pStyle w:val="FirstParagraph"/>
      </w:pPr>
      <w:hyperlink r:id="rId208">
        <w:r w:rsidR="0094076D" w:rsidRPr="0070080E">
          <w:rPr>
            <w:rStyle w:val="Hyperlink"/>
          </w:rPr>
          <w:t xml:space="preserve">De Bondt </w:t>
        </w:r>
        <w:r w:rsidR="00230B55">
          <w:rPr>
            <w:rStyle w:val="Hyperlink"/>
          </w:rPr>
          <w:t>and</w:t>
        </w:r>
        <w:r w:rsidR="0094076D" w:rsidRPr="0070080E">
          <w:rPr>
            <w:rStyle w:val="Hyperlink"/>
          </w:rPr>
          <w:t xml:space="preserve"> Thaler</w:t>
        </w:r>
        <w:r w:rsidR="00230B55">
          <w:rPr>
            <w:rStyle w:val="Hyperlink"/>
          </w:rPr>
          <w:t xml:space="preserve"> (</w:t>
        </w:r>
        <w:r w:rsidR="0094076D" w:rsidRPr="0070080E">
          <w:rPr>
            <w:rStyle w:val="Hyperlink"/>
          </w:rPr>
          <w:t>1985</w:t>
        </w:r>
      </w:hyperlink>
      <w:r w:rsidR="00230B55">
        <w:rPr>
          <w:rStyle w:val="Hyperlink"/>
        </w:rPr>
        <w:t>)</w:t>
      </w:r>
      <w:r w:rsidR="0094076D" w:rsidRPr="0070080E">
        <w:t xml:space="preserve"> and Daniel et al. (1998) showed that stock prices can overshoot in response to public information shocks, leading to short-term reversals that are consistent with behavioral overreaction rather than immediate convergence to fundamental value. Using event-based analysis, </w:t>
      </w:r>
      <w:hyperlink r:id="rId209">
        <w:r w:rsidR="0094076D" w:rsidRPr="0070080E">
          <w:rPr>
            <w:rStyle w:val="Hyperlink"/>
          </w:rPr>
          <w:t>Meng et al. (2024)</w:t>
        </w:r>
      </w:hyperlink>
      <w:r w:rsidR="0094076D" w:rsidRPr="0070080E">
        <w:t xml:space="preserve"> documented that sharp price movements following public news often exceed what can be justified by fundamentals and are partially corrected in the days that follow, consistent with investor overreaction rather than efficient price adjustment.</w:t>
      </w:r>
    </w:p>
    <w:p w14:paraId="3CB0FF8D" w14:textId="77777777" w:rsidR="00F67DDB" w:rsidRPr="0070080E" w:rsidRDefault="0094076D">
      <w:pPr>
        <w:pStyle w:val="BodyText"/>
      </w:pPr>
      <w:r w:rsidRPr="0070080E">
        <w:t>These findings imply that public information shocks can generate short-term volatility and return predictability (</w:t>
      </w:r>
      <w:hyperlink r:id="rId210">
        <w:r w:rsidRPr="0070080E">
          <w:rPr>
            <w:rStyle w:val="Hyperlink"/>
          </w:rPr>
          <w:t>French &amp; Roll, 1986</w:t>
        </w:r>
      </w:hyperlink>
      <w:r w:rsidRPr="0070080E">
        <w:t>), as initial reactions reflect behavioral biases such as salience and confirmation rather than fully rational updating (</w:t>
      </w:r>
      <w:hyperlink r:id="rId211">
        <w:r w:rsidRPr="0070080E">
          <w:rPr>
            <w:rStyle w:val="Hyperlink"/>
          </w:rPr>
          <w:t>Meng et al., 2024</w:t>
        </w:r>
      </w:hyperlink>
      <w:r w:rsidRPr="0070080E">
        <w:t xml:space="preserve">; </w:t>
      </w:r>
      <w:hyperlink r:id="rId212">
        <w:r w:rsidRPr="0070080E">
          <w:rPr>
            <w:rStyle w:val="Hyperlink"/>
          </w:rPr>
          <w:t>Daniel et al., 1998</w:t>
        </w:r>
      </w:hyperlink>
      <w:r w:rsidRPr="0070080E">
        <w:t>). As prices gradually revert toward intrinsic values, contrarian strategies become profitable, reinforcing the interpretation of these dynamics as overreaction-driven market responses.</w:t>
      </w:r>
    </w:p>
    <w:p w14:paraId="3CB0FF8E" w14:textId="580602CC" w:rsidR="00F67DDB" w:rsidRPr="0070080E" w:rsidRDefault="0094076D">
      <w:pPr>
        <w:pStyle w:val="BodyText"/>
      </w:pPr>
      <w:r w:rsidRPr="0070080E">
        <w:t>Professional traders and institutional investors can amplify these reactions. Cremers</w:t>
      </w:r>
      <w:r w:rsidR="00FB1CAD">
        <w:t xml:space="preserve"> et al.</w:t>
      </w:r>
      <w:r w:rsidRPr="0070080E">
        <w:t xml:space="preserve"> (2021) showed that stocks with high short-term institutional ownership exhibit particularly large announcement-day price reactions and subsequent reversals around analyst recommendation changes: prior outperformance (underperformance) is followed by negative (positive) future abnormal returns, consistent with overreaction (</w:t>
      </w:r>
      <w:hyperlink r:id="rId213">
        <w:r w:rsidRPr="0070080E">
          <w:rPr>
            <w:rStyle w:val="Hyperlink"/>
          </w:rPr>
          <w:t>Cremers et al., 2021</w:t>
        </w:r>
      </w:hyperlink>
      <w:r w:rsidRPr="0070080E">
        <w:t>).</w:t>
      </w:r>
    </w:p>
    <w:p w14:paraId="3CB0FF8F" w14:textId="4C96CEF5" w:rsidR="00F67DDB" w:rsidRPr="0070080E" w:rsidRDefault="00000000">
      <w:pPr>
        <w:pStyle w:val="BodyText"/>
      </w:pPr>
      <w:hyperlink r:id="rId214">
        <w:r w:rsidR="0094076D" w:rsidRPr="0070080E">
          <w:rPr>
            <w:rStyle w:val="Hyperlink"/>
          </w:rPr>
          <w:t>Ben-Rephael et al.</w:t>
        </w:r>
        <w:r w:rsidR="000755E2">
          <w:rPr>
            <w:rStyle w:val="Hyperlink"/>
          </w:rPr>
          <w:t xml:space="preserve"> (</w:t>
        </w:r>
        <w:r w:rsidR="0094076D" w:rsidRPr="0070080E">
          <w:rPr>
            <w:rStyle w:val="Hyperlink"/>
          </w:rPr>
          <w:t>202</w:t>
        </w:r>
        <w:r w:rsidR="00F525BC">
          <w:rPr>
            <w:rStyle w:val="Hyperlink"/>
          </w:rPr>
          <w:t>1</w:t>
        </w:r>
      </w:hyperlink>
      <w:r w:rsidR="000755E2">
        <w:rPr>
          <w:rStyle w:val="Hyperlink"/>
        </w:rPr>
        <w:t>)</w:t>
      </w:r>
      <w:r w:rsidR="0094076D" w:rsidRPr="0070080E">
        <w:t xml:space="preserve"> documented that institutional trading around earnings announcements is strongly aligned with the magnitude of the initial price reaction, indicating that institutions tend to trade in the same direction as the earnings-day information shock rather than correcting it. Such synchronized trading behavior can exacerbate short-term volatility and push portfolios away from target allocations.</w:t>
      </w:r>
    </w:p>
    <w:p w14:paraId="3CB0FF90" w14:textId="1C36442F" w:rsidR="00F67DDB" w:rsidRPr="0070080E" w:rsidRDefault="0094076D">
      <w:pPr>
        <w:pStyle w:val="BodyText"/>
      </w:pPr>
      <w:r w:rsidRPr="0070080E">
        <w:t>Systematic rebalancing flows further transmit these information shocks into prices. Harvey</w:t>
      </w:r>
      <w:r w:rsidR="00626445">
        <w:t xml:space="preserve"> et al. </w:t>
      </w:r>
      <w:r w:rsidRPr="0070080E">
        <w:t>(2025) showed that mechanical rebalancing by large asset managers generates statistically significant short-term price pressure; for example, when portfolios become overweight equities, subsequent selling pressure depresses equity returns by approximately 17 basis points on the following day (</w:t>
      </w:r>
      <w:hyperlink r:id="rId215">
        <w:r w:rsidRPr="0070080E">
          <w:rPr>
            <w:rStyle w:val="Hyperlink"/>
          </w:rPr>
          <w:t>Harvey et al., 2025</w:t>
        </w:r>
      </w:hyperlink>
      <w:r w:rsidRPr="0070080E">
        <w:t>). Taken together, the evidence indicated that news-driven overreactions by institutional investors produce transient mispricings and heightened volatility, creating pressure on portfolio allocation and rebalancing decisions.</w:t>
      </w:r>
    </w:p>
    <w:p w14:paraId="3CB0FF91" w14:textId="39684278" w:rsidR="00F67DDB" w:rsidRPr="0070080E" w:rsidRDefault="0094076D">
      <w:pPr>
        <w:pStyle w:val="Heading3"/>
      </w:pPr>
      <w:bookmarkStart w:id="84" w:name="Xca39414d447230bbfbade374445a6ede381b9e0"/>
      <w:bookmarkEnd w:id="83"/>
      <w:r w:rsidRPr="0070080E">
        <w:t xml:space="preserve">3.2.5 Portfolio </w:t>
      </w:r>
      <w:r w:rsidR="000D245B" w:rsidRPr="0070080E">
        <w:t>I</w:t>
      </w:r>
      <w:r w:rsidRPr="0070080E">
        <w:t xml:space="preserve">mplications of </w:t>
      </w:r>
      <w:r w:rsidR="000D245B" w:rsidRPr="0070080E">
        <w:t>B</w:t>
      </w:r>
      <w:r w:rsidRPr="0070080E">
        <w:t xml:space="preserve">ehavioral </w:t>
      </w:r>
      <w:r w:rsidR="000D245B" w:rsidRPr="0070080E">
        <w:t>B</w:t>
      </w:r>
      <w:r w:rsidRPr="0070080E">
        <w:t>iases</w:t>
      </w:r>
    </w:p>
    <w:p w14:paraId="3CB0FF92" w14:textId="0D0FF8C6" w:rsidR="00F67DDB" w:rsidRPr="0070080E" w:rsidRDefault="00000000">
      <w:pPr>
        <w:pStyle w:val="FirstParagraph"/>
      </w:pPr>
      <w:hyperlink r:id="rId216">
        <w:r w:rsidR="0094076D" w:rsidRPr="0070080E">
          <w:rPr>
            <w:rStyle w:val="Hyperlink"/>
          </w:rPr>
          <w:t xml:space="preserve">Barberis </w:t>
        </w:r>
        <w:r w:rsidR="00283DE3">
          <w:rPr>
            <w:rStyle w:val="Hyperlink"/>
          </w:rPr>
          <w:t>and</w:t>
        </w:r>
        <w:r w:rsidR="0094076D" w:rsidRPr="0070080E">
          <w:rPr>
            <w:rStyle w:val="Hyperlink"/>
          </w:rPr>
          <w:t xml:space="preserve"> Thaler</w:t>
        </w:r>
        <w:r w:rsidR="00283DE3">
          <w:rPr>
            <w:rStyle w:val="Hyperlink"/>
          </w:rPr>
          <w:t xml:space="preserve"> (</w:t>
        </w:r>
        <w:r w:rsidR="0094076D" w:rsidRPr="0070080E">
          <w:rPr>
            <w:rStyle w:val="Hyperlink"/>
          </w:rPr>
          <w:t>2002</w:t>
        </w:r>
      </w:hyperlink>
      <w:r w:rsidR="00283DE3">
        <w:rPr>
          <w:rStyle w:val="Hyperlink"/>
        </w:rPr>
        <w:t>)</w:t>
      </w:r>
      <w:r w:rsidR="0094076D" w:rsidRPr="0070080E">
        <w:t xml:space="preserve"> and </w:t>
      </w:r>
      <w:hyperlink r:id="rId217">
        <w:r w:rsidR="0094076D" w:rsidRPr="0070080E">
          <w:rPr>
            <w:rStyle w:val="Hyperlink"/>
          </w:rPr>
          <w:t>Hirshleifer</w:t>
        </w:r>
        <w:r w:rsidR="00283DE3">
          <w:rPr>
            <w:rStyle w:val="Hyperlink"/>
          </w:rPr>
          <w:t xml:space="preserve"> (</w:t>
        </w:r>
        <w:r w:rsidR="0094076D" w:rsidRPr="0070080E">
          <w:rPr>
            <w:rStyle w:val="Hyperlink"/>
          </w:rPr>
          <w:t>2015</w:t>
        </w:r>
      </w:hyperlink>
      <w:r w:rsidR="00283DE3">
        <w:rPr>
          <w:rStyle w:val="Hyperlink"/>
        </w:rPr>
        <w:t>)</w:t>
      </w:r>
      <w:r w:rsidR="0094076D" w:rsidRPr="0070080E">
        <w:t xml:space="preserve"> documented </w:t>
      </w:r>
      <w:proofErr w:type="gramStart"/>
      <w:r w:rsidR="0094076D" w:rsidRPr="0070080E">
        <w:t>that behavioral biases</w:t>
      </w:r>
      <w:proofErr w:type="gramEnd"/>
      <w:r w:rsidR="0094076D" w:rsidRPr="0070080E">
        <w:t xml:space="preserve">—particularly overconfidence, availability heuristics, herding, and loss aversion—distort professional investors’ judgment during information shocks. These biases impair rational processing of news, leading to </w:t>
      </w:r>
      <w:r w:rsidR="0094076D" w:rsidRPr="0070080E">
        <w:rPr>
          <w:b/>
          <w:bCs/>
        </w:rPr>
        <w:t>overreactions in asset prices</w:t>
      </w:r>
      <w:r w:rsidR="0094076D" w:rsidRPr="0070080E">
        <w:t xml:space="preserve"> characterized by short-term volatility spikes and predictable reversals. Even experienced institutional investors are not immune: emotional and cognitive biases alter risk perceptions, induce crowd behavior, and lead to premature or delayed trading decisions.</w:t>
      </w:r>
    </w:p>
    <w:p w14:paraId="3CB0FF93" w14:textId="77777777" w:rsidR="00F67DDB" w:rsidRPr="0070080E" w:rsidRDefault="0094076D">
      <w:pPr>
        <w:pStyle w:val="BodyText"/>
      </w:pPr>
      <w:r w:rsidRPr="0070080E">
        <w:t xml:space="preserve">These distortions have clear implications for portfolio management. Emotional overreactions often result in </w:t>
      </w:r>
      <w:r w:rsidRPr="0070080E">
        <w:rPr>
          <w:b/>
          <w:bCs/>
        </w:rPr>
        <w:t>suboptimal rebalancing</w:t>
      </w:r>
      <w:r w:rsidRPr="0070080E">
        <w:t xml:space="preserve">: selling winners too early, holding losers too long, or overexposing portfolios to assets that have already experienced sharp price moves. The disposition effect, in particular, illustrates how reluctance to realize losses and eagerness to lock in gains can drag on long-term performance. Moreover, market-wide overreactions propagate through institutional flows, creating </w:t>
      </w:r>
      <w:r w:rsidRPr="0070080E">
        <w:rPr>
          <w:b/>
          <w:bCs/>
        </w:rPr>
        <w:t>systematic mispricing</w:t>
      </w:r>
      <w:r w:rsidRPr="0070080E">
        <w:t xml:space="preserve"> that challenges the efficiency of portfolio allocation.</w:t>
      </w:r>
    </w:p>
    <w:p w14:paraId="3CB0FF94" w14:textId="77777777" w:rsidR="00F67DDB" w:rsidRPr="0070080E" w:rsidRDefault="0094076D">
      <w:pPr>
        <w:pStyle w:val="BodyText"/>
      </w:pPr>
      <w:r w:rsidRPr="0070080E">
        <w:t>In sum, research across these studies indicated that behavioral biases shape short-term price dynamics and introduce persistent frictions into portfolio decision-making. These distortions manifest as excess volatility, predictable reversals, and suboptimal rebalancing behavior. This synthesis concludes the theoretical foundation for bias-driven market reactions; subsequent sections focus on how these mechanisms persist in professional contexts and how they can be mitigated in practice.</w:t>
      </w:r>
    </w:p>
    <w:p w14:paraId="3CB0FF95" w14:textId="77777777" w:rsidR="00F67DDB" w:rsidRPr="0070080E" w:rsidRDefault="0094076D">
      <w:pPr>
        <w:pStyle w:val="Heading2"/>
      </w:pPr>
      <w:bookmarkStart w:id="85" w:name="_Toc231913446"/>
      <w:bookmarkStart w:id="86" w:name="X382a3d6d7ed0e4d3e9ffcb83b9de1c25d1c7f11"/>
      <w:bookmarkEnd w:id="79"/>
      <w:bookmarkEnd w:id="84"/>
      <w:r w:rsidRPr="0070080E">
        <w:t>3.3 Managerial Decision-Making Under Uncertainty</w:t>
      </w:r>
      <w:bookmarkEnd w:id="85"/>
    </w:p>
    <w:p w14:paraId="3CB0FF96" w14:textId="787FD957" w:rsidR="00F67DDB" w:rsidRPr="0070080E" w:rsidRDefault="0094076D">
      <w:pPr>
        <w:pStyle w:val="FirstParagraph"/>
      </w:pPr>
      <w:r w:rsidRPr="0070080E">
        <w:t xml:space="preserve">This section examines how behavioral biases persist in professional investment decision-making despite training and experience. Research by </w:t>
      </w:r>
      <w:hyperlink r:id="rId218">
        <w:r w:rsidRPr="0070080E">
          <w:rPr>
            <w:rStyle w:val="Hyperlink"/>
          </w:rPr>
          <w:t>Simon</w:t>
        </w:r>
        <w:r w:rsidR="00283DE3">
          <w:rPr>
            <w:rStyle w:val="Hyperlink"/>
          </w:rPr>
          <w:t xml:space="preserve"> (</w:t>
        </w:r>
        <w:r w:rsidRPr="0070080E">
          <w:rPr>
            <w:rStyle w:val="Hyperlink"/>
          </w:rPr>
          <w:t>1955</w:t>
        </w:r>
      </w:hyperlink>
      <w:r w:rsidR="00283DE3">
        <w:rPr>
          <w:rStyle w:val="Hyperlink"/>
        </w:rPr>
        <w:t>)</w:t>
      </w:r>
      <w:r w:rsidRPr="0070080E">
        <w:t xml:space="preserve"> and </w:t>
      </w:r>
      <w:hyperlink r:id="rId219">
        <w:r w:rsidRPr="0070080E">
          <w:rPr>
            <w:rStyle w:val="Hyperlink"/>
          </w:rPr>
          <w:t xml:space="preserve">Kahneman </w:t>
        </w:r>
        <w:r w:rsidR="00283DE3">
          <w:rPr>
            <w:rStyle w:val="Hyperlink"/>
          </w:rPr>
          <w:t>and</w:t>
        </w:r>
        <w:r w:rsidRPr="0070080E">
          <w:rPr>
            <w:rStyle w:val="Hyperlink"/>
          </w:rPr>
          <w:t xml:space="preserve"> Lovallo</w:t>
        </w:r>
        <w:r w:rsidR="00283DE3">
          <w:rPr>
            <w:rStyle w:val="Hyperlink"/>
          </w:rPr>
          <w:t xml:space="preserve"> (</w:t>
        </w:r>
        <w:r w:rsidRPr="0070080E">
          <w:rPr>
            <w:rStyle w:val="Hyperlink"/>
          </w:rPr>
          <w:t>1993</w:t>
        </w:r>
      </w:hyperlink>
      <w:r w:rsidR="00283DE3">
        <w:rPr>
          <w:rStyle w:val="Hyperlink"/>
        </w:rPr>
        <w:t>)</w:t>
      </w:r>
      <w:r w:rsidRPr="0070080E">
        <w:t xml:space="preserve"> established that cognitive capacity constraints are structural rather than correctible through expertise alone, while empirical studies</w:t>
      </w:r>
      <w:r w:rsidR="000A66AA">
        <w:t>—</w:t>
      </w:r>
      <w:r w:rsidRPr="0070080E">
        <w:t xml:space="preserve">including </w:t>
      </w:r>
      <w:hyperlink r:id="rId220">
        <w:r w:rsidRPr="0070080E">
          <w:rPr>
            <w:rStyle w:val="Hyperlink"/>
          </w:rPr>
          <w:t>Ben-David et al.</w:t>
        </w:r>
        <w:r w:rsidR="00283DE3">
          <w:rPr>
            <w:rStyle w:val="Hyperlink"/>
          </w:rPr>
          <w:t xml:space="preserve"> (</w:t>
        </w:r>
        <w:r w:rsidRPr="0070080E">
          <w:rPr>
            <w:rStyle w:val="Hyperlink"/>
          </w:rPr>
          <w:t>2013</w:t>
        </w:r>
      </w:hyperlink>
      <w:r w:rsidR="00283DE3">
        <w:rPr>
          <w:rStyle w:val="Hyperlink"/>
        </w:rPr>
        <w:t>)</w:t>
      </w:r>
      <w:r w:rsidRPr="0070080E">
        <w:t xml:space="preserve"> and </w:t>
      </w:r>
      <w:hyperlink r:id="rId221">
        <w:r w:rsidRPr="0070080E">
          <w:rPr>
            <w:rStyle w:val="Hyperlink"/>
          </w:rPr>
          <w:t>Huber et al.</w:t>
        </w:r>
        <w:r w:rsidR="00283DE3">
          <w:rPr>
            <w:rStyle w:val="Hyperlink"/>
          </w:rPr>
          <w:t xml:space="preserve"> (</w:t>
        </w:r>
        <w:r w:rsidRPr="0070080E">
          <w:rPr>
            <w:rStyle w:val="Hyperlink"/>
          </w:rPr>
          <w:t>2022</w:t>
        </w:r>
      </w:hyperlink>
      <w:r w:rsidR="00283DE3">
        <w:rPr>
          <w:rStyle w:val="Hyperlink"/>
        </w:rPr>
        <w:t>)</w:t>
      </w:r>
      <w:r w:rsidR="000A66AA">
        <w:t>—</w:t>
      </w:r>
      <w:r w:rsidRPr="0070080E">
        <w:t>documented that professional decision-makers exhibit systematic biases in risk perception and portfolio behavior. The subsections below review the persistence of these biases, situational shifts in risk preference, and procyclical portfolio decisions under market stress.</w:t>
      </w:r>
    </w:p>
    <w:p w14:paraId="3CB0FF97" w14:textId="59884E28" w:rsidR="00F67DDB" w:rsidRPr="0070080E" w:rsidRDefault="0094076D">
      <w:pPr>
        <w:pStyle w:val="Heading3"/>
      </w:pPr>
      <w:bookmarkStart w:id="87" w:name="X8390815e78e2170f37bec2a2c169f8e65622323"/>
      <w:r w:rsidRPr="0070080E">
        <w:t xml:space="preserve">3.3.1 Persistence of </w:t>
      </w:r>
      <w:r w:rsidR="000D245B" w:rsidRPr="0070080E">
        <w:t>B</w:t>
      </w:r>
      <w:r w:rsidRPr="0070080E">
        <w:t xml:space="preserve">ehavioral </w:t>
      </w:r>
      <w:r w:rsidR="000D245B" w:rsidRPr="0070080E">
        <w:t>B</w:t>
      </w:r>
      <w:r w:rsidRPr="0070080E">
        <w:t xml:space="preserve">ias </w:t>
      </w:r>
      <w:r w:rsidR="000D245B" w:rsidRPr="0070080E">
        <w:t>A</w:t>
      </w:r>
      <w:r w:rsidRPr="0070080E">
        <w:t xml:space="preserve">mong </w:t>
      </w:r>
      <w:r w:rsidR="000D245B" w:rsidRPr="0070080E">
        <w:t>E</w:t>
      </w:r>
      <w:r w:rsidRPr="0070080E">
        <w:t xml:space="preserve">xperienced </w:t>
      </w:r>
      <w:r w:rsidR="000D245B" w:rsidRPr="0070080E">
        <w:t>P</w:t>
      </w:r>
      <w:r w:rsidRPr="0070080E">
        <w:t>rofessionals</w:t>
      </w:r>
    </w:p>
    <w:p w14:paraId="3CB0FF98" w14:textId="25695E83" w:rsidR="00F67DDB" w:rsidRPr="0070080E" w:rsidRDefault="0094076D">
      <w:pPr>
        <w:pStyle w:val="FirstParagraph"/>
      </w:pPr>
      <w:r w:rsidRPr="0070080E">
        <w:t>The professional investment context is governed by real-world constraints</w:t>
      </w:r>
      <w:r w:rsidR="000A66AA">
        <w:t>—</w:t>
      </w:r>
      <w:r w:rsidRPr="0070080E">
        <w:t>bounded rationality, organizational pressure, and framing effects</w:t>
      </w:r>
      <w:r w:rsidR="000A66AA">
        <w:t>—</w:t>
      </w:r>
      <w:r w:rsidRPr="0070080E">
        <w:t>under which even experienced experts make predictably biased decisions despite training (</w:t>
      </w:r>
      <w:hyperlink r:id="rId222">
        <w:r w:rsidRPr="0070080E">
          <w:rPr>
            <w:rStyle w:val="Hyperlink"/>
          </w:rPr>
          <w:t>Simon, 1955</w:t>
        </w:r>
      </w:hyperlink>
      <w:r w:rsidRPr="0070080E">
        <w:t xml:space="preserve">; </w:t>
      </w:r>
      <w:hyperlink r:id="rId223">
        <w:r w:rsidRPr="0070080E">
          <w:rPr>
            <w:rStyle w:val="Hyperlink"/>
          </w:rPr>
          <w:t>Kahneman, 2003</w:t>
        </w:r>
      </w:hyperlink>
      <w:r w:rsidRPr="0070080E">
        <w:t>). Even seasoned, well-incentivized managers rely on heuristic shortcuts in decision-making, underscoring the limits of human rationality. Bounded rationality, a concept introduced by Simon (1955), posited that individuals face inherent constraints in cognitive capacity and information processing and therefore satisfice (seek a good-enough option) rather than optimally solve complex problems. In practice, this means that even professional managers with extensive training cannot exhaustively evaluate all alternatives or anticipate every possible outcome. Instead, they rely on experience-based rules of thumb and intuitive judgments, particularly under time pressure. While such heuristics facilitate decision-making, they also embed systematic biases, such as overconfidence or anchoring, that persist despite expertise.</w:t>
      </w:r>
    </w:p>
    <w:p w14:paraId="3CB0FF99" w14:textId="77777777" w:rsidR="00F67DDB" w:rsidRPr="0070080E" w:rsidRDefault="0094076D">
      <w:pPr>
        <w:pStyle w:val="BodyText"/>
      </w:pPr>
      <w:r w:rsidRPr="0070080E">
        <w:t>High-stakes managerial environments often exacerbate this reliance on heuristics. Portfolio and strategic decisions are typically made under tight time constraints and uncertain information, making exhaustive rational evaluation infeasible. The cognitive effort required to weigh all possible options and outcomes is prohibitive when markets move quickly or when a flood of data must be processed in real time. Thus, even rational, incentivized managers resort to mental shortcuts as a practical response to complexity and time pressure (</w:t>
      </w:r>
      <w:hyperlink r:id="rId224">
        <w:r w:rsidRPr="0070080E">
          <w:rPr>
            <w:rStyle w:val="Hyperlink"/>
          </w:rPr>
          <w:t>Simon, 1955</w:t>
        </w:r>
      </w:hyperlink>
      <w:r w:rsidRPr="0070080E">
        <w:t xml:space="preserve">; </w:t>
      </w:r>
      <w:hyperlink r:id="rId225">
        <w:r w:rsidRPr="0070080E">
          <w:rPr>
            <w:rStyle w:val="Hyperlink"/>
          </w:rPr>
          <w:t>Kahneman &amp; Lovallo, 1993</w:t>
        </w:r>
      </w:hyperlink>
      <w:r w:rsidRPr="0070080E">
        <w:t xml:space="preserve">; </w:t>
      </w:r>
      <w:hyperlink r:id="rId226">
        <w:r w:rsidRPr="0070080E">
          <w:rPr>
            <w:rStyle w:val="Hyperlink"/>
          </w:rPr>
          <w:t>March &amp; Shapira, 1987</w:t>
        </w:r>
      </w:hyperlink>
      <w:r w:rsidRPr="0070080E">
        <w:t>). This boundedly rational behavior reflects human information-processing limits rather than lack of knowledge or effort. Unfortunately, the shortcuts that make decision-making manageable can systematically skew perceptions of risk and return.</w:t>
      </w:r>
    </w:p>
    <w:p w14:paraId="3CB0FF9A" w14:textId="76B346ED" w:rsidR="00F67DDB" w:rsidRPr="0070080E" w:rsidRDefault="00000000">
      <w:pPr>
        <w:pStyle w:val="BodyText"/>
      </w:pPr>
      <w:hyperlink r:id="rId227">
        <w:r w:rsidR="0094076D" w:rsidRPr="0070080E">
          <w:rPr>
            <w:rStyle w:val="Hyperlink"/>
          </w:rPr>
          <w:t xml:space="preserve">Hodgkinson et al. </w:t>
        </w:r>
        <w:r w:rsidR="00291E97">
          <w:rPr>
            <w:rStyle w:val="Hyperlink"/>
          </w:rPr>
          <w:t>(</w:t>
        </w:r>
        <w:r w:rsidR="0094076D" w:rsidRPr="0070080E">
          <w:rPr>
            <w:rStyle w:val="Hyperlink"/>
          </w:rPr>
          <w:t>1999</w:t>
        </w:r>
      </w:hyperlink>
      <w:r w:rsidR="00291E97">
        <w:rPr>
          <w:rStyle w:val="Hyperlink"/>
        </w:rPr>
        <w:t>)</w:t>
      </w:r>
      <w:r w:rsidR="0094076D" w:rsidRPr="0070080E">
        <w:t xml:space="preserve"> showed that experience and expertise alone do not eliminate biases: framing can materially shift risky choices in strategic decision contexts, an effect that persists even among decision-makers with substantial managerial exposure. Likewise, Ben-David</w:t>
      </w:r>
      <w:r w:rsidR="00626445">
        <w:t xml:space="preserve"> et al.</w:t>
      </w:r>
      <w:r w:rsidR="0094076D" w:rsidRPr="0070080E">
        <w:t xml:space="preserve"> (2013) found that CFOs and other financial professionals produce severely miscalibrated forecasts, with confidence intervals far too narrow relative to realized market outcomes (</w:t>
      </w:r>
      <w:hyperlink r:id="rId228">
        <w:r w:rsidR="0094076D" w:rsidRPr="0070080E">
          <w:rPr>
            <w:rStyle w:val="Hyperlink"/>
          </w:rPr>
          <w:t>Ben-David et al., 2013</w:t>
        </w:r>
      </w:hyperlink>
      <w:r w:rsidR="0094076D" w:rsidRPr="0070080E">
        <w:t xml:space="preserve">). </w:t>
      </w:r>
      <w:hyperlink r:id="rId229">
        <w:r w:rsidR="0094076D" w:rsidRPr="0070080E">
          <w:rPr>
            <w:rStyle w:val="Hyperlink"/>
          </w:rPr>
          <w:t>March and Shapira (1987)</w:t>
        </w:r>
      </w:hyperlink>
      <w:r w:rsidR="0094076D" w:rsidRPr="0070080E">
        <w:t xml:space="preserve"> also found that many managers perceive themselves as less risk-averse than their peers and view risk as largely controllable through skill and information, consistent with overconfidence and an illusion of control. In short, professional training may raise awareness, but it does not fully immunize managers against bias in how they perceive and act on risky decisions.</w:t>
      </w:r>
    </w:p>
    <w:p w14:paraId="3CB0FF9B" w14:textId="77777777" w:rsidR="00F67DDB" w:rsidRPr="0070080E" w:rsidRDefault="0094076D">
      <w:pPr>
        <w:pStyle w:val="BodyText"/>
      </w:pPr>
      <w:r w:rsidRPr="0070080E">
        <w:t>The persistence of bias is evident in professional portfolio management as well. Frazzini (2006) documented that even institutional investors and fund managers exhibit many of the same biases as retail investors. For instance, extrapolation and optimism biases can lead market participants to overweight recent winners in their expectations and take on excessive risk, a pattern that can backfire when prices mean-revert and subsequent returns disappoint (</w:t>
      </w:r>
      <w:hyperlink r:id="rId230">
        <w:r w:rsidRPr="0070080E">
          <w:rPr>
            <w:rStyle w:val="Hyperlink"/>
          </w:rPr>
          <w:t>Baker &amp; Wurgler, 2007</w:t>
        </w:r>
      </w:hyperlink>
      <w:r w:rsidRPr="0070080E">
        <w:t>). Similarly, overconfidence is common: trading evidence showed that biased confidence drives frequent, costly trades and lower net performance (</w:t>
      </w:r>
      <w:hyperlink r:id="rId231">
        <w:r w:rsidRPr="0070080E">
          <w:rPr>
            <w:rStyle w:val="Hyperlink"/>
          </w:rPr>
          <w:t>Barber &amp; Odean, 2001</w:t>
        </w:r>
      </w:hyperlink>
      <w:r w:rsidRPr="0070080E">
        <w:t>). Professional decision-makers are also prone to herding and loss aversion, contributing to under-diversified portfolios and suboptimal investment timing (</w:t>
      </w:r>
      <w:hyperlink r:id="rId232">
        <w:r w:rsidRPr="0070080E">
          <w:rPr>
            <w:rStyle w:val="Hyperlink"/>
          </w:rPr>
          <w:t>Statman, 2019</w:t>
        </w:r>
      </w:hyperlink>
      <w:r w:rsidRPr="0070080E">
        <w:t>).</w:t>
      </w:r>
    </w:p>
    <w:p w14:paraId="3CB0FF9C" w14:textId="7D311D57" w:rsidR="00F67DDB" w:rsidRPr="0070080E" w:rsidRDefault="0094076D">
      <w:pPr>
        <w:pStyle w:val="BodyText"/>
      </w:pPr>
      <w:r w:rsidRPr="0070080E">
        <w:t xml:space="preserve">Knowing about cognitive biases is not sufficient to guarantee unbiased decisions. Decades of research and practical experience indicate that psychological insight must be complemented by structured decision support to improve judgment. </w:t>
      </w:r>
      <w:hyperlink r:id="rId233">
        <w:r w:rsidRPr="0070080E">
          <w:rPr>
            <w:rStyle w:val="Hyperlink"/>
          </w:rPr>
          <w:t>Kahneman et al.</w:t>
        </w:r>
        <w:r w:rsidR="00291E97">
          <w:rPr>
            <w:rStyle w:val="Hyperlink"/>
          </w:rPr>
          <w:t xml:space="preserve"> (</w:t>
        </w:r>
        <w:r w:rsidRPr="0070080E">
          <w:rPr>
            <w:rStyle w:val="Hyperlink"/>
          </w:rPr>
          <w:t>2021</w:t>
        </w:r>
      </w:hyperlink>
      <w:r w:rsidR="00291E97">
        <w:rPr>
          <w:rStyle w:val="Hyperlink"/>
        </w:rPr>
        <w:t>)</w:t>
      </w:r>
      <w:r w:rsidRPr="0070080E">
        <w:t xml:space="preserve"> argued that biases and noise cannot be reliably corrected through individual awareness alone and that organizations should instead rely on structured decision processes, rules, and judgment aggregation procedures to improve decision quality. In other words, mitigating bias requires more than awareness or good intentions; it demands systematic support tools and procedures that guide managers toward more rational and consistent choices. This need for structured debiasing mechanisms motivates the analysis in Section 3.4, which examines how decision-support frameworks can be designed to counteract persistent biases in managerial decision-making.</w:t>
      </w:r>
    </w:p>
    <w:p w14:paraId="3CB0FF9D" w14:textId="77777777" w:rsidR="00F67DDB" w:rsidRPr="0070080E" w:rsidRDefault="0094076D">
      <w:pPr>
        <w:pStyle w:val="Heading3"/>
      </w:pPr>
      <w:bookmarkStart w:id="88" w:name="situational-risk-preferences-in-practice"/>
      <w:bookmarkEnd w:id="87"/>
      <w:r w:rsidRPr="0070080E">
        <w:t>3.3.2 Situational Risk Preferences in Practice</w:t>
      </w:r>
    </w:p>
    <w:p w14:paraId="3CB0FF9E" w14:textId="7641BD15" w:rsidR="00F67DDB" w:rsidRPr="0070080E" w:rsidRDefault="00000000">
      <w:pPr>
        <w:pStyle w:val="FirstParagraph"/>
      </w:pPr>
      <w:hyperlink r:id="rId234">
        <w:r w:rsidR="0094076D" w:rsidRPr="0070080E">
          <w:rPr>
            <w:rStyle w:val="Hyperlink"/>
          </w:rPr>
          <w:t xml:space="preserve">March </w:t>
        </w:r>
        <w:r w:rsidR="00507C4E">
          <w:rPr>
            <w:rStyle w:val="Hyperlink"/>
          </w:rPr>
          <w:t>and</w:t>
        </w:r>
        <w:r w:rsidR="0094076D" w:rsidRPr="0070080E">
          <w:rPr>
            <w:rStyle w:val="Hyperlink"/>
          </w:rPr>
          <w:t xml:space="preserve"> Shapira</w:t>
        </w:r>
        <w:r w:rsidR="00291E97">
          <w:rPr>
            <w:rStyle w:val="Hyperlink"/>
          </w:rPr>
          <w:t xml:space="preserve"> (</w:t>
        </w:r>
        <w:r w:rsidR="0094076D" w:rsidRPr="0070080E">
          <w:rPr>
            <w:rStyle w:val="Hyperlink"/>
          </w:rPr>
          <w:t>1987</w:t>
        </w:r>
      </w:hyperlink>
      <w:r w:rsidR="00291E97">
        <w:rPr>
          <w:rStyle w:val="Hyperlink"/>
        </w:rPr>
        <w:t>)</w:t>
      </w:r>
      <w:r w:rsidR="0094076D" w:rsidRPr="0070080E">
        <w:t xml:space="preserve"> and </w:t>
      </w:r>
      <w:hyperlink r:id="rId235">
        <w:r w:rsidR="0094076D" w:rsidRPr="0070080E">
          <w:rPr>
            <w:rStyle w:val="Hyperlink"/>
          </w:rPr>
          <w:t xml:space="preserve">Kahneman </w:t>
        </w:r>
        <w:r w:rsidR="00507C4E">
          <w:rPr>
            <w:rStyle w:val="Hyperlink"/>
          </w:rPr>
          <w:t>and</w:t>
        </w:r>
        <w:r w:rsidR="0094076D" w:rsidRPr="0070080E">
          <w:rPr>
            <w:rStyle w:val="Hyperlink"/>
          </w:rPr>
          <w:t xml:space="preserve"> Tversky</w:t>
        </w:r>
        <w:r w:rsidR="00291E97">
          <w:rPr>
            <w:rStyle w:val="Hyperlink"/>
          </w:rPr>
          <w:t xml:space="preserve"> (</w:t>
        </w:r>
        <w:r w:rsidR="0094076D" w:rsidRPr="0070080E">
          <w:rPr>
            <w:rStyle w:val="Hyperlink"/>
          </w:rPr>
          <w:t>1979</w:t>
        </w:r>
      </w:hyperlink>
      <w:r w:rsidR="00291E97">
        <w:rPr>
          <w:rStyle w:val="Hyperlink"/>
        </w:rPr>
        <w:t>)</w:t>
      </w:r>
      <w:r w:rsidR="0094076D" w:rsidRPr="0070080E">
        <w:t xml:space="preserve"> showed that professional decision-makers become risk-seeking when performance falls short of an aspiration or target. </w:t>
      </w:r>
      <w:hyperlink r:id="rId236">
        <w:r w:rsidR="0094076D" w:rsidRPr="0070080E">
          <w:rPr>
            <w:rStyle w:val="Hyperlink"/>
          </w:rPr>
          <w:t>March and Shapira (1987)</w:t>
        </w:r>
      </w:hyperlink>
      <w:r w:rsidR="0094076D" w:rsidRPr="0070080E">
        <w:t xml:space="preserve"> provided early managerial evidence of this pattern: consistent with prospect theory intuition, a fixed target acts as a reference point, so when outcomes fall below the aspiration level, managers enter the loss domain and tend to increase risk-taking in an attempt to recover losses. </w:t>
      </w:r>
      <w:hyperlink r:id="rId237">
        <w:r w:rsidR="0094076D" w:rsidRPr="0070080E">
          <w:rPr>
            <w:rStyle w:val="Hyperlink"/>
          </w:rPr>
          <w:t>Wiseman and Gomez-Mejia (1998)</w:t>
        </w:r>
      </w:hyperlink>
      <w:r w:rsidR="0094076D" w:rsidRPr="0070080E">
        <w:t xml:space="preserve"> formalized this mechanism within a behavioral agency framework, showing that organizations whose performance falls below aspirations become more willing to take risks, particularly as they approach distress thresholds such as financial distress or bankruptcy. Extending the evidence to entrepreneurial contexts, Wennberg</w:t>
      </w:r>
      <w:r w:rsidR="00A849CB">
        <w:t xml:space="preserve"> et al.</w:t>
      </w:r>
      <w:r w:rsidR="0094076D" w:rsidRPr="0070080E">
        <w:t xml:space="preserve"> (2016) found that risk preferences are variable rather than fixed: decision-makers behave in a relatively risk-averse manner when performance meets or exceeds aspirations but become more risk-seeking once outcomes fall below benchmark levels (</w:t>
      </w:r>
      <w:hyperlink r:id="rId238">
        <w:r w:rsidR="0094076D" w:rsidRPr="0070080E">
          <w:rPr>
            <w:rStyle w:val="Hyperlink"/>
          </w:rPr>
          <w:t>Wennberg et al., 2016</w:t>
        </w:r>
      </w:hyperlink>
      <w:r w:rsidR="0094076D" w:rsidRPr="0070080E">
        <w:t>). Together, these findings indicated that framing outcomes relative to aspiration benchmarks can systematically flip risk preferences, even in the absence of explicit incentive changes.</w:t>
      </w:r>
    </w:p>
    <w:p w14:paraId="3CB0FF9F" w14:textId="77777777" w:rsidR="00F67DDB" w:rsidRPr="0070080E" w:rsidRDefault="0094076D">
      <w:pPr>
        <w:pStyle w:val="BodyText"/>
      </w:pPr>
      <w:r w:rsidRPr="0070080E">
        <w:t xml:space="preserve">These biases often intensify during market downturns, despite managers’ professional training. </w:t>
      </w:r>
      <w:hyperlink r:id="rId239">
        <w:r w:rsidRPr="0070080E">
          <w:rPr>
            <w:rStyle w:val="Hyperlink"/>
          </w:rPr>
          <w:t>Huber et al. (2022)</w:t>
        </w:r>
      </w:hyperlink>
      <w:r w:rsidRPr="0070080E">
        <w:t xml:space="preserve"> found that during the COVID-19 market crash, finance professionals significantly reduced their allocations to risky assets even though fundamentals and price expectations remained unchanged, a pattern consistent with heightened situational risk aversion under stress. This suggests that acute stress during sharp market declines can override deliberative planning, amplifying situational risk preferences even among experienced decision-makers.</w:t>
      </w:r>
    </w:p>
    <w:p w14:paraId="3CB0FFA0" w14:textId="3E7FED8A" w:rsidR="00F67DDB" w:rsidRPr="0070080E" w:rsidRDefault="0094076D">
      <w:pPr>
        <w:pStyle w:val="Heading3"/>
      </w:pPr>
      <w:bookmarkStart w:id="89" w:name="X06fecd710e4774543c7d03ad1a07b3e878128a0"/>
      <w:bookmarkEnd w:id="88"/>
      <w:r w:rsidRPr="0070080E">
        <w:t xml:space="preserve">3.3.3 Procyclical </w:t>
      </w:r>
      <w:r w:rsidR="000D245B" w:rsidRPr="0070080E">
        <w:t>P</w:t>
      </w:r>
      <w:r w:rsidRPr="0070080E">
        <w:t xml:space="preserve">ortfolio </w:t>
      </w:r>
      <w:r w:rsidR="000D245B" w:rsidRPr="0070080E">
        <w:t>D</w:t>
      </w:r>
      <w:r w:rsidRPr="0070080E">
        <w:t xml:space="preserve">ecisions </w:t>
      </w:r>
      <w:r w:rsidR="000D245B" w:rsidRPr="0070080E">
        <w:t>U</w:t>
      </w:r>
      <w:r w:rsidRPr="0070080E">
        <w:t xml:space="preserve">nder </w:t>
      </w:r>
      <w:r w:rsidR="000D245B" w:rsidRPr="0070080E">
        <w:t>S</w:t>
      </w:r>
      <w:r w:rsidRPr="0070080E">
        <w:t>tress</w:t>
      </w:r>
    </w:p>
    <w:p w14:paraId="3CB0FFA1" w14:textId="77777777" w:rsidR="00F67DDB" w:rsidRPr="0070080E" w:rsidRDefault="0094076D">
      <w:pPr>
        <w:pStyle w:val="FirstParagraph"/>
      </w:pPr>
      <w:r w:rsidRPr="0070080E">
        <w:t xml:space="preserve">The situational biases documented above translate into observable portfolio-level decision patterns. Herding and trend-chasing can creep into rebalancing practices, and stress can push professionals toward procyclical behavior consistent with ‘buying high and selling low.’ </w:t>
      </w:r>
      <w:hyperlink r:id="rId240">
        <w:r w:rsidRPr="0070080E">
          <w:rPr>
            <w:rStyle w:val="Hyperlink"/>
          </w:rPr>
          <w:t>Lo and Repin (2002)</w:t>
        </w:r>
      </w:hyperlink>
      <w:r w:rsidRPr="0070080E">
        <w:t xml:space="preserve"> showed through physiological measurement that emotional arousal and stress measurably affect professional traders’ real-time risk processing, helping explain panic-like trading under pressure.</w:t>
      </w:r>
    </w:p>
    <w:p w14:paraId="3CB0FFA2" w14:textId="77777777" w:rsidR="00F67DDB" w:rsidRPr="0070080E" w:rsidRDefault="0094076D">
      <w:pPr>
        <w:pStyle w:val="BodyText"/>
      </w:pPr>
      <w:r w:rsidRPr="0070080E">
        <w:t>Consistent with this mechanism, Elkind et al. (2022) showed that extreme market conditions trigger panic selling and rapid exits rather than disciplined rebalancing, leading to excessive turnover and destabilizing price pressure. Under stress, managers may also de-risk portfolios for non-fundamental reasons. For example, fund managers reduced risk exposure by nearly 9 percent during culturally ‘unlucky’ periods, highlighting how non-financial pressures and superstition can induce systematic allocation errors (</w:t>
      </w:r>
      <w:hyperlink r:id="rId241">
        <w:r w:rsidRPr="0070080E">
          <w:rPr>
            <w:rStyle w:val="Hyperlink"/>
          </w:rPr>
          <w:t>Chen et al., 2024</w:t>
        </w:r>
      </w:hyperlink>
      <w:r w:rsidRPr="0070080E">
        <w:t>).</w:t>
      </w:r>
    </w:p>
    <w:p w14:paraId="3CB0FFA3" w14:textId="0E7BAE16" w:rsidR="00F67DDB" w:rsidRPr="0070080E" w:rsidRDefault="00000000">
      <w:pPr>
        <w:pStyle w:val="BodyText"/>
      </w:pPr>
      <w:hyperlink r:id="rId242">
        <w:r w:rsidR="00095317" w:rsidRPr="00095317">
          <w:rPr>
            <w:rStyle w:val="Hyperlink"/>
          </w:rPr>
          <w:t xml:space="preserve">Bianchi </w:t>
        </w:r>
        <w:r w:rsidR="0088599C">
          <w:rPr>
            <w:rStyle w:val="Hyperlink"/>
          </w:rPr>
          <w:t>and</w:t>
        </w:r>
        <w:r w:rsidR="00095317" w:rsidRPr="00095317">
          <w:rPr>
            <w:rStyle w:val="Hyperlink"/>
          </w:rPr>
          <w:t xml:space="preserve"> Briere</w:t>
        </w:r>
        <w:r w:rsidR="0088599C">
          <w:rPr>
            <w:rStyle w:val="Hyperlink"/>
          </w:rPr>
          <w:t xml:space="preserve"> (</w:t>
        </w:r>
        <w:r w:rsidR="0094076D" w:rsidRPr="0070080E">
          <w:rPr>
            <w:rStyle w:val="Hyperlink"/>
          </w:rPr>
          <w:t>202</w:t>
        </w:r>
        <w:r w:rsidR="00095317">
          <w:rPr>
            <w:rStyle w:val="Hyperlink"/>
          </w:rPr>
          <w:t>1</w:t>
        </w:r>
      </w:hyperlink>
      <w:r w:rsidR="0088599C">
        <w:rPr>
          <w:rStyle w:val="Hyperlink"/>
        </w:rPr>
        <w:t>)</w:t>
      </w:r>
      <w:r w:rsidR="0094076D" w:rsidRPr="0070080E">
        <w:t xml:space="preserve"> studied how explainability in robo-advisory systems affects investor trust and delegation decisions, highlighting the importance of transparent, rule-based decision support in human–AI interaction. Complementary work recommended rule-based protocols, such as fixed-schedule rebalancing or performance-triggered adjustments, as a way to limit emotional interference in portfolio decisions (</w:t>
      </w:r>
      <w:hyperlink r:id="rId243">
        <w:r w:rsidR="0094076D" w:rsidRPr="0070080E">
          <w:rPr>
            <w:rStyle w:val="Hyperlink"/>
          </w:rPr>
          <w:t>Statman, 2019</w:t>
        </w:r>
      </w:hyperlink>
      <w:r w:rsidR="0094076D" w:rsidRPr="0070080E">
        <w:t>). In summary, structured tools and disciplined procedures, rather than intuition alone, are required to help professional investors avoid persistent cognitive traps.</w:t>
      </w:r>
    </w:p>
    <w:p w14:paraId="3CB0FFA4" w14:textId="77777777" w:rsidR="00F67DDB" w:rsidRPr="0070080E" w:rsidRDefault="0094076D">
      <w:pPr>
        <w:pStyle w:val="Heading2"/>
      </w:pPr>
      <w:bookmarkStart w:id="90" w:name="_Toc231913447"/>
      <w:bookmarkStart w:id="91" w:name="Xa1294a1114faffc2f83c756547fa7775ca115c0"/>
      <w:bookmarkEnd w:id="86"/>
      <w:bookmarkEnd w:id="89"/>
      <w:r w:rsidRPr="0070080E">
        <w:t>3.4 Tools to Mitigate Emotional and Behavioral Bias</w:t>
      </w:r>
      <w:bookmarkEnd w:id="90"/>
    </w:p>
    <w:p w14:paraId="3CB0FFA5" w14:textId="43C52B9E" w:rsidR="00F67DDB" w:rsidRPr="0070080E" w:rsidRDefault="0094076D">
      <w:pPr>
        <w:pStyle w:val="FirstParagraph"/>
      </w:pPr>
      <w:r w:rsidRPr="0070080E">
        <w:t>This section surveys the principal mechanisms developed to reduce the influence of behavioral bias in investment decision-making. Rule-based pre-commitment tools and automated systems</w:t>
      </w:r>
      <w:r w:rsidR="000A66AA">
        <w:t>—</w:t>
      </w:r>
      <w:r w:rsidRPr="0070080E">
        <w:t xml:space="preserve">reviewed by </w:t>
      </w:r>
      <w:hyperlink r:id="rId244">
        <w:r w:rsidRPr="0070080E">
          <w:rPr>
            <w:rStyle w:val="Hyperlink"/>
          </w:rPr>
          <w:t>Statman</w:t>
        </w:r>
        <w:r w:rsidR="005D3710">
          <w:rPr>
            <w:rStyle w:val="Hyperlink"/>
          </w:rPr>
          <w:t xml:space="preserve"> (</w:t>
        </w:r>
        <w:r w:rsidRPr="0070080E">
          <w:rPr>
            <w:rStyle w:val="Hyperlink"/>
          </w:rPr>
          <w:t>2019</w:t>
        </w:r>
      </w:hyperlink>
      <w:r w:rsidR="005D3710">
        <w:rPr>
          <w:rStyle w:val="Hyperlink"/>
        </w:rPr>
        <w:t>)</w:t>
      </w:r>
      <w:r w:rsidRPr="0070080E">
        <w:t xml:space="preserve"> and </w:t>
      </w:r>
      <w:hyperlink r:id="rId245">
        <w:r w:rsidRPr="0070080E">
          <w:rPr>
            <w:rStyle w:val="Hyperlink"/>
          </w:rPr>
          <w:t>Henderson et al.</w:t>
        </w:r>
        <w:r w:rsidR="005D3710">
          <w:rPr>
            <w:rStyle w:val="Hyperlink"/>
          </w:rPr>
          <w:t xml:space="preserve"> (</w:t>
        </w:r>
        <w:r w:rsidRPr="0070080E">
          <w:rPr>
            <w:rStyle w:val="Hyperlink"/>
          </w:rPr>
          <w:t>2018</w:t>
        </w:r>
      </w:hyperlink>
      <w:r w:rsidR="005D3710">
        <w:rPr>
          <w:rStyle w:val="Hyperlink"/>
        </w:rPr>
        <w:t>)</w:t>
      </w:r>
      <w:r w:rsidR="000A66AA">
        <w:t>—</w:t>
      </w:r>
      <w:r w:rsidRPr="0070080E">
        <w:t xml:space="preserve">represent the dominant approaches, while </w:t>
      </w:r>
      <w:hyperlink r:id="rId246">
        <w:r w:rsidRPr="0070080E">
          <w:rPr>
            <w:rStyle w:val="Hyperlink"/>
          </w:rPr>
          <w:t>Goodell et al.</w:t>
        </w:r>
        <w:r w:rsidR="005D3710">
          <w:rPr>
            <w:rStyle w:val="Hyperlink"/>
          </w:rPr>
          <w:t xml:space="preserve"> (</w:t>
        </w:r>
        <w:r w:rsidRPr="0070080E">
          <w:rPr>
            <w:rStyle w:val="Hyperlink"/>
          </w:rPr>
          <w:t>2023</w:t>
        </w:r>
      </w:hyperlink>
      <w:r w:rsidR="005D3710">
        <w:rPr>
          <w:rStyle w:val="Hyperlink"/>
        </w:rPr>
        <w:t>)</w:t>
      </w:r>
      <w:r w:rsidRPr="0070080E">
        <w:t xml:space="preserve"> and </w:t>
      </w:r>
      <w:hyperlink r:id="rId247">
        <w:r w:rsidR="00095317" w:rsidRPr="00095317">
          <w:rPr>
            <w:rStyle w:val="Hyperlink"/>
          </w:rPr>
          <w:t xml:space="preserve">Bianchi </w:t>
        </w:r>
        <w:r w:rsidR="00507C4E">
          <w:rPr>
            <w:rStyle w:val="Hyperlink"/>
          </w:rPr>
          <w:t>and</w:t>
        </w:r>
        <w:r w:rsidR="00095317" w:rsidRPr="00095317">
          <w:rPr>
            <w:rStyle w:val="Hyperlink"/>
          </w:rPr>
          <w:t xml:space="preserve"> Briere</w:t>
        </w:r>
        <w:r w:rsidR="005D3710">
          <w:rPr>
            <w:rStyle w:val="Hyperlink"/>
          </w:rPr>
          <w:t xml:space="preserve"> (</w:t>
        </w:r>
        <w:r w:rsidRPr="0070080E">
          <w:rPr>
            <w:rStyle w:val="Hyperlink"/>
          </w:rPr>
          <w:t>202</w:t>
        </w:r>
        <w:r w:rsidR="00095317">
          <w:rPr>
            <w:rStyle w:val="Hyperlink"/>
          </w:rPr>
          <w:t>1</w:t>
        </w:r>
      </w:hyperlink>
      <w:r w:rsidR="005D3710">
        <w:rPr>
          <w:rStyle w:val="Hyperlink"/>
        </w:rPr>
        <w:t>)</w:t>
      </w:r>
      <w:r w:rsidRPr="0070080E">
        <w:t xml:space="preserve"> highlight the limitations of these tools in addressing behavioral vulnerability at the point of decision. The subsections below assess each approach and identify the gap that motivates the Shock Score developed in this thesis.</w:t>
      </w:r>
    </w:p>
    <w:p w14:paraId="3CB0FFA6" w14:textId="77777777" w:rsidR="00F67DDB" w:rsidRPr="0070080E" w:rsidRDefault="0094076D">
      <w:pPr>
        <w:pStyle w:val="Heading3"/>
      </w:pPr>
      <w:bookmarkStart w:id="92" w:name="Xf21543b61e72516548d9125bdce9de0b60f4e4f"/>
      <w:r w:rsidRPr="0070080E">
        <w:t>3.4.1 Rule-Based Approaches and Pre-Commitment Mechanisms</w:t>
      </w:r>
    </w:p>
    <w:p w14:paraId="3CB0FFA7" w14:textId="77777777" w:rsidR="00F67DDB" w:rsidRPr="0070080E" w:rsidRDefault="0094076D">
      <w:pPr>
        <w:pStyle w:val="FirstParagraph"/>
      </w:pPr>
      <w:r w:rsidRPr="0070080E">
        <w:t>Many advisors rely on structured plans and decision rules to curb emotion-driven trading. For example, drafting an investment policy statement that clearly defines objectives, risk limits, and rebalancing rules can provide an objective framework for portfolio management and help reduce emotional reactions (</w:t>
      </w:r>
      <w:hyperlink r:id="rId248">
        <w:r w:rsidRPr="0070080E">
          <w:rPr>
            <w:rStyle w:val="Hyperlink"/>
          </w:rPr>
          <w:t>Statman, 2019</w:t>
        </w:r>
      </w:hyperlink>
      <w:r w:rsidRPr="0070080E">
        <w:t>).</w:t>
      </w:r>
    </w:p>
    <w:p w14:paraId="3CB0FFA8" w14:textId="77777777" w:rsidR="00F67DDB" w:rsidRPr="0070080E" w:rsidRDefault="0094076D">
      <w:pPr>
        <w:pStyle w:val="BodyText"/>
      </w:pPr>
      <w:r w:rsidRPr="0070080E">
        <w:t>Pre-commitment devices, such as automatic rebalancing schedules or predefined stop-loss and profit-taking triggers, shift decisions from reactive to procedural. Behavioral finance research emphasized that committing in advance to explicit decision rules is one of the most effective ways to reduce emotional reactivity because such rules remain binding even when emotions run high (</w:t>
      </w:r>
      <w:hyperlink r:id="rId249">
        <w:r w:rsidRPr="0070080E">
          <w:rPr>
            <w:rStyle w:val="Hyperlink"/>
          </w:rPr>
          <w:t>Thaler &amp; Benartzi, 2004</w:t>
        </w:r>
      </w:hyperlink>
      <w:r w:rsidRPr="0070080E">
        <w:t xml:space="preserve">; </w:t>
      </w:r>
      <w:hyperlink r:id="rId250">
        <w:r w:rsidRPr="0070080E">
          <w:rPr>
            <w:rStyle w:val="Hyperlink"/>
          </w:rPr>
          <w:t>Henderson et al., 2018</w:t>
        </w:r>
      </w:hyperlink>
      <w:r w:rsidRPr="0070080E">
        <w:t>). Although effective for discipline, these tools rely entirely on consistent human adherence, and their effectiveness diminishes under high emotional strain, market crises, or cognitive overload.</w:t>
      </w:r>
    </w:p>
    <w:p w14:paraId="3CB0FFA9" w14:textId="77777777" w:rsidR="00F67DDB" w:rsidRPr="0070080E" w:rsidRDefault="0094076D">
      <w:pPr>
        <w:pStyle w:val="Heading3"/>
      </w:pPr>
      <w:bookmarkStart w:id="93" w:name="automated-and-ai-driven-approaches"/>
      <w:bookmarkEnd w:id="92"/>
      <w:r w:rsidRPr="0070080E">
        <w:t>3.4.2 Automated and AI-Driven Approaches</w:t>
      </w:r>
    </w:p>
    <w:p w14:paraId="3CB0FFAA" w14:textId="3C6C2B43" w:rsidR="00F67DDB" w:rsidRPr="0070080E" w:rsidRDefault="0094076D">
      <w:pPr>
        <w:pStyle w:val="FirstParagraph"/>
      </w:pPr>
      <w:r w:rsidRPr="0070080E">
        <w:t>Beyond static rules, automation can reduce the influence of human emotion on trading decisions. Robo-advisors and algorithmic systems base portfolio actions on data-driven models and predefined rules, limiting discretionary reactions and helping investors remain aligned with long-term strategies (</w:t>
      </w:r>
      <w:hyperlink r:id="rId251">
        <w:r w:rsidRPr="0070080E">
          <w:rPr>
            <w:rStyle w:val="Hyperlink"/>
          </w:rPr>
          <w:t>Jung et al., 2018</w:t>
        </w:r>
      </w:hyperlink>
      <w:r w:rsidRPr="0070080E">
        <w:t xml:space="preserve">; </w:t>
      </w:r>
      <w:hyperlink r:id="rId252">
        <w:r w:rsidRPr="0070080E">
          <w:rPr>
            <w:rStyle w:val="Hyperlink"/>
          </w:rPr>
          <w:t>Baker &amp; Dellaert, 201</w:t>
        </w:r>
        <w:r w:rsidR="005008B4">
          <w:rPr>
            <w:rStyle w:val="Hyperlink"/>
          </w:rPr>
          <w:t>7</w:t>
        </w:r>
      </w:hyperlink>
      <w:r w:rsidRPr="0070080E">
        <w:t>). Algorithmic portfolios execute buy and sell decisions according to preset logic, irrespective of investor panic or euphoria.</w:t>
      </w:r>
    </w:p>
    <w:p w14:paraId="3CB0FFAB" w14:textId="77777777" w:rsidR="00F67DDB" w:rsidRPr="0070080E" w:rsidRDefault="0094076D">
      <w:pPr>
        <w:pStyle w:val="BodyText"/>
      </w:pPr>
      <w:r w:rsidRPr="0070080E">
        <w:t>Automated systems have important limitations. They rely on historical data and user-specified inputs, such as risk preferences, which may themselves embed biases. Moreover, purely automated models can struggle in novel or ambiguous environments. For this reason, researchers emphasized that high-stakes decision systems should combine automation with interpretable models, human oversight, and robust governance and audit mechanisms (</w:t>
      </w:r>
      <w:hyperlink r:id="rId253">
        <w:r w:rsidRPr="0070080E">
          <w:rPr>
            <w:rStyle w:val="Hyperlink"/>
          </w:rPr>
          <w:t>Rudin, 2019</w:t>
        </w:r>
      </w:hyperlink>
      <w:r w:rsidRPr="0070080E">
        <w:t>).</w:t>
      </w:r>
    </w:p>
    <w:p w14:paraId="3CB0FFAC" w14:textId="77777777" w:rsidR="00F67DDB" w:rsidRPr="0070080E" w:rsidRDefault="0094076D">
      <w:pPr>
        <w:pStyle w:val="BodyText"/>
      </w:pPr>
      <w:r w:rsidRPr="0070080E">
        <w:t>A further limitation concerns not the construction of these systems but their reception by the people meant to use them. Even well-designed algorithmic aids are frequently underused: decision-makers tend to discount advice that is identifiably algorithmic, and to abandon such aids quickly after seeing them err, a tendency documented as algorithm aversion (</w:t>
      </w:r>
      <w:hyperlink r:id="rId254">
        <w:r w:rsidRPr="0070080E">
          <w:rPr>
            <w:rStyle w:val="Hyperlink"/>
          </w:rPr>
          <w:t>Dietvorst et al., 2015</w:t>
        </w:r>
      </w:hyperlink>
      <w:r w:rsidRPr="0070080E">
        <w:t>) and, more generally, as the discounting of external advice relative to one’s own judgment (</w:t>
      </w:r>
      <w:hyperlink r:id="rId255">
        <w:r w:rsidRPr="0070080E">
          <w:rPr>
            <w:rStyle w:val="Hyperlink"/>
          </w:rPr>
          <w:t>Angelova et al., 2023</w:t>
        </w:r>
      </w:hyperlink>
      <w:r w:rsidRPr="0070080E">
        <w:t>). The tendency is particularly relevant for experienced professionals, whose confidence in their own expertise can lead them to override structured signals; it implies that the effectiveness of a decision-support tool depends not only on the quality of the signal it produces but also on whether its intended users are willing to rely on it.</w:t>
      </w:r>
    </w:p>
    <w:p w14:paraId="3CB0FFAD" w14:textId="77777777" w:rsidR="00F67DDB" w:rsidRPr="0070080E" w:rsidRDefault="0094076D">
      <w:pPr>
        <w:pStyle w:val="BodyText"/>
      </w:pPr>
      <w:r w:rsidRPr="0070080E">
        <w:t>Some financial institutions employ text-based analytics to detect behavioral signals in analyst reports and news flows. Research using computational analysis of financial language showed that media tone and framing influence investor behavior and market dynamics, enabling the identification of sentiment-driven and herding-related biases (</w:t>
      </w:r>
      <w:hyperlink r:id="rId256">
        <w:r w:rsidRPr="0070080E">
          <w:rPr>
            <w:rStyle w:val="Hyperlink"/>
          </w:rPr>
          <w:t>Tetlock, 2007</w:t>
        </w:r>
      </w:hyperlink>
      <w:r w:rsidRPr="0070080E">
        <w:t>).</w:t>
      </w:r>
    </w:p>
    <w:p w14:paraId="3CB0FFAE" w14:textId="77777777" w:rsidR="00F67DDB" w:rsidRPr="0070080E" w:rsidRDefault="0094076D">
      <w:pPr>
        <w:pStyle w:val="BodyText"/>
      </w:pPr>
      <w:r w:rsidRPr="0070080E">
        <w:t>A recent proof-of-concept study by Lim (2026) illustrated the current state of the art in AI-driven behavioral decision support. The system integrated FinBERT for real-time market sentiment classification, DistilBERT for behavioral profiling of trader actions, and a large language model for personalized risk advisory generation. Evaluated across 1,500 simulated trading sessions spanning crisis, speculative, and stable market regimes, the system reduced panic-driven trade volume by approximately 44 percent in the high-volatility scenario and achieved statistically significant reductions in portfolio variance (</w:t>
      </w:r>
      <w:hyperlink r:id="rId257">
        <w:r w:rsidRPr="0070080E">
          <w:rPr>
            <w:rStyle w:val="Hyperlink"/>
          </w:rPr>
          <w:t>Lim, 2026</w:t>
        </w:r>
      </w:hyperlink>
      <w:r w:rsidRPr="0070080E">
        <w:t>). However, the study is explicitly a technical feasibility exercise conducted entirely with scripted algorithmic agents: no human participants were involved, and Lim acknowledged that the results cannot be interpreted as evidence of behavioral change in real traders. The study consequently called for future work involving pilot user studies and longitudinal evaluations with practicing investors to establish whether AI-driven advisory interventions produce the behavioral effects observed in simulation.</w:t>
      </w:r>
    </w:p>
    <w:p w14:paraId="3CB0FFAF" w14:textId="77777777" w:rsidR="00F67DDB" w:rsidRPr="0070080E" w:rsidRDefault="0094076D">
      <w:pPr>
        <w:pStyle w:val="Heading3"/>
      </w:pPr>
      <w:bookmarkStart w:id="94" w:name="Xe048acef8c629e7ce8258c8e1f69cccf3e15884"/>
      <w:bookmarkEnd w:id="93"/>
      <w:r w:rsidRPr="0070080E">
        <w:t>3.4.3 Quantifying Bias: Metrics and Behavioral Factor Models</w:t>
      </w:r>
    </w:p>
    <w:p w14:paraId="3CB0FFB0" w14:textId="77777777" w:rsidR="00F67DDB" w:rsidRPr="0070080E" w:rsidRDefault="0094076D">
      <w:pPr>
        <w:pStyle w:val="FirstParagraph"/>
      </w:pPr>
      <w:r w:rsidRPr="0070080E">
        <w:t>A critical advancement in behavioral finance is the quantitative operationalization of investor biases. Recent systematic review evidence synthesized findings on a broad set of behavioral anomalies, including the disposition effect, excessive trading, and attention-driven behavior, and documented how these biases are empirically proxied in portfolio-level and trading data while emphasizing the inherent limitations of such measures (</w:t>
      </w:r>
      <w:hyperlink r:id="rId258">
        <w:r w:rsidRPr="0070080E">
          <w:rPr>
            <w:rStyle w:val="Hyperlink"/>
          </w:rPr>
          <w:t>Goodell et al., 2023</w:t>
        </w:r>
      </w:hyperlink>
      <w:r w:rsidRPr="0070080E">
        <w:t>).</w:t>
      </w:r>
    </w:p>
    <w:p w14:paraId="3CB0FFB1" w14:textId="79CC61C2" w:rsidR="00F67DDB" w:rsidRPr="0070080E" w:rsidRDefault="00000000">
      <w:pPr>
        <w:pStyle w:val="BodyText"/>
      </w:pPr>
      <w:hyperlink r:id="rId259">
        <w:r w:rsidR="0094076D" w:rsidRPr="0070080E">
          <w:rPr>
            <w:rStyle w:val="Hyperlink"/>
          </w:rPr>
          <w:t xml:space="preserve">Thaler </w:t>
        </w:r>
        <w:r w:rsidR="00352772">
          <w:rPr>
            <w:rStyle w:val="Hyperlink"/>
          </w:rPr>
          <w:t>and</w:t>
        </w:r>
        <w:r w:rsidR="0094076D" w:rsidRPr="0070080E">
          <w:rPr>
            <w:rStyle w:val="Hyperlink"/>
          </w:rPr>
          <w:t xml:space="preserve"> Sunstein</w:t>
        </w:r>
        <w:r w:rsidR="005D3710">
          <w:rPr>
            <w:rStyle w:val="Hyperlink"/>
          </w:rPr>
          <w:t xml:space="preserve"> (</w:t>
        </w:r>
        <w:r w:rsidR="0094076D" w:rsidRPr="0070080E">
          <w:rPr>
            <w:rStyle w:val="Hyperlink"/>
          </w:rPr>
          <w:t>2008</w:t>
        </w:r>
      </w:hyperlink>
      <w:r w:rsidR="005D3710">
        <w:rPr>
          <w:rStyle w:val="Hyperlink"/>
        </w:rPr>
        <w:t>)</w:t>
      </w:r>
      <w:r w:rsidR="0094076D" w:rsidRPr="0070080E">
        <w:t xml:space="preserve"> and </w:t>
      </w:r>
      <w:hyperlink r:id="rId260">
        <w:r w:rsidR="0094076D" w:rsidRPr="0070080E">
          <w:rPr>
            <w:rStyle w:val="Hyperlink"/>
          </w:rPr>
          <w:t>Kahneman et al.</w:t>
        </w:r>
        <w:r w:rsidR="005D3710">
          <w:rPr>
            <w:rStyle w:val="Hyperlink"/>
          </w:rPr>
          <w:t xml:space="preserve"> (</w:t>
        </w:r>
        <w:r w:rsidR="0094076D" w:rsidRPr="0070080E">
          <w:rPr>
            <w:rStyle w:val="Hyperlink"/>
          </w:rPr>
          <w:t>2021</w:t>
        </w:r>
      </w:hyperlink>
      <w:r w:rsidR="005D3710">
        <w:rPr>
          <w:rStyle w:val="Hyperlink"/>
        </w:rPr>
        <w:t>)</w:t>
      </w:r>
      <w:r w:rsidR="0094076D" w:rsidRPr="0070080E">
        <w:t xml:space="preserve"> established that improving outcomes under uncertainty requires more than awareness of behavioral biases. Effective mitigation depends on structured, ex ante mechanisms that constrain discretionary judgment when emotional and cognitive pressures are highest. Within this framework, the Shock Score is best understood not as a forecasting model or automated trading system but as a behavioral decision-support trigger. By quantifying the intensity of an information shock in real time, the Shock Score can activate pre-committed decision protocols, such as temporary risk limits, delayed execution, or enhanced review requirements, precisely when managers are most vulnerable to bias. This intervention logic provides the theoretical basis for the second research hypothesis, which evaluates whether incorporating a Shock Score into the decision process improves portfolio outcomes relative to unmanaged discretionary responses during information shocks.</w:t>
      </w:r>
    </w:p>
    <w:p w14:paraId="3CB0FFB2" w14:textId="77777777" w:rsidR="00F67DDB" w:rsidRPr="0070080E" w:rsidRDefault="0094076D">
      <w:pPr>
        <w:pStyle w:val="Heading2"/>
      </w:pPr>
      <w:bookmarkStart w:id="95" w:name="_Toc231913448"/>
      <w:bookmarkStart w:id="96" w:name="implications-for-portfolio-management"/>
      <w:bookmarkEnd w:id="91"/>
      <w:bookmarkEnd w:id="94"/>
      <w:r w:rsidRPr="0070080E">
        <w:t>3.5 Implications for Portfolio Management</w:t>
      </w:r>
      <w:bookmarkEnd w:id="95"/>
    </w:p>
    <w:p w14:paraId="3CB0FFB3" w14:textId="4E44F888" w:rsidR="00F67DDB" w:rsidRPr="0070080E" w:rsidRDefault="0094076D">
      <w:pPr>
        <w:pStyle w:val="FirstParagraph"/>
      </w:pPr>
      <w:r w:rsidRPr="0070080E">
        <w:t>Behavioral theory and the empirical finance evidence reviewed in Sections 3.1 to 3.4 converge on a common implication for practical investment management: unmanaged bias degrades portfolio quality at the point of decision, and measurement-based tools designed to operate at that point, among them the Shock Score developed in this thesis, provide a candidate mechanism for restoring decision discipline under stress (</w:t>
      </w:r>
      <w:hyperlink r:id="rId261">
        <w:r w:rsidRPr="0070080E">
          <w:rPr>
            <w:rStyle w:val="Hyperlink"/>
          </w:rPr>
          <w:t>Statman, 2019</w:t>
        </w:r>
      </w:hyperlink>
      <w:r w:rsidRPr="0070080E">
        <w:t xml:space="preserve">; </w:t>
      </w:r>
      <w:hyperlink r:id="rId262">
        <w:r w:rsidR="00095317" w:rsidRPr="00095317">
          <w:rPr>
            <w:rStyle w:val="Hyperlink"/>
          </w:rPr>
          <w:t>Bianchi &amp; Briere</w:t>
        </w:r>
        <w:r w:rsidRPr="0070080E">
          <w:rPr>
            <w:rStyle w:val="Hyperlink"/>
          </w:rPr>
          <w:t>, 202</w:t>
        </w:r>
        <w:r w:rsidR="00095317">
          <w:rPr>
            <w:rStyle w:val="Hyperlink"/>
          </w:rPr>
          <w:t>1</w:t>
        </w:r>
      </w:hyperlink>
      <w:r w:rsidRPr="0070080E">
        <w:t>). Given the presence of bounded rationality and behavioral biases documented in prior sections, investment professionals rely on heuristics and simplified decision frames when processing complex market information (</w:t>
      </w:r>
      <w:hyperlink r:id="rId263">
        <w:r w:rsidRPr="0070080E">
          <w:rPr>
            <w:rStyle w:val="Hyperlink"/>
          </w:rPr>
          <w:t>Simon, 1955</w:t>
        </w:r>
      </w:hyperlink>
      <w:r w:rsidRPr="0070080E">
        <w:t xml:space="preserve">; </w:t>
      </w:r>
      <w:hyperlink r:id="rId264">
        <w:r w:rsidRPr="0070080E">
          <w:rPr>
            <w:rStyle w:val="Hyperlink"/>
          </w:rPr>
          <w:t>Statman, 2019</w:t>
        </w:r>
      </w:hyperlink>
      <w:r w:rsidRPr="0070080E">
        <w:t xml:space="preserve">). Even senior corporate executives exhibit systematic cognitive biases: </w:t>
      </w:r>
      <w:hyperlink r:id="rId265">
        <w:r w:rsidRPr="0070080E">
          <w:rPr>
            <w:rStyle w:val="Hyperlink"/>
          </w:rPr>
          <w:t>Ben-David et al.</w:t>
        </w:r>
        <w:r w:rsidR="005D3710">
          <w:rPr>
            <w:rStyle w:val="Hyperlink"/>
          </w:rPr>
          <w:t xml:space="preserve"> (</w:t>
        </w:r>
        <w:r w:rsidRPr="0070080E">
          <w:rPr>
            <w:rStyle w:val="Hyperlink"/>
          </w:rPr>
          <w:t>2013</w:t>
        </w:r>
      </w:hyperlink>
      <w:r w:rsidR="005D3710">
        <w:rPr>
          <w:rStyle w:val="Hyperlink"/>
        </w:rPr>
        <w:t>)</w:t>
      </w:r>
      <w:r w:rsidRPr="0070080E">
        <w:t xml:space="preserve"> showed that managers display overconfidence and miscalibration in their expectations, leading to distorted risk assessments and suboptimal decisions. In addition, cognitive framing implies that equivalent information can produce different choices depending on its presentation, which helps explain persistent behavioral patterns such as home bias, under-diversification, and the disposition effect that ultimately degrade portfolio performance (</w:t>
      </w:r>
      <w:hyperlink r:id="rId266">
        <w:r w:rsidRPr="0070080E">
          <w:rPr>
            <w:rStyle w:val="Hyperlink"/>
          </w:rPr>
          <w:t>Kahneman &amp; Tversky, 1979</w:t>
        </w:r>
      </w:hyperlink>
      <w:r w:rsidRPr="0070080E">
        <w:t>).</w:t>
      </w:r>
    </w:p>
    <w:p w14:paraId="3CB0FFB4" w14:textId="77777777" w:rsidR="00F67DDB" w:rsidRPr="0070080E" w:rsidRDefault="0094076D">
      <w:pPr>
        <w:pStyle w:val="BodyText"/>
      </w:pPr>
      <w:r w:rsidRPr="0070080E">
        <w:t>These biases are magnified under market information shocks and stress. Heightened uncertainty impairs deliberative reasoning and shifts decision-makers toward intuition and habitual responses, amplifying heuristics and framing biases (</w:t>
      </w:r>
      <w:hyperlink r:id="rId267">
        <w:r w:rsidRPr="0070080E">
          <w:rPr>
            <w:rStyle w:val="Hyperlink"/>
          </w:rPr>
          <w:t>Lo, 2004</w:t>
        </w:r>
      </w:hyperlink>
      <w:r w:rsidRPr="0070080E">
        <w:t xml:space="preserve">; </w:t>
      </w:r>
      <w:hyperlink r:id="rId268">
        <w:r w:rsidRPr="0070080E">
          <w:rPr>
            <w:rStyle w:val="Hyperlink"/>
          </w:rPr>
          <w:t>Kahneman &amp; Lovallo, 1993</w:t>
        </w:r>
      </w:hyperlink>
      <w:r w:rsidRPr="0070080E">
        <w:t>). Empirical evidence from the COVID-19 crisis indicated that investors responded strongly to salient news and policy developments amid sharply elevated uncertainty (</w:t>
      </w:r>
      <w:hyperlink r:id="rId269">
        <w:r w:rsidRPr="0070080E">
          <w:rPr>
            <w:rStyle w:val="Hyperlink"/>
          </w:rPr>
          <w:t>Baker et al., 2020</w:t>
        </w:r>
      </w:hyperlink>
      <w:r w:rsidRPr="0070080E">
        <w:t>). Moreover, volatility spillovers and information shock transmission can persist over longer horizons, consistent with time-frequency evidence on how information shocks propagate through volatility dynamics (</w:t>
      </w:r>
      <w:hyperlink r:id="rId270">
        <w:r w:rsidRPr="0070080E">
          <w:rPr>
            <w:rStyle w:val="Hyperlink"/>
          </w:rPr>
          <w:t>Baruník &amp; Křehlík, 2018</w:t>
        </w:r>
      </w:hyperlink>
      <w:r w:rsidRPr="0070080E">
        <w:t>). Consequently, bounded rationality combined with stress and framing effects produces persistent portfolio errors during periods of market disruption.</w:t>
      </w:r>
    </w:p>
    <w:p w14:paraId="3CB0FFB5" w14:textId="77777777" w:rsidR="00F67DDB" w:rsidRPr="0070080E" w:rsidRDefault="00000000">
      <w:pPr>
        <w:pStyle w:val="BodyText"/>
      </w:pPr>
      <w:hyperlink r:id="rId271">
        <w:r w:rsidR="0094076D" w:rsidRPr="0070080E">
          <w:rPr>
            <w:rStyle w:val="Hyperlink"/>
          </w:rPr>
          <w:t>Lo and Repin (2002)</w:t>
        </w:r>
      </w:hyperlink>
      <w:r w:rsidR="0094076D" w:rsidRPr="0070080E">
        <w:t xml:space="preserve"> demonstrated that time-pressured decision environments degrade professional financial decision quality, even among experienced practitioners. Measuring physiological responses of a small sample of professional traders to real-time market events, they found that emotional arousal was a significant factor in financial decision-making for both novice and experienced traders. Critically, less experienced traders showed stronger physiological arousal in response to short-term market fluctuations, indicating that emotions become particularly salient in novel, time-constrained situations (</w:t>
      </w:r>
      <w:hyperlink r:id="rId272">
        <w:r w:rsidR="0094076D" w:rsidRPr="0070080E">
          <w:rPr>
            <w:rStyle w:val="Hyperlink"/>
          </w:rPr>
          <w:t>Lo &amp; Repin, 2002</w:t>
        </w:r>
      </w:hyperlink>
      <w:r w:rsidR="0094076D" w:rsidRPr="0070080E">
        <w:t>).</w:t>
      </w:r>
    </w:p>
    <w:p w14:paraId="3CB0FFB6" w14:textId="77777777" w:rsidR="00F67DDB" w:rsidRPr="0070080E" w:rsidRDefault="00000000">
      <w:pPr>
        <w:pStyle w:val="BodyText"/>
      </w:pPr>
      <w:hyperlink r:id="rId273">
        <w:r w:rsidR="0094076D" w:rsidRPr="0070080E">
          <w:rPr>
            <w:rStyle w:val="Hyperlink"/>
          </w:rPr>
          <w:t>Elkind et al. (2022)</w:t>
        </w:r>
      </w:hyperlink>
      <w:r w:rsidR="0094076D" w:rsidRPr="0070080E">
        <w:t xml:space="preserve"> documented that acute stress translates directly into portfolio-level actions: extreme market conditions trigger panic selling and rapid exits rather than disciplined rebalancing, with excessive turnover concentrated in managers facing heightened emotional pressure. Experimental evidence from the COVID-19 market crash showed that even finance professionals reduced allocations to risky assets when fundamentals and expectations were held constant, consistent with situational risk aversion under stress rather than fundamental reassessment (</w:t>
      </w:r>
      <w:hyperlink r:id="rId274">
        <w:r w:rsidR="0094076D" w:rsidRPr="0070080E">
          <w:rPr>
            <w:rStyle w:val="Hyperlink"/>
          </w:rPr>
          <w:t>Huber et al., 2022</w:t>
        </w:r>
      </w:hyperlink>
      <w:r w:rsidR="0094076D" w:rsidRPr="0070080E">
        <w:t>). Taken together, these findings indicated that time pressure and emotional arousal systematically affect professional decision quality outside the laboratory.</w:t>
      </w:r>
    </w:p>
    <w:p w14:paraId="3CB0FFB7" w14:textId="32F67F8B" w:rsidR="00F67DDB" w:rsidRPr="0070080E" w:rsidRDefault="0094076D">
      <w:pPr>
        <w:pStyle w:val="BodyText"/>
      </w:pPr>
      <w:r w:rsidRPr="0070080E">
        <w:t>Information overload compounds these time-pressure effects. When the volume and velocity of market news exceed cognitive processing capacity, even sophisticated investors face binding attention constraints that affect how information is weighted (</w:t>
      </w:r>
      <w:hyperlink r:id="rId275">
        <w:r w:rsidRPr="0070080E">
          <w:rPr>
            <w:rStyle w:val="Hyperlink"/>
          </w:rPr>
          <w:t>Peng &amp; Xiong, 2006</w:t>
        </w:r>
      </w:hyperlink>
      <w:r w:rsidRPr="0070080E">
        <w:t xml:space="preserve">; </w:t>
      </w:r>
      <w:hyperlink r:id="rId276">
        <w:r w:rsidRPr="0070080E">
          <w:rPr>
            <w:rStyle w:val="Hyperlink"/>
          </w:rPr>
          <w:t>Da et al., 2011</w:t>
        </w:r>
      </w:hyperlink>
      <w:r w:rsidRPr="0070080E">
        <w:t>). Attention-driven trading around salient news events is associated with increased turnover and short-horizon mispricing, which propagate through institutional flows into portfolio outcomes (</w:t>
      </w:r>
      <w:hyperlink r:id="rId277">
        <w:r w:rsidRPr="0070080E">
          <w:rPr>
            <w:rStyle w:val="Hyperlink"/>
          </w:rPr>
          <w:t>Barber &amp; Odean, 2008</w:t>
        </w:r>
      </w:hyperlink>
      <w:r w:rsidRPr="0070080E">
        <w:t>).</w:t>
      </w:r>
    </w:p>
    <w:p w14:paraId="3CB0FFB8" w14:textId="77777777" w:rsidR="00F67DDB" w:rsidRPr="0070080E" w:rsidRDefault="0094076D">
      <w:pPr>
        <w:pStyle w:val="BodyText"/>
      </w:pPr>
      <w:r w:rsidRPr="0070080E">
        <w:t>The implications for portfolio management during information shocks are direct: when managers face simultaneous time pressure (rapid market movements) and information overload (high news intensity), cognitive capacity constraints bind, forcing reliance on heuristics and emotional cues rather than deliberative analysis. Under these conditions, systematic biases such as loss aversion, anchoring, and overconfidence become more pronounced, directly supporting the theoretical mechanism underlying Hypothesis 1.</w:t>
      </w:r>
    </w:p>
    <w:p w14:paraId="3CB0FFB9" w14:textId="364F0218" w:rsidR="00F67DDB" w:rsidRPr="0070080E" w:rsidRDefault="0094076D">
      <w:pPr>
        <w:pStyle w:val="BodyText"/>
      </w:pPr>
      <w:r w:rsidRPr="0070080E">
        <w:t xml:space="preserve">The implication for portfolio management is that human decision-making alone is often insufficiently consistent. </w:t>
      </w:r>
      <w:hyperlink r:id="rId278">
        <w:r w:rsidRPr="0070080E">
          <w:rPr>
            <w:rStyle w:val="Hyperlink"/>
          </w:rPr>
          <w:t xml:space="preserve">Barber </w:t>
        </w:r>
        <w:r w:rsidR="00CC3ADB">
          <w:rPr>
            <w:rStyle w:val="Hyperlink"/>
          </w:rPr>
          <w:t>and</w:t>
        </w:r>
        <w:r w:rsidRPr="0070080E">
          <w:rPr>
            <w:rStyle w:val="Hyperlink"/>
          </w:rPr>
          <w:t xml:space="preserve"> Odean (2000)</w:t>
        </w:r>
      </w:hyperlink>
      <w:r w:rsidRPr="0070080E">
        <w:t xml:space="preserve"> showed that behaviorally driven trading patterns such as overtrading and trend chasing systematically reduce investment performance. Even sophisticated institutions are not immune: senior corporate executives routinely exhibit overconfidence and miscalibration in market forecasts, which distort risk assessments and corporate financial decisions (</w:t>
      </w:r>
      <w:hyperlink r:id="rId279">
        <w:r w:rsidRPr="0070080E">
          <w:rPr>
            <w:rStyle w:val="Hyperlink"/>
          </w:rPr>
          <w:t>Ben-David et al., 2013</w:t>
        </w:r>
      </w:hyperlink>
      <w:r w:rsidRPr="0070080E">
        <w:t>). Attempts to mitigate these biases through training or informal decision rules have limited effectiveness, particularly under stress. As a result, modern portfolio management increasingly complements human judgment with structured tools and algorithmic support. Advanced dashboards, real-time analytics, and data-driven models can support decision discipline by systematically surfacing signals and alerts, thereby reducing delayed or emotionally driven reactions (</w:t>
      </w:r>
      <w:hyperlink r:id="rId280">
        <w:r w:rsidRPr="0070080E">
          <w:rPr>
            <w:rStyle w:val="Hyperlink"/>
          </w:rPr>
          <w:t>Statman, 2019</w:t>
        </w:r>
      </w:hyperlink>
      <w:r w:rsidRPr="0070080E">
        <w:t xml:space="preserve">; </w:t>
      </w:r>
      <w:hyperlink r:id="rId281">
        <w:r w:rsidR="00AC2267" w:rsidRPr="00AC2267">
          <w:t xml:space="preserve"> </w:t>
        </w:r>
        <w:r w:rsidR="00AC2267" w:rsidRPr="00AC2267">
          <w:rPr>
            <w:rStyle w:val="Hyperlink"/>
          </w:rPr>
          <w:t>Bianchi &amp; Briere</w:t>
        </w:r>
        <w:r w:rsidRPr="0070080E">
          <w:rPr>
            <w:rStyle w:val="Hyperlink"/>
          </w:rPr>
          <w:t>, 202</w:t>
        </w:r>
        <w:r w:rsidR="00AC2267">
          <w:rPr>
            <w:rStyle w:val="Hyperlink"/>
          </w:rPr>
          <w:t>1</w:t>
        </w:r>
      </w:hyperlink>
      <w:r w:rsidRPr="0070080E">
        <w:t>).</w:t>
      </w:r>
    </w:p>
    <w:p w14:paraId="3CB0FFBA" w14:textId="77777777" w:rsidR="00F67DDB" w:rsidRPr="0070080E" w:rsidRDefault="0094076D">
      <w:pPr>
        <w:pStyle w:val="BodyText"/>
      </w:pPr>
      <w:r w:rsidRPr="0070080E">
        <w:t>In this context, there is a clear need for a quantitative information shock indicator. Just as the literature distinguished news-driven information shocks from pure volatility shocks (</w:t>
      </w:r>
      <w:hyperlink r:id="rId282">
        <w:r w:rsidRPr="0070080E">
          <w:rPr>
            <w:rStyle w:val="Hyperlink"/>
          </w:rPr>
          <w:t>Rigobon, 2003</w:t>
        </w:r>
      </w:hyperlink>
      <w:r w:rsidRPr="0070080E">
        <w:t xml:space="preserve">), a Shock Score would quantify the magnitude of new and unexpected information impacting a portfolio. Such an objective metric could trigger disciplined responses, such as temporary leverage reductions or rule-based rebalancing, precisely when managers might otherwise panic or remain anchored to outdated beliefs. </w:t>
      </w:r>
      <w:hyperlink r:id="rId283">
        <w:r w:rsidRPr="0070080E">
          <w:rPr>
            <w:rStyle w:val="Hyperlink"/>
          </w:rPr>
          <w:t>Engelberg and Parsons (2009)</w:t>
        </w:r>
      </w:hyperlink>
      <w:r w:rsidRPr="0070080E">
        <w:t xml:space="preserve"> demonstrated the value of operationalizing news intensity and investor attention to capture extreme information-driven market reactions; news-based measures have been used to identify sharp trading responses to localized information shocks. By explicitly measuring information shock intensity, the Shock Score aims to improve decision consistency during turbulent market conditions and mitigate stress-induced portfolio errors.</w:t>
      </w:r>
    </w:p>
    <w:p w14:paraId="3CB0FFBB" w14:textId="73488785" w:rsidR="00F67DDB" w:rsidRPr="0070080E" w:rsidRDefault="0094076D">
      <w:pPr>
        <w:pStyle w:val="BodyText"/>
      </w:pPr>
      <w:r w:rsidRPr="0070080E">
        <w:t xml:space="preserve">From an empirical perspective, the studies reviewed in this chapter motivate a focus on observable portfolio-level indicators that capture the behavioral impact of information shocks. Prior research linked information-shock-driven overreaction and stress to short-term volatility spikes, drawdowns, return reversals, and deviations from target risk exposure, all of which affect realized </w:t>
      </w:r>
      <w:r w:rsidR="00400BE9">
        <w:t>risk–return</w:t>
      </w:r>
      <w:r w:rsidRPr="0070080E">
        <w:t xml:space="preserve"> efficiency. Accordingly, changes in portfolio </w:t>
      </w:r>
      <w:r w:rsidR="00400BE9">
        <w:t>risk–return</w:t>
      </w:r>
      <w:r w:rsidR="002C360C">
        <w:t xml:space="preserve"> outcomes</w:t>
      </w:r>
      <w:r w:rsidRPr="0070080E">
        <w:t xml:space="preserve"> around high-intensity information shocks provide a natural testing ground for assessing both the presence of behaviorally induced distortions and the effectiveness of decision-support interventions. By examining how these outcomes differ conditional on Shock Score intensity and usage, the empirical analysis in subsequent chapters directly operationalizes the theoretical mechanisms identified in the literature.</w:t>
      </w:r>
    </w:p>
    <w:p w14:paraId="3CB0FFBC" w14:textId="77777777" w:rsidR="00F67DDB" w:rsidRPr="0070080E" w:rsidRDefault="0094076D">
      <w:pPr>
        <w:pStyle w:val="Heading2"/>
      </w:pPr>
      <w:bookmarkStart w:id="97" w:name="_Toc231913449"/>
      <w:bookmarkStart w:id="98" w:name="Xc534a788407a6a509e878e265a968f215020252"/>
      <w:bookmarkEnd w:id="96"/>
      <w:r w:rsidRPr="0070080E">
        <w:t>3.6 Limitations in Behavioral Finance Research</w:t>
      </w:r>
      <w:bookmarkEnd w:id="97"/>
    </w:p>
    <w:p w14:paraId="3CB0FFBD" w14:textId="77777777" w:rsidR="00F67DDB" w:rsidRPr="0070080E" w:rsidRDefault="0094076D">
      <w:pPr>
        <w:pStyle w:val="Heading3"/>
      </w:pPr>
      <w:bookmarkStart w:id="99" w:name="Xe7fbed1324b613dd96fa63089e43ac2372cec8b"/>
      <w:r w:rsidRPr="0070080E">
        <w:t>3.6.1 Limitations of Existing Behavioral Finance Research</w:t>
      </w:r>
    </w:p>
    <w:p w14:paraId="3CB0FFBE" w14:textId="5BCDFC26" w:rsidR="00F67DDB" w:rsidRPr="0070080E" w:rsidRDefault="0094076D">
      <w:pPr>
        <w:pStyle w:val="FirstParagraph"/>
      </w:pPr>
      <w:r w:rsidRPr="0070080E">
        <w:t>Behavioral finance has produced extensive evidence of biases in investment decision-making (</w:t>
      </w:r>
      <w:hyperlink r:id="rId284">
        <w:r w:rsidRPr="0070080E">
          <w:rPr>
            <w:rStyle w:val="Hyperlink"/>
          </w:rPr>
          <w:t>Barberis &amp; Thaler, 2002</w:t>
        </w:r>
      </w:hyperlink>
      <w:r w:rsidRPr="0070080E">
        <w:t xml:space="preserve">); however, much of this literature remains predominantly descriptive and ex post. Many studies rely on laboratory settings or retrospective analyses, which provide limited operational guidance for forward-looking portfolio decisions. In the decision-support systems literature, </w:t>
      </w:r>
      <w:hyperlink r:id="rId285">
        <w:r w:rsidRPr="0070080E">
          <w:rPr>
            <w:rStyle w:val="Hyperlink"/>
          </w:rPr>
          <w:t>Bhandari et al.</w:t>
        </w:r>
        <w:r w:rsidR="00CC3ADB">
          <w:rPr>
            <w:rStyle w:val="Hyperlink"/>
          </w:rPr>
          <w:t xml:space="preserve"> (</w:t>
        </w:r>
        <w:r w:rsidRPr="0070080E">
          <w:rPr>
            <w:rStyle w:val="Hyperlink"/>
          </w:rPr>
          <w:t>2008</w:t>
        </w:r>
      </w:hyperlink>
      <w:r w:rsidR="00CC3ADB">
        <w:rPr>
          <w:rStyle w:val="Hyperlink"/>
        </w:rPr>
        <w:t>)</w:t>
      </w:r>
      <w:r w:rsidRPr="0070080E">
        <w:t xml:space="preserve"> argued that conventional financial decision-support tools primarily emphasize computational analyses of information, risk, and trends, while offering limited mechanisms designed explicitly to mitigate behavioral biases in investor decision-making. Consequently, despite robust academic documentation of behavioral distortions, these insights have not been consistently translated into practical, bias-aware investment decision tools.</w:t>
      </w:r>
    </w:p>
    <w:p w14:paraId="3CB0FFBF" w14:textId="59E5ABFA" w:rsidR="00F67DDB" w:rsidRPr="0070080E" w:rsidRDefault="0094076D">
      <w:pPr>
        <w:pStyle w:val="BodyText"/>
      </w:pPr>
      <w:r w:rsidRPr="0070080E">
        <w:t>Another limitation in behavioral finance research is the lack of professional context. Many behavioral experiments rely on students or lay investors rather than practicing professionals, raising concerns about external validity (</w:t>
      </w:r>
      <w:hyperlink r:id="rId286">
        <w:r w:rsidRPr="0070080E">
          <w:rPr>
            <w:rStyle w:val="Hyperlink"/>
          </w:rPr>
          <w:t>Azimi, 2019</w:t>
        </w:r>
      </w:hyperlink>
      <w:r w:rsidRPr="0070080E">
        <w:t>). Evidence from studies comparing professionals and non-professionals indicated that experience materially alters behavioral responses to market conditions. For example, Huber</w:t>
      </w:r>
      <w:r w:rsidR="00A849CB">
        <w:t xml:space="preserve"> et al.</w:t>
      </w:r>
      <w:r w:rsidRPr="0070080E">
        <w:t xml:space="preserve"> (2022) showed that professionals and students react differently to volatility information shocks: professionals’ perceived risk increases similarly following information shocks of all directions, whereas students’ risk perception is more closely related to the frequency of negative returns rather than an increase in volatility (</w:t>
      </w:r>
      <w:hyperlink r:id="rId287">
        <w:r w:rsidRPr="0070080E">
          <w:rPr>
            <w:rStyle w:val="Hyperlink"/>
          </w:rPr>
          <w:t>Huber et al., 2022</w:t>
        </w:r>
      </w:hyperlink>
      <w:r w:rsidRPr="0070080E">
        <w:t>). These findings indicated that financial expertise changes the manifestation of behavioral responses and suggested that results derived from homogeneous or student-based samples may not generalize to experienced financial professionals in applied settings.</w:t>
      </w:r>
    </w:p>
    <w:p w14:paraId="3CB0FFC0" w14:textId="77777777" w:rsidR="00F67DDB" w:rsidRPr="0070080E" w:rsidRDefault="0094076D">
      <w:pPr>
        <w:pStyle w:val="BodyText"/>
      </w:pPr>
      <w:r w:rsidRPr="0070080E">
        <w:t xml:space="preserve">A further limitation is the lack of ex-ante applicability. </w:t>
      </w:r>
      <w:hyperlink r:id="rId288">
        <w:r w:rsidRPr="0070080E">
          <w:rPr>
            <w:rStyle w:val="Hyperlink"/>
          </w:rPr>
          <w:t>Frazzini (2006)</w:t>
        </w:r>
      </w:hyperlink>
      <w:r w:rsidRPr="0070080E">
        <w:t xml:space="preserve"> and </w:t>
      </w:r>
      <w:hyperlink r:id="rId289">
        <w:r w:rsidRPr="0070080E">
          <w:rPr>
            <w:rStyle w:val="Hyperlink"/>
          </w:rPr>
          <w:t>Daniel et al. (1998)</w:t>
        </w:r>
      </w:hyperlink>
      <w:r w:rsidRPr="0070080E">
        <w:t xml:space="preserve"> are representative examples of studies that documented biases after they occur (ex post) rather than providing predictive, forward-looking decision rules that can be applied before or during an information event. As a result, portfolio managers have few tools to anticipate when behavioral distortions are likely to emerge. In practice, cognitive and emotional influences therefore remain latent risks: they are identifiable in hindsight but difficult to integrate into pre-emptive risk management or operational decision-support systems. More broadly, standard asset-pricing and risk models typically abstract from these human factors altogether. In sum, behavioral finance has been highly successful in identifying and explaining anomalies, but offers limited guidance on how to operationalize these insights in dynamic, ex-ante decision-making for practitioners (</w:t>
      </w:r>
      <w:hyperlink r:id="rId290">
        <w:r w:rsidRPr="0070080E">
          <w:rPr>
            <w:rStyle w:val="Hyperlink"/>
          </w:rPr>
          <w:t>Barberis &amp; Thaler, 2002</w:t>
        </w:r>
      </w:hyperlink>
      <w:r w:rsidRPr="0070080E">
        <w:t>).</w:t>
      </w:r>
    </w:p>
    <w:p w14:paraId="3CB0FFC1" w14:textId="77777777" w:rsidR="00F67DDB" w:rsidRPr="0070080E" w:rsidRDefault="0094076D">
      <w:pPr>
        <w:pStyle w:val="Heading3"/>
      </w:pPr>
      <w:bookmarkStart w:id="100" w:name="X7735179ebc01e154c8c8102679b8f884835d3e1"/>
      <w:bookmarkEnd w:id="99"/>
      <w:r w:rsidRPr="0070080E">
        <w:t>3.6.2 Gaps in Ex-Ante Decision Support for Information Shocks</w:t>
      </w:r>
    </w:p>
    <w:p w14:paraId="3CB0FFC2" w14:textId="148B1B6C" w:rsidR="00F67DDB" w:rsidRPr="0070080E" w:rsidRDefault="0094076D">
      <w:pPr>
        <w:pStyle w:val="FirstParagraph"/>
      </w:pPr>
      <w:r w:rsidRPr="0070080E">
        <w:t xml:space="preserve">Information shocks—sudden news events such as earnings releases, policy announcements, or geopolitical developments—pose a challenge for portfolio managers. While behavioral finance documents that investors may overreact or underreact to such events, most academic models and decision-support tools provide limited ex-ante guidance. Conventional risk-management and advisory systems primarily emphasize quantitative inputs such as volatility, correlations, and static optimization, while offering little structural support for identifying or mitigating behavioral biases before decisions are made. </w:t>
      </w:r>
      <w:hyperlink r:id="rId291">
        <w:r w:rsidRPr="0070080E">
          <w:rPr>
            <w:rStyle w:val="Hyperlink"/>
          </w:rPr>
          <w:t>Bhandari et al.</w:t>
        </w:r>
        <w:r w:rsidR="00F94356">
          <w:rPr>
            <w:rStyle w:val="Hyperlink"/>
          </w:rPr>
          <w:t xml:space="preserve"> (</w:t>
        </w:r>
        <w:r w:rsidRPr="0070080E">
          <w:rPr>
            <w:rStyle w:val="Hyperlink"/>
          </w:rPr>
          <w:t>2008</w:t>
        </w:r>
      </w:hyperlink>
      <w:r w:rsidR="00F94356">
        <w:rPr>
          <w:rStyle w:val="Hyperlink"/>
        </w:rPr>
        <w:t>)</w:t>
      </w:r>
      <w:r w:rsidRPr="0070080E">
        <w:t xml:space="preserve"> showed that prevailing decision-support systems are largely designed for computational analysis rather than for addressing cognitive distortions, with behavioral debiasing typically requiring additional decision aids rather than being embedded by default. As a consequence, existing advisory platforms rarely account for the behavioral vulnerability of decision-makers when responding to unexpected information events.</w:t>
      </w:r>
    </w:p>
    <w:p w14:paraId="3CB0FFC3" w14:textId="58B208A1" w:rsidR="00F67DDB" w:rsidRPr="0070080E" w:rsidRDefault="0094076D">
      <w:pPr>
        <w:pStyle w:val="BodyText"/>
      </w:pPr>
      <w:r w:rsidRPr="0070080E">
        <w:t>Moreover, the literature offers limited frameworks or algorithms for adaptive decision support under uncertainty (</w:t>
      </w:r>
      <w:hyperlink r:id="rId292">
        <w:r w:rsidRPr="0070080E">
          <w:rPr>
            <w:rStyle w:val="Hyperlink"/>
          </w:rPr>
          <w:t>Bhandari et al., 2008</w:t>
        </w:r>
      </w:hyperlink>
      <w:r w:rsidRPr="0070080E">
        <w:t xml:space="preserve">; </w:t>
      </w:r>
      <w:hyperlink r:id="rId293">
        <w:r w:rsidRPr="0070080E">
          <w:rPr>
            <w:rStyle w:val="Hyperlink"/>
          </w:rPr>
          <w:t>Lim, 2026</w:t>
        </w:r>
      </w:hyperlink>
      <w:r w:rsidRPr="0070080E">
        <w:t xml:space="preserve">). While advances in text analytics and sentiment measurement enable the extraction of real-time, news-based signals, these approaches are typically developed to inform forecasting models or algorithmic trading strategies rather than to support human decision-makers during periods of market stress. For example, </w:t>
      </w:r>
      <w:hyperlink r:id="rId294">
        <w:r w:rsidRPr="0070080E">
          <w:rPr>
            <w:rStyle w:val="Hyperlink"/>
          </w:rPr>
          <w:t>Song et al.</w:t>
        </w:r>
        <w:r w:rsidR="00F94356">
          <w:rPr>
            <w:rStyle w:val="Hyperlink"/>
          </w:rPr>
          <w:t xml:space="preserve"> (</w:t>
        </w:r>
        <w:r w:rsidRPr="0070080E">
          <w:rPr>
            <w:rStyle w:val="Hyperlink"/>
          </w:rPr>
          <w:t>2015</w:t>
        </w:r>
      </w:hyperlink>
      <w:r w:rsidR="00F94356">
        <w:rPr>
          <w:rStyle w:val="Hyperlink"/>
        </w:rPr>
        <w:t>)</w:t>
      </w:r>
      <w:r w:rsidRPr="0070080E">
        <w:t xml:space="preserve"> developed sentiment- and news-intensity measures to improve stock return prediction, yet the resulting signals are intended for automated implementation and do not address how portfolio managers’ behavioral responses might be guided as information shocks unfold. Consequently, existing research has not produced systems that translate incoming information into personalized caution signals or bias-mitigation guidance for managers. In practice, portfolio managers therefore often rely on judgment or static heuristics when major headlines break, despite the availability of technologies capable of tracking news and sentiment in real time.</w:t>
      </w:r>
    </w:p>
    <w:p w14:paraId="3CB0FFC4" w14:textId="77777777" w:rsidR="00F67DDB" w:rsidRPr="0070080E" w:rsidRDefault="0094076D">
      <w:pPr>
        <w:pStyle w:val="BodyText"/>
      </w:pPr>
      <w:r w:rsidRPr="0070080E">
        <w:t xml:space="preserve">In sum, existing decision-support tools are dynamic in their treatment of prices and risk metrics but largely static in psychological terms. While behavioral finance has documented how cognitive biases influence investment decisions, it has not delivered operational frameworks that account for the evolving behavioral feedback loops through which managers’ beliefs and emotions respond to market information shocks. As surveyed by </w:t>
      </w:r>
      <w:hyperlink r:id="rId295">
        <w:r w:rsidRPr="0070080E">
          <w:rPr>
            <w:rStyle w:val="Hyperlink"/>
          </w:rPr>
          <w:t>Barberis and Thaler (2002)</w:t>
        </w:r>
      </w:hyperlink>
      <w:r w:rsidRPr="0070080E">
        <w:t>, behavioral finance has been highly successful in identifying and explaining deviations from rational behavior, yet it provides limited guidance on how such insights can be translated into robust, ex-ante decision support for portfolio management. Against this backdrop, the increasing speed at which news and information propagate through modern financial markets amplifies the practical relevance of this unresolved gap between behavioral theory and decision-making practice.</w:t>
      </w:r>
    </w:p>
    <w:p w14:paraId="3CB0FFC5" w14:textId="77777777" w:rsidR="00F67DDB" w:rsidRPr="0070080E" w:rsidRDefault="0094076D">
      <w:pPr>
        <w:pStyle w:val="BodyText"/>
      </w:pPr>
      <w:r w:rsidRPr="0070080E">
        <w:t>This gap persists even in the most recent AI-driven systems. Lim (2026) developed a modular emotion-aware advisory platform combining FinBERT sentiment analysis, DistilBERT behavioral classification, and LLM-generated risk guidance, and demonstrated its technical feasibility across 1,500 simulated trading sessions. The study is nonetheless bounded by the same fundamental limitation as earlier algorithmic approaches: all evaluation was conducted with synthetic trader profiles operating under scripted behavioral rules, and no human decision-makers were involved (</w:t>
      </w:r>
      <w:hyperlink r:id="rId296">
        <w:r w:rsidRPr="0070080E">
          <w:rPr>
            <w:rStyle w:val="Hyperlink"/>
          </w:rPr>
          <w:t>Lim, 2026</w:t>
        </w:r>
      </w:hyperlink>
      <w:r w:rsidRPr="0070080E">
        <w:t>). Lim explicitly identified the absence of human-participant evidence as the primary gap requiring resolution in future research. Consequently, the literature has not yet produced evidence that structured decision-support tools, whether rule-based or AI-driven, measurably alter the real-time decisions of professional equity portfolio managers responding to live information shocks.</w:t>
      </w:r>
    </w:p>
    <w:p w14:paraId="3CB0FFC6" w14:textId="4820B91F" w:rsidR="00F67DDB" w:rsidRPr="0070080E" w:rsidRDefault="0094076D">
      <w:pPr>
        <w:pStyle w:val="BodyText"/>
      </w:pPr>
      <w:r w:rsidRPr="0070080E">
        <w:t>Table 3.1 systematically maps these gaps across relevant studies. The table demonstrates that while individual components of real-time decision support have been addressed in isolation</w:t>
      </w:r>
      <w:r w:rsidR="000A66AA">
        <w:t>—</w:t>
      </w:r>
      <w:r w:rsidRPr="0070080E">
        <w:t>information shock measurement (Song et al., 2015), professional behavioral responses (Huber et al., 2022), behavioral decision-support principles (Statman, 2019), and portfolio outcomes (Tetlock, 2007)</w:t>
      </w:r>
      <w:r w:rsidR="000A66AA">
        <w:t>—</w:t>
      </w:r>
      <w:r w:rsidRPr="0070080E">
        <w:t xml:space="preserve">no prior research integrates all four elements in a controlled setting. This thesis fills this gap by combining real-time information shock measurement via the Shock Score, a professional sample of portfolio managers, behavioral decision-support interventions linked to investment policy statements, and portfolio-level </w:t>
      </w:r>
      <w:r w:rsidR="00400BE9">
        <w:t>risk–return</w:t>
      </w:r>
      <w:r w:rsidRPr="0070080E">
        <w:t xml:space="preserve"> validation.</w:t>
      </w:r>
    </w:p>
    <w:p w14:paraId="50C6E95E" w14:textId="77777777" w:rsidR="008617A1" w:rsidRPr="0070080E" w:rsidRDefault="008617A1">
      <w:pPr>
        <w:pStyle w:val="BodyText"/>
        <w:rPr>
          <w:b/>
          <w:bCs/>
        </w:rPr>
        <w:sectPr w:rsidR="008617A1" w:rsidRPr="0070080E" w:rsidSect="00CE08D4">
          <w:headerReference w:type="default" r:id="rId297"/>
          <w:footnotePr>
            <w:numRestart w:val="eachSect"/>
          </w:footnotePr>
          <w:pgSz w:w="12240" w:h="15840"/>
          <w:pgMar w:top="1440" w:right="1440" w:bottom="1440" w:left="1440" w:header="630" w:footer="720" w:gutter="0"/>
          <w:pgNumType w:start="0"/>
          <w:cols w:space="720"/>
          <w:titlePg/>
          <w:docGrid w:linePitch="299"/>
        </w:sectPr>
      </w:pPr>
    </w:p>
    <w:p w14:paraId="3CB0FFC7" w14:textId="77777777" w:rsidR="00F67DDB" w:rsidRPr="0070080E" w:rsidRDefault="0094076D" w:rsidP="00F13E40">
      <w:pPr>
        <w:pStyle w:val="Tableid"/>
      </w:pPr>
      <w:r w:rsidRPr="0070080E">
        <w:t>Table 3.1</w:t>
      </w:r>
    </w:p>
    <w:p w14:paraId="3CB0FFC8" w14:textId="77777777" w:rsidR="00F67DDB" w:rsidRPr="0070080E" w:rsidRDefault="0094076D" w:rsidP="00F13E40">
      <w:pPr>
        <w:pStyle w:val="TableCaption"/>
      </w:pPr>
      <w:r w:rsidRPr="0070080E">
        <w:t>Systematic Gap Mapping in Information Shock Decision Support</w:t>
      </w:r>
    </w:p>
    <w:tbl>
      <w:tblPr>
        <w:tblStyle w:val="Table"/>
        <w:tblW w:w="5451" w:type="pct"/>
        <w:tblInd w:w="-450" w:type="dxa"/>
        <w:tblLayout w:type="fixed"/>
        <w:tblLook w:val="0020" w:firstRow="1" w:lastRow="0" w:firstColumn="0" w:lastColumn="0" w:noHBand="0" w:noVBand="0"/>
      </w:tblPr>
      <w:tblGrid>
        <w:gridCol w:w="1418"/>
        <w:gridCol w:w="1984"/>
        <w:gridCol w:w="2038"/>
        <w:gridCol w:w="2228"/>
        <w:gridCol w:w="1819"/>
        <w:gridCol w:w="4642"/>
      </w:tblGrid>
      <w:tr w:rsidR="00F13E40" w:rsidRPr="0070080E" w14:paraId="3CB0FFCF" w14:textId="77777777" w:rsidTr="00216E23">
        <w:trPr>
          <w:cnfStyle w:val="100000000000" w:firstRow="1" w:lastRow="0" w:firstColumn="0" w:lastColumn="0" w:oddVBand="0" w:evenVBand="0" w:oddHBand="0" w:evenHBand="0" w:firstRowFirstColumn="0" w:firstRowLastColumn="0" w:lastRowFirstColumn="0" w:lastRowLastColumn="0"/>
          <w:tblHeader/>
        </w:trPr>
        <w:tc>
          <w:tcPr>
            <w:tcW w:w="1419" w:type="dxa"/>
          </w:tcPr>
          <w:p w14:paraId="3CB0FFC9" w14:textId="77777777" w:rsidR="00F67DDB" w:rsidRPr="0070080E" w:rsidRDefault="0094076D">
            <w:pPr>
              <w:pStyle w:val="Compact"/>
            </w:pPr>
            <w:r w:rsidRPr="0070080E">
              <w:t>Study</w:t>
            </w:r>
          </w:p>
        </w:tc>
        <w:tc>
          <w:tcPr>
            <w:tcW w:w="1984" w:type="dxa"/>
          </w:tcPr>
          <w:p w14:paraId="3CB0FFCA" w14:textId="77777777" w:rsidR="00F67DDB" w:rsidRPr="0070080E" w:rsidRDefault="0094076D">
            <w:pPr>
              <w:pStyle w:val="Compact"/>
            </w:pPr>
            <w:r w:rsidRPr="0070080E">
              <w:t>Real-time Shock Measurement</w:t>
            </w:r>
          </w:p>
        </w:tc>
        <w:tc>
          <w:tcPr>
            <w:tcW w:w="2038" w:type="dxa"/>
          </w:tcPr>
          <w:p w14:paraId="3CB0FFCB" w14:textId="77777777" w:rsidR="00F67DDB" w:rsidRPr="0070080E" w:rsidRDefault="0094076D">
            <w:pPr>
              <w:pStyle w:val="Compact"/>
            </w:pPr>
            <w:r w:rsidRPr="0070080E">
              <w:t>Professional Sample</w:t>
            </w:r>
          </w:p>
        </w:tc>
        <w:tc>
          <w:tcPr>
            <w:tcW w:w="2228" w:type="dxa"/>
          </w:tcPr>
          <w:p w14:paraId="3CB0FFCC" w14:textId="77777777" w:rsidR="00F67DDB" w:rsidRPr="0070080E" w:rsidRDefault="0094076D">
            <w:pPr>
              <w:pStyle w:val="Compact"/>
            </w:pPr>
            <w:r w:rsidRPr="0070080E">
              <w:t>Behavioral Decision Support</w:t>
            </w:r>
          </w:p>
        </w:tc>
        <w:tc>
          <w:tcPr>
            <w:tcW w:w="1819" w:type="dxa"/>
          </w:tcPr>
          <w:p w14:paraId="3CB0FFCD" w14:textId="77777777" w:rsidR="00F67DDB" w:rsidRPr="0070080E" w:rsidRDefault="0094076D">
            <w:pPr>
              <w:pStyle w:val="Compact"/>
            </w:pPr>
            <w:r w:rsidRPr="0070080E">
              <w:t>Portfolio Outcome Validation</w:t>
            </w:r>
          </w:p>
        </w:tc>
        <w:tc>
          <w:tcPr>
            <w:tcW w:w="4642" w:type="dxa"/>
          </w:tcPr>
          <w:p w14:paraId="3CB0FFCE" w14:textId="77777777" w:rsidR="00F67DDB" w:rsidRPr="0070080E" w:rsidRDefault="0094076D">
            <w:pPr>
              <w:pStyle w:val="Compact"/>
            </w:pPr>
            <w:r w:rsidRPr="0070080E">
              <w:t>Primary Gap</w:t>
            </w:r>
          </w:p>
        </w:tc>
      </w:tr>
      <w:tr w:rsidR="00F13E40" w:rsidRPr="0070080E" w14:paraId="3CB0FFD6" w14:textId="77777777" w:rsidTr="00216E23">
        <w:trPr>
          <w:trHeight w:val="693"/>
        </w:trPr>
        <w:tc>
          <w:tcPr>
            <w:tcW w:w="1419" w:type="dxa"/>
          </w:tcPr>
          <w:p w14:paraId="3CB0FFD0" w14:textId="77777777" w:rsidR="00F67DDB" w:rsidRPr="0070080E" w:rsidRDefault="0094076D">
            <w:pPr>
              <w:pStyle w:val="Compact"/>
            </w:pPr>
            <w:r w:rsidRPr="0070080E">
              <w:t>Tetlock (2007)</w:t>
            </w:r>
          </w:p>
        </w:tc>
        <w:tc>
          <w:tcPr>
            <w:tcW w:w="1984" w:type="dxa"/>
          </w:tcPr>
          <w:p w14:paraId="3CB0FFD1" w14:textId="59E282BF" w:rsidR="00F67DDB" w:rsidRPr="0070080E" w:rsidRDefault="0094076D">
            <w:pPr>
              <w:pStyle w:val="Compact"/>
            </w:pPr>
            <w:r w:rsidRPr="0070080E">
              <w:t>No</w:t>
            </w:r>
            <w:r w:rsidR="000A66AA">
              <w:t>—</w:t>
            </w:r>
            <w:r w:rsidRPr="0070080E">
              <w:t>ex-post sentiment analysis</w:t>
            </w:r>
          </w:p>
        </w:tc>
        <w:tc>
          <w:tcPr>
            <w:tcW w:w="2038" w:type="dxa"/>
          </w:tcPr>
          <w:p w14:paraId="3CB0FFD2" w14:textId="6DCE9424" w:rsidR="00F67DDB" w:rsidRPr="0070080E" w:rsidRDefault="0094076D">
            <w:pPr>
              <w:pStyle w:val="Compact"/>
            </w:pPr>
            <w:r w:rsidRPr="0070080E">
              <w:t>Mixed</w:t>
            </w:r>
            <w:r w:rsidR="000A66AA">
              <w:t>—</w:t>
            </w:r>
            <w:r w:rsidRPr="0070080E">
              <w:t>institutional data but retrospective</w:t>
            </w:r>
          </w:p>
        </w:tc>
        <w:tc>
          <w:tcPr>
            <w:tcW w:w="2228" w:type="dxa"/>
          </w:tcPr>
          <w:p w14:paraId="3CB0FFD3" w14:textId="52825D98" w:rsidR="00F67DDB" w:rsidRPr="0070080E" w:rsidRDefault="0094076D">
            <w:pPr>
              <w:pStyle w:val="Compact"/>
            </w:pPr>
            <w:r w:rsidRPr="0070080E">
              <w:t>No</w:t>
            </w:r>
            <w:r w:rsidR="000A66AA">
              <w:t>—</w:t>
            </w:r>
            <w:r w:rsidRPr="0070080E">
              <w:t>predictive model only</w:t>
            </w:r>
          </w:p>
        </w:tc>
        <w:tc>
          <w:tcPr>
            <w:tcW w:w="1819" w:type="dxa"/>
          </w:tcPr>
          <w:p w14:paraId="3CB0FFD4" w14:textId="2CA81F14" w:rsidR="00F67DDB" w:rsidRPr="0070080E" w:rsidRDefault="0094076D">
            <w:pPr>
              <w:pStyle w:val="Compact"/>
            </w:pPr>
            <w:r w:rsidRPr="0070080E">
              <w:t>Yes</w:t>
            </w:r>
            <w:r w:rsidR="000A66AA">
              <w:t>—</w:t>
            </w:r>
            <w:r w:rsidRPr="0070080E">
              <w:t>returns, volume</w:t>
            </w:r>
          </w:p>
        </w:tc>
        <w:tc>
          <w:tcPr>
            <w:tcW w:w="4642" w:type="dxa"/>
          </w:tcPr>
          <w:p w14:paraId="3CB0FFD5" w14:textId="77777777" w:rsidR="00F67DDB" w:rsidRPr="0070080E" w:rsidRDefault="0094076D">
            <w:pPr>
              <w:pStyle w:val="Compact"/>
            </w:pPr>
            <w:r w:rsidRPr="0070080E">
              <w:t>No real-time intervention; designed for algorithmic trading, not managerial guidance</w:t>
            </w:r>
          </w:p>
        </w:tc>
      </w:tr>
      <w:tr w:rsidR="00F13E40" w:rsidRPr="0070080E" w14:paraId="3CB0FFDD" w14:textId="77777777" w:rsidTr="00216E23">
        <w:trPr>
          <w:trHeight w:val="684"/>
        </w:trPr>
        <w:tc>
          <w:tcPr>
            <w:tcW w:w="1419" w:type="dxa"/>
          </w:tcPr>
          <w:p w14:paraId="3CB0FFD7" w14:textId="395F3A55" w:rsidR="00F67DDB" w:rsidRPr="0070080E" w:rsidRDefault="0094076D">
            <w:pPr>
              <w:pStyle w:val="Compact"/>
            </w:pPr>
            <w:r w:rsidRPr="0070080E">
              <w:t xml:space="preserve">Engelberg </w:t>
            </w:r>
            <w:r w:rsidR="00352772">
              <w:t>and</w:t>
            </w:r>
            <w:r w:rsidRPr="0070080E">
              <w:t xml:space="preserve"> Parsons (2009)</w:t>
            </w:r>
          </w:p>
        </w:tc>
        <w:tc>
          <w:tcPr>
            <w:tcW w:w="1984" w:type="dxa"/>
          </w:tcPr>
          <w:p w14:paraId="3CB0FFD8" w14:textId="16207532" w:rsidR="00F67DDB" w:rsidRPr="0070080E" w:rsidRDefault="0094076D">
            <w:pPr>
              <w:pStyle w:val="Compact"/>
            </w:pPr>
            <w:r w:rsidRPr="0070080E">
              <w:t>Partial</w:t>
            </w:r>
            <w:r w:rsidR="000A66AA">
              <w:t>—</w:t>
            </w:r>
            <w:r w:rsidRPr="0070080E">
              <w:t>localized news events</w:t>
            </w:r>
          </w:p>
        </w:tc>
        <w:tc>
          <w:tcPr>
            <w:tcW w:w="2038" w:type="dxa"/>
          </w:tcPr>
          <w:p w14:paraId="3CB0FFD9" w14:textId="1352FB98" w:rsidR="00F67DDB" w:rsidRPr="0070080E" w:rsidRDefault="0094076D">
            <w:pPr>
              <w:pStyle w:val="Compact"/>
            </w:pPr>
            <w:r w:rsidRPr="0070080E">
              <w:t>Mixed</w:t>
            </w:r>
            <w:r w:rsidR="000A66AA">
              <w:t>—</w:t>
            </w:r>
            <w:r w:rsidRPr="0070080E">
              <w:t>market-wide responses</w:t>
            </w:r>
          </w:p>
        </w:tc>
        <w:tc>
          <w:tcPr>
            <w:tcW w:w="2228" w:type="dxa"/>
          </w:tcPr>
          <w:p w14:paraId="3CB0FFDA" w14:textId="736E375D" w:rsidR="00F67DDB" w:rsidRPr="0070080E" w:rsidRDefault="0094076D">
            <w:pPr>
              <w:pStyle w:val="Compact"/>
            </w:pPr>
            <w:r w:rsidRPr="0070080E">
              <w:t>No</w:t>
            </w:r>
            <w:r w:rsidR="000A66AA">
              <w:t>—</w:t>
            </w:r>
            <w:r w:rsidRPr="0070080E">
              <w:t>causal identification focus</w:t>
            </w:r>
          </w:p>
        </w:tc>
        <w:tc>
          <w:tcPr>
            <w:tcW w:w="1819" w:type="dxa"/>
          </w:tcPr>
          <w:p w14:paraId="3CB0FFDB" w14:textId="798BE0D5" w:rsidR="00F67DDB" w:rsidRPr="0070080E" w:rsidRDefault="0094076D">
            <w:pPr>
              <w:pStyle w:val="Compact"/>
            </w:pPr>
            <w:r w:rsidRPr="0070080E">
              <w:t>Yes</w:t>
            </w:r>
            <w:r w:rsidR="000A66AA">
              <w:t>—</w:t>
            </w:r>
            <w:r w:rsidRPr="0070080E">
              <w:t>trading volume, returns</w:t>
            </w:r>
          </w:p>
        </w:tc>
        <w:tc>
          <w:tcPr>
            <w:tcW w:w="4642" w:type="dxa"/>
          </w:tcPr>
          <w:p w14:paraId="3CB0FFDC" w14:textId="77777777" w:rsidR="00F67DDB" w:rsidRPr="0070080E" w:rsidRDefault="0094076D">
            <w:pPr>
              <w:pStyle w:val="Compact"/>
            </w:pPr>
            <w:r w:rsidRPr="0070080E">
              <w:t>Identifies media impact but provides no decision-support framework</w:t>
            </w:r>
          </w:p>
        </w:tc>
      </w:tr>
      <w:tr w:rsidR="00F13E40" w:rsidRPr="0070080E" w14:paraId="3CB0FFE4" w14:textId="77777777" w:rsidTr="00216E23">
        <w:trPr>
          <w:trHeight w:val="720"/>
        </w:trPr>
        <w:tc>
          <w:tcPr>
            <w:tcW w:w="1419" w:type="dxa"/>
          </w:tcPr>
          <w:p w14:paraId="3CB0FFDE" w14:textId="77777777" w:rsidR="00F67DDB" w:rsidRPr="0070080E" w:rsidRDefault="0094076D">
            <w:pPr>
              <w:pStyle w:val="Compact"/>
            </w:pPr>
            <w:r w:rsidRPr="0070080E">
              <w:t>Song et al. (2015)</w:t>
            </w:r>
          </w:p>
        </w:tc>
        <w:tc>
          <w:tcPr>
            <w:tcW w:w="1984" w:type="dxa"/>
          </w:tcPr>
          <w:p w14:paraId="3CB0FFDF" w14:textId="7505AD6D" w:rsidR="00F67DDB" w:rsidRPr="0070080E" w:rsidRDefault="0094076D">
            <w:pPr>
              <w:pStyle w:val="Compact"/>
            </w:pPr>
            <w:r w:rsidRPr="0070080E">
              <w:t>Yes</w:t>
            </w:r>
            <w:r w:rsidR="000A66AA">
              <w:t>—</w:t>
            </w:r>
            <w:r w:rsidRPr="0070080E">
              <w:t>abnormal sentiment scores</w:t>
            </w:r>
          </w:p>
        </w:tc>
        <w:tc>
          <w:tcPr>
            <w:tcW w:w="2038" w:type="dxa"/>
          </w:tcPr>
          <w:p w14:paraId="3CB0FFE0" w14:textId="7479E1F9" w:rsidR="00F67DDB" w:rsidRPr="0070080E" w:rsidRDefault="0094076D">
            <w:pPr>
              <w:pStyle w:val="Compact"/>
            </w:pPr>
            <w:r w:rsidRPr="0070080E">
              <w:t>No</w:t>
            </w:r>
            <w:r w:rsidR="000A66AA">
              <w:t>—</w:t>
            </w:r>
            <w:r w:rsidRPr="0070080E">
              <w:t>algorithmic strategy design</w:t>
            </w:r>
          </w:p>
        </w:tc>
        <w:tc>
          <w:tcPr>
            <w:tcW w:w="2228" w:type="dxa"/>
          </w:tcPr>
          <w:p w14:paraId="3CB0FFE1" w14:textId="40ABEEB2" w:rsidR="00F67DDB" w:rsidRPr="0070080E" w:rsidRDefault="0094076D">
            <w:pPr>
              <w:pStyle w:val="Compact"/>
            </w:pPr>
            <w:r w:rsidRPr="0070080E">
              <w:t>No</w:t>
            </w:r>
            <w:r w:rsidR="000A66AA">
              <w:t>—</w:t>
            </w:r>
            <w:r w:rsidRPr="0070080E">
              <w:t>automated trading signals</w:t>
            </w:r>
          </w:p>
        </w:tc>
        <w:tc>
          <w:tcPr>
            <w:tcW w:w="1819" w:type="dxa"/>
          </w:tcPr>
          <w:p w14:paraId="3CB0FFE2" w14:textId="1D9DEED8" w:rsidR="00F67DDB" w:rsidRPr="0070080E" w:rsidRDefault="0094076D">
            <w:pPr>
              <w:pStyle w:val="Compact"/>
            </w:pPr>
            <w:r w:rsidRPr="0070080E">
              <w:t>Yes</w:t>
            </w:r>
            <w:r w:rsidR="000A66AA">
              <w:t>—</w:t>
            </w:r>
            <w:r w:rsidRPr="0070080E">
              <w:t>risk-adjusted returns</w:t>
            </w:r>
          </w:p>
        </w:tc>
        <w:tc>
          <w:tcPr>
            <w:tcW w:w="4642" w:type="dxa"/>
          </w:tcPr>
          <w:p w14:paraId="3CB0FFE3" w14:textId="77777777" w:rsidR="00F67DDB" w:rsidRPr="0070080E" w:rsidRDefault="0094076D">
            <w:pPr>
              <w:pStyle w:val="Compact"/>
            </w:pPr>
            <w:r w:rsidRPr="0070080E">
              <w:t>Real-time signals exist but designed for algorithmic execution, not human decision-makers</w:t>
            </w:r>
          </w:p>
        </w:tc>
      </w:tr>
      <w:tr w:rsidR="00F13E40" w:rsidRPr="0070080E" w14:paraId="3CB0FFEB" w14:textId="77777777" w:rsidTr="00216E23">
        <w:tc>
          <w:tcPr>
            <w:tcW w:w="1419" w:type="dxa"/>
          </w:tcPr>
          <w:p w14:paraId="3CB0FFE5" w14:textId="77777777" w:rsidR="00F67DDB" w:rsidRPr="0070080E" w:rsidRDefault="0094076D">
            <w:pPr>
              <w:pStyle w:val="Compact"/>
            </w:pPr>
            <w:r w:rsidRPr="0070080E">
              <w:t>Statman (2019)</w:t>
            </w:r>
          </w:p>
        </w:tc>
        <w:tc>
          <w:tcPr>
            <w:tcW w:w="1984" w:type="dxa"/>
          </w:tcPr>
          <w:p w14:paraId="3CB0FFE6" w14:textId="17B2163E" w:rsidR="00F67DDB" w:rsidRPr="0070080E" w:rsidRDefault="0094076D">
            <w:pPr>
              <w:pStyle w:val="Compact"/>
            </w:pPr>
            <w:r w:rsidRPr="0070080E">
              <w:t>No</w:t>
            </w:r>
            <w:r w:rsidR="000A66AA">
              <w:t>—</w:t>
            </w:r>
            <w:r w:rsidRPr="0070080E">
              <w:t>conceptual discussion</w:t>
            </w:r>
          </w:p>
        </w:tc>
        <w:tc>
          <w:tcPr>
            <w:tcW w:w="2038" w:type="dxa"/>
          </w:tcPr>
          <w:p w14:paraId="3CB0FFE7" w14:textId="3714038D" w:rsidR="00F67DDB" w:rsidRPr="0070080E" w:rsidRDefault="0094076D">
            <w:pPr>
              <w:pStyle w:val="Compact"/>
            </w:pPr>
            <w:r w:rsidRPr="0070080E">
              <w:t>Yes</w:t>
            </w:r>
            <w:r w:rsidR="000A66AA">
              <w:t>—</w:t>
            </w:r>
            <w:r w:rsidRPr="0070080E">
              <w:t>practitioner-focused</w:t>
            </w:r>
          </w:p>
        </w:tc>
        <w:tc>
          <w:tcPr>
            <w:tcW w:w="2228" w:type="dxa"/>
          </w:tcPr>
          <w:p w14:paraId="3CB0FFE8" w14:textId="3F80708F" w:rsidR="00F67DDB" w:rsidRPr="0070080E" w:rsidRDefault="0094076D">
            <w:pPr>
              <w:pStyle w:val="Compact"/>
            </w:pPr>
            <w:r w:rsidRPr="0070080E">
              <w:t>Yes</w:t>
            </w:r>
            <w:r w:rsidR="000A66AA">
              <w:t>—</w:t>
            </w:r>
            <w:r w:rsidRPr="0070080E">
              <w:t>behavioral coaching principles</w:t>
            </w:r>
          </w:p>
        </w:tc>
        <w:tc>
          <w:tcPr>
            <w:tcW w:w="1819" w:type="dxa"/>
          </w:tcPr>
          <w:p w14:paraId="3CB0FFE9" w14:textId="4C350C1B" w:rsidR="00F67DDB" w:rsidRPr="0070080E" w:rsidRDefault="0094076D">
            <w:pPr>
              <w:pStyle w:val="Compact"/>
            </w:pPr>
            <w:r w:rsidRPr="0070080E">
              <w:t>No</w:t>
            </w:r>
            <w:r w:rsidR="000A66AA">
              <w:t>—</w:t>
            </w:r>
            <w:r w:rsidRPr="0070080E">
              <w:t>conceptual framework</w:t>
            </w:r>
          </w:p>
        </w:tc>
        <w:tc>
          <w:tcPr>
            <w:tcW w:w="4642" w:type="dxa"/>
          </w:tcPr>
          <w:p w14:paraId="3CB0FFEA" w14:textId="77777777" w:rsidR="00F67DDB" w:rsidRPr="0070080E" w:rsidRDefault="0094076D">
            <w:pPr>
              <w:pStyle w:val="Compact"/>
            </w:pPr>
            <w:r w:rsidRPr="0070080E">
              <w:t>Advocates for behavioral tools but offers no operational information shock measurement or empirical validation</w:t>
            </w:r>
          </w:p>
        </w:tc>
      </w:tr>
      <w:tr w:rsidR="00F13E40" w:rsidRPr="0070080E" w14:paraId="3CB0FFF2" w14:textId="77777777" w:rsidTr="00216E23">
        <w:trPr>
          <w:trHeight w:val="954"/>
        </w:trPr>
        <w:tc>
          <w:tcPr>
            <w:tcW w:w="1419" w:type="dxa"/>
          </w:tcPr>
          <w:p w14:paraId="3CB0FFEC" w14:textId="77777777" w:rsidR="00F67DDB" w:rsidRPr="0070080E" w:rsidRDefault="0094076D">
            <w:pPr>
              <w:pStyle w:val="Compact"/>
            </w:pPr>
            <w:r w:rsidRPr="0070080E">
              <w:t>Huber et al. (2022)</w:t>
            </w:r>
          </w:p>
        </w:tc>
        <w:tc>
          <w:tcPr>
            <w:tcW w:w="1984" w:type="dxa"/>
          </w:tcPr>
          <w:p w14:paraId="3CB0FFED" w14:textId="660E4BDF" w:rsidR="00F67DDB" w:rsidRPr="0070080E" w:rsidRDefault="0094076D">
            <w:pPr>
              <w:pStyle w:val="Compact"/>
            </w:pPr>
            <w:r w:rsidRPr="0070080E">
              <w:t>Yes</w:t>
            </w:r>
            <w:r w:rsidR="000A66AA">
              <w:t>—</w:t>
            </w:r>
            <w:r w:rsidRPr="0070080E">
              <w:t>experimental volatility shocks</w:t>
            </w:r>
          </w:p>
        </w:tc>
        <w:tc>
          <w:tcPr>
            <w:tcW w:w="2038" w:type="dxa"/>
          </w:tcPr>
          <w:p w14:paraId="3CB0FFEE" w14:textId="7F07B8B5" w:rsidR="00F67DDB" w:rsidRPr="0070080E" w:rsidRDefault="0094076D">
            <w:pPr>
              <w:pStyle w:val="Compact"/>
            </w:pPr>
            <w:r w:rsidRPr="0070080E">
              <w:t>Yes</w:t>
            </w:r>
            <w:r w:rsidR="000A66AA">
              <w:t>—</w:t>
            </w:r>
            <w:r w:rsidRPr="0070080E">
              <w:t>professionals vs. students</w:t>
            </w:r>
          </w:p>
        </w:tc>
        <w:tc>
          <w:tcPr>
            <w:tcW w:w="2228" w:type="dxa"/>
          </w:tcPr>
          <w:p w14:paraId="3CB0FFEF" w14:textId="21FEE984" w:rsidR="00F67DDB" w:rsidRPr="0070080E" w:rsidRDefault="0094076D">
            <w:pPr>
              <w:pStyle w:val="Compact"/>
            </w:pPr>
            <w:r w:rsidRPr="0070080E">
              <w:t>No</w:t>
            </w:r>
            <w:r w:rsidR="000A66AA">
              <w:t>—</w:t>
            </w:r>
            <w:r w:rsidRPr="0070080E">
              <w:t>observational study</w:t>
            </w:r>
          </w:p>
        </w:tc>
        <w:tc>
          <w:tcPr>
            <w:tcW w:w="1819" w:type="dxa"/>
          </w:tcPr>
          <w:p w14:paraId="3CB0FFF0" w14:textId="056C6A12" w:rsidR="00F67DDB" w:rsidRPr="0070080E" w:rsidRDefault="0094076D">
            <w:pPr>
              <w:pStyle w:val="Compact"/>
            </w:pPr>
            <w:r w:rsidRPr="0070080E">
              <w:t>Partial</w:t>
            </w:r>
            <w:r w:rsidR="000A66AA">
              <w:t>—</w:t>
            </w:r>
            <w:r w:rsidRPr="0070080E">
              <w:t>risk perception, not portfolios</w:t>
            </w:r>
          </w:p>
        </w:tc>
        <w:tc>
          <w:tcPr>
            <w:tcW w:w="4642" w:type="dxa"/>
          </w:tcPr>
          <w:p w14:paraId="3CB0FFF1" w14:textId="77777777" w:rsidR="00F67DDB" w:rsidRPr="0070080E" w:rsidRDefault="0094076D">
            <w:pPr>
              <w:pStyle w:val="Compact"/>
            </w:pPr>
            <w:r w:rsidRPr="0070080E">
              <w:t>Demonstrates professional behavioral differences but lacks decision-support intervention</w:t>
            </w:r>
          </w:p>
        </w:tc>
      </w:tr>
      <w:tr w:rsidR="00F13E40" w:rsidRPr="0070080E" w14:paraId="3CB0FFF9" w14:textId="77777777" w:rsidTr="00216E23">
        <w:trPr>
          <w:trHeight w:val="1242"/>
        </w:trPr>
        <w:tc>
          <w:tcPr>
            <w:tcW w:w="1419" w:type="dxa"/>
          </w:tcPr>
          <w:p w14:paraId="3CB0FFF3" w14:textId="77777777" w:rsidR="00F67DDB" w:rsidRPr="0070080E" w:rsidRDefault="0094076D">
            <w:pPr>
              <w:pStyle w:val="Compact"/>
            </w:pPr>
            <w:r w:rsidRPr="0070080E">
              <w:t>Lim (2026)</w:t>
            </w:r>
          </w:p>
        </w:tc>
        <w:tc>
          <w:tcPr>
            <w:tcW w:w="1984" w:type="dxa"/>
          </w:tcPr>
          <w:p w14:paraId="3CB0FFF4" w14:textId="1DBCF583" w:rsidR="00F67DDB" w:rsidRPr="0070080E" w:rsidRDefault="0094076D">
            <w:pPr>
              <w:pStyle w:val="Compact"/>
            </w:pPr>
            <w:r w:rsidRPr="0070080E">
              <w:t>Yes</w:t>
            </w:r>
            <w:r w:rsidR="000A66AA">
              <w:t>—</w:t>
            </w:r>
            <w:r w:rsidRPr="0070080E">
              <w:t>FinBERT sentiment + volume-based market event detection</w:t>
            </w:r>
          </w:p>
        </w:tc>
        <w:tc>
          <w:tcPr>
            <w:tcW w:w="2038" w:type="dxa"/>
          </w:tcPr>
          <w:p w14:paraId="3CB0FFF5" w14:textId="69E5A21C" w:rsidR="00F67DDB" w:rsidRPr="0070080E" w:rsidRDefault="0094076D">
            <w:pPr>
              <w:pStyle w:val="Compact"/>
            </w:pPr>
            <w:r w:rsidRPr="0070080E">
              <w:t>No</w:t>
            </w:r>
            <w:r w:rsidR="000A66AA">
              <w:t>—</w:t>
            </w:r>
            <w:r w:rsidRPr="0070080E">
              <w:t>scripted algorithmic agents only; no human participants</w:t>
            </w:r>
          </w:p>
        </w:tc>
        <w:tc>
          <w:tcPr>
            <w:tcW w:w="2228" w:type="dxa"/>
          </w:tcPr>
          <w:p w14:paraId="3CB0FFF6" w14:textId="07736A28" w:rsidR="00F67DDB" w:rsidRPr="0070080E" w:rsidRDefault="0094076D">
            <w:pPr>
              <w:pStyle w:val="Compact"/>
            </w:pPr>
            <w:r w:rsidRPr="0070080E">
              <w:t>Yes</w:t>
            </w:r>
            <w:r w:rsidR="000A66AA">
              <w:t>—</w:t>
            </w:r>
            <w:r w:rsidRPr="0070080E">
              <w:t>FinBERT + DistilBERT + LLM advisory pipeline; behavioral nudge design</w:t>
            </w:r>
          </w:p>
        </w:tc>
        <w:tc>
          <w:tcPr>
            <w:tcW w:w="1819" w:type="dxa"/>
          </w:tcPr>
          <w:p w14:paraId="3CB0FFF7" w14:textId="5D9F7153" w:rsidR="00F67DDB" w:rsidRPr="0070080E" w:rsidRDefault="0094076D">
            <w:pPr>
              <w:pStyle w:val="Compact"/>
            </w:pPr>
            <w:r w:rsidRPr="0070080E">
              <w:t>Yes</w:t>
            </w:r>
            <w:r w:rsidR="000A66AA">
              <w:t>—</w:t>
            </w:r>
            <w:r w:rsidRPr="0070080E">
              <w:t>simulated portfolio variance and drawdown</w:t>
            </w:r>
          </w:p>
        </w:tc>
        <w:tc>
          <w:tcPr>
            <w:tcW w:w="4642" w:type="dxa"/>
          </w:tcPr>
          <w:p w14:paraId="3CB0FFF8" w14:textId="77777777" w:rsidR="00F67DDB" w:rsidRPr="0070080E" w:rsidRDefault="0094076D">
            <w:pPr>
              <w:pStyle w:val="Compact"/>
            </w:pPr>
            <w:r w:rsidRPr="0070080E">
              <w:t>Simulation-only validation; no human-participant evidence; results cannot be interpreted as evidence of behavioral change in real traders</w:t>
            </w:r>
          </w:p>
        </w:tc>
      </w:tr>
      <w:tr w:rsidR="00F13E40" w:rsidRPr="0070080E" w14:paraId="3CB10000" w14:textId="77777777" w:rsidTr="00216E23">
        <w:trPr>
          <w:trHeight w:val="1521"/>
        </w:trPr>
        <w:tc>
          <w:tcPr>
            <w:tcW w:w="1419" w:type="dxa"/>
          </w:tcPr>
          <w:p w14:paraId="3CB0FFFA" w14:textId="77777777" w:rsidR="00F67DDB" w:rsidRPr="0070080E" w:rsidRDefault="0094076D">
            <w:pPr>
              <w:pStyle w:val="Compact"/>
            </w:pPr>
            <w:r w:rsidRPr="0070080E">
              <w:rPr>
                <w:b/>
                <w:bCs/>
              </w:rPr>
              <w:t>This Thesis</w:t>
            </w:r>
          </w:p>
        </w:tc>
        <w:tc>
          <w:tcPr>
            <w:tcW w:w="1984" w:type="dxa"/>
          </w:tcPr>
          <w:p w14:paraId="3CB0FFFB" w14:textId="4080EA25" w:rsidR="00F67DDB" w:rsidRPr="0070080E" w:rsidRDefault="0094076D">
            <w:pPr>
              <w:pStyle w:val="Compact"/>
            </w:pPr>
            <w:r w:rsidRPr="0070080E">
              <w:rPr>
                <w:b/>
                <w:bCs/>
              </w:rPr>
              <w:t>Yes</w:t>
            </w:r>
            <w:r w:rsidR="000A66AA">
              <w:rPr>
                <w:b/>
                <w:bCs/>
              </w:rPr>
              <w:t>—</w:t>
            </w:r>
            <w:r w:rsidRPr="0070080E">
              <w:rPr>
                <w:b/>
                <w:bCs/>
              </w:rPr>
              <w:t>composite Shock Score (construction in Chapter 4)</w:t>
            </w:r>
          </w:p>
        </w:tc>
        <w:tc>
          <w:tcPr>
            <w:tcW w:w="2038" w:type="dxa"/>
          </w:tcPr>
          <w:p w14:paraId="3CB0FFFC" w14:textId="1578B2EA" w:rsidR="00F67DDB" w:rsidRPr="0070080E" w:rsidRDefault="0094076D">
            <w:pPr>
              <w:pStyle w:val="Compact"/>
            </w:pPr>
            <w:r w:rsidRPr="0070080E">
              <w:rPr>
                <w:b/>
                <w:bCs/>
              </w:rPr>
              <w:t>Yes</w:t>
            </w:r>
            <w:r w:rsidR="000A66AA">
              <w:rPr>
                <w:b/>
                <w:bCs/>
              </w:rPr>
              <w:t>—</w:t>
            </w:r>
            <w:r w:rsidRPr="0070080E">
              <w:rPr>
                <w:b/>
                <w:bCs/>
              </w:rPr>
              <w:t xml:space="preserve">portfolio managers with 5+ </w:t>
            </w:r>
            <w:proofErr w:type="spellStart"/>
            <w:r w:rsidRPr="0070080E">
              <w:rPr>
                <w:b/>
                <w:bCs/>
              </w:rPr>
              <w:t>years experience</w:t>
            </w:r>
            <w:proofErr w:type="spellEnd"/>
          </w:p>
        </w:tc>
        <w:tc>
          <w:tcPr>
            <w:tcW w:w="2228" w:type="dxa"/>
          </w:tcPr>
          <w:p w14:paraId="3CB0FFFD" w14:textId="5A4EBF3B" w:rsidR="00F67DDB" w:rsidRPr="0070080E" w:rsidRDefault="0094076D">
            <w:pPr>
              <w:pStyle w:val="Compact"/>
            </w:pPr>
            <w:r w:rsidRPr="0070080E">
              <w:rPr>
                <w:b/>
                <w:bCs/>
              </w:rPr>
              <w:t>Yes</w:t>
            </w:r>
            <w:r w:rsidR="000A66AA">
              <w:rPr>
                <w:b/>
                <w:bCs/>
              </w:rPr>
              <w:t>—</w:t>
            </w:r>
            <w:r w:rsidRPr="0070080E">
              <w:rPr>
                <w:b/>
                <w:bCs/>
              </w:rPr>
              <w:t>real-time bias mitigation via IPS-linked cooling-off protocols</w:t>
            </w:r>
          </w:p>
        </w:tc>
        <w:tc>
          <w:tcPr>
            <w:tcW w:w="1819" w:type="dxa"/>
          </w:tcPr>
          <w:p w14:paraId="3CB0FFFE" w14:textId="38EFB241" w:rsidR="00F67DDB" w:rsidRPr="0070080E" w:rsidRDefault="0094076D">
            <w:pPr>
              <w:pStyle w:val="Compact"/>
            </w:pPr>
            <w:r w:rsidRPr="0070080E">
              <w:rPr>
                <w:b/>
                <w:bCs/>
              </w:rPr>
              <w:t>Yes</w:t>
            </w:r>
            <w:r w:rsidR="000A66AA">
              <w:rPr>
                <w:b/>
                <w:bCs/>
              </w:rPr>
              <w:t>—</w:t>
            </w:r>
            <w:r w:rsidRPr="0070080E">
              <w:rPr>
                <w:b/>
                <w:bCs/>
              </w:rPr>
              <w:t>Sharpe ratio, Sortino ratio, max drawdown, volatility</w:t>
            </w:r>
          </w:p>
        </w:tc>
        <w:tc>
          <w:tcPr>
            <w:tcW w:w="4642" w:type="dxa"/>
          </w:tcPr>
          <w:p w14:paraId="3CB0FFFF" w14:textId="77777777" w:rsidR="00F67DDB" w:rsidRPr="0070080E" w:rsidRDefault="0094076D">
            <w:pPr>
              <w:pStyle w:val="Compact"/>
            </w:pPr>
            <w:r w:rsidRPr="0070080E">
              <w:rPr>
                <w:b/>
                <w:bCs/>
              </w:rPr>
              <w:t>Integrates all components: real-time information shock measurement, professional context, behavioral intervention, and portfolio performance validation in a single controlled study</w:t>
            </w:r>
          </w:p>
        </w:tc>
      </w:tr>
    </w:tbl>
    <w:p w14:paraId="3CB10001" w14:textId="77777777" w:rsidR="00F67DDB" w:rsidRPr="0070080E" w:rsidRDefault="0094076D" w:rsidP="00F13E40">
      <w:pPr>
        <w:pStyle w:val="BodyText"/>
        <w:ind w:firstLine="0"/>
      </w:pPr>
      <w:r w:rsidRPr="0070080E">
        <w:rPr>
          <w:i/>
          <w:iCs/>
        </w:rPr>
        <w:t>Note.</w:t>
      </w:r>
      <w:r w:rsidRPr="0070080E">
        <w:t xml:space="preserve"> Summary based on a structured review of the cited literature. Gap assessments reflect the primary scope and sample characteristics of each study as reported in the original publications.</w:t>
      </w:r>
    </w:p>
    <w:p w14:paraId="1CA1EA4B" w14:textId="77777777" w:rsidR="008617A1" w:rsidRPr="0070080E" w:rsidRDefault="008617A1">
      <w:pPr>
        <w:pStyle w:val="Heading3"/>
        <w:sectPr w:rsidR="008617A1" w:rsidRPr="0070080E" w:rsidSect="00843C89">
          <w:footnotePr>
            <w:numRestart w:val="eachSect"/>
          </w:footnotePr>
          <w:pgSz w:w="15840" w:h="12240" w:orient="landscape"/>
          <w:pgMar w:top="1440" w:right="1440" w:bottom="1440" w:left="1440" w:header="630" w:footer="720" w:gutter="0"/>
          <w:cols w:space="720"/>
          <w:docGrid w:linePitch="299"/>
        </w:sectPr>
      </w:pPr>
      <w:bookmarkStart w:id="101" w:name="X711b810aa46cf1dacd9dcc47afaa51458729c4a"/>
      <w:bookmarkEnd w:id="100"/>
    </w:p>
    <w:p w14:paraId="3CB10002" w14:textId="77777777" w:rsidR="00F67DDB" w:rsidRPr="0070080E" w:rsidRDefault="0094076D">
      <w:pPr>
        <w:pStyle w:val="Heading3"/>
      </w:pPr>
      <w:r w:rsidRPr="0070080E">
        <w:t>3.6.3 Positioning of the Shock Score within Existing Literature</w:t>
      </w:r>
    </w:p>
    <w:p w14:paraId="3CB10003" w14:textId="77777777" w:rsidR="00F67DDB" w:rsidRPr="0070080E" w:rsidRDefault="0094076D">
      <w:pPr>
        <w:pStyle w:val="FirstParagraph"/>
      </w:pPr>
      <w:r w:rsidRPr="0070080E">
        <w:t>Chapter 4 introduces the Shock Score as a novel composite indicator bridging behavioral theory and operational decision-making needs. Unlike most behavioral finance instruments, the Shock Score is designed as an ex-ante, real-time metric intended for practitioner use. Prior research has not proposed a comparable behavioral risk index explicitly tailored to support human decision-making in real time. The closest technical analogues are sentiment- and news-based measures developed for predictive or algorithmic purposes. For example, Song et al. (2015) constructed sentiment-based signals to forecast asset returns, but these measures are intended for automated trading systems rather than for guiding portfolio managers’ behavioral responses as information shocks unfold. By contrast, the Shock Score is designed to inform ex-ante decision support, operationalizing insights from cognitive psychology such as loss aversion, anchoring, and overconfidence (its construction is detailed in Chapter 4).</w:t>
      </w:r>
    </w:p>
    <w:p w14:paraId="3CB10004" w14:textId="77777777" w:rsidR="00F67DDB" w:rsidRPr="0070080E" w:rsidRDefault="0094076D">
      <w:pPr>
        <w:pStyle w:val="BodyText"/>
      </w:pPr>
      <w:r w:rsidRPr="0070080E">
        <w:t xml:space="preserve">This approach aligns with calls in the literature to integrate behavioral insights with explainable, real-time decision support. For example, Lim (2026) highlighted the value of combining behavioral finance with explainable AI to improve decision-support systems, particularly in time-sensitive contexts. The Shock Score builds on this motivation by translating well-established behavioral mechanisms into a machine-readable risk alert intended for practitioner use. Conceptually, it draws on the ‘System 1 versus System 2’ framework articulated by </w:t>
      </w:r>
      <w:hyperlink r:id="rId298">
        <w:r w:rsidRPr="0070080E">
          <w:rPr>
            <w:rStyle w:val="Hyperlink"/>
          </w:rPr>
          <w:t>Kahneman (2011)</w:t>
        </w:r>
      </w:hyperlink>
      <w:r w:rsidRPr="0070080E">
        <w:t>, applying it to a portfolio-management setting: as a major news event approaches (a potential System 1 trigger), the Shock Score estimates the likelihood and intensity with which emotional biases may be activated for a given manager or strategy.</w:t>
      </w:r>
    </w:p>
    <w:p w14:paraId="3CB10005" w14:textId="4083E404" w:rsidR="00F67DDB" w:rsidRPr="0070080E" w:rsidRDefault="0094076D">
      <w:pPr>
        <w:pStyle w:val="BodyText"/>
      </w:pPr>
      <w:r w:rsidRPr="0070080E">
        <w:t xml:space="preserve">In practical terms, the Shock Score addresses the shortcomings identified above. Unlike the ex-post descriptive measures dominant in the existing literature, the Shock Score (defined in Chapter 4) is a forward-looking, ex-ante decision-support indicator, making behavioral risk explicit in the same way that traditional risk measures quantify volatility or Value-at-Risk. By doing so, it fills a lacuna in the literature by tying descriptive knowledge of biases to a predictive decision-support tool. In summary, the Shock Score is both novel and relevant: it provides the missing link between theory and practice, operationalizing behavioral finance for real-time portfolio management. While sentiment and information shock measurement </w:t>
      </w:r>
      <w:r w:rsidR="00CD5622" w:rsidRPr="0070080E">
        <w:t>are</w:t>
      </w:r>
      <w:r w:rsidRPr="0070080E">
        <w:t xml:space="preserve"> not new to finance, existing approaches differ fundamentally from the Shock Score in purpose, scope, and application.</w:t>
      </w:r>
    </w:p>
    <w:p w14:paraId="3CB10006" w14:textId="77777777" w:rsidR="00F67DDB" w:rsidRPr="0070080E" w:rsidRDefault="0094076D">
      <w:pPr>
        <w:pStyle w:val="BodyText"/>
      </w:pPr>
      <w:r w:rsidRPr="0070080E">
        <w:rPr>
          <w:b/>
          <w:bCs/>
        </w:rPr>
        <w:t>Category 1: Composite Sentiment Indices for Return Forecasting.</w:t>
      </w:r>
      <w:r w:rsidRPr="0070080E">
        <w:t xml:space="preserve"> The Baker-Wurgler sentiment index uses principal component analysis to aggregate six market-based proxies (IPO volume, closed-end fund discount, equity share in new issues, dividend premium, first-day IPO returns, and NYSE turnover) into a single sentiment measure (</w:t>
      </w:r>
      <w:hyperlink r:id="rId299">
        <w:r w:rsidRPr="0070080E">
          <w:rPr>
            <w:rStyle w:val="Hyperlink"/>
          </w:rPr>
          <w:t>Baker &amp; Wurgler, 2006</w:t>
        </w:r>
      </w:hyperlink>
      <w:r w:rsidRPr="0070080E">
        <w:t>). However, this index is designed to predict aggregate market returns rather than to support individual portfolio managers’ behavioral responses to information shocks. The index operates at monthly frequency and focuses on identifying mispricing opportunities for algorithmic strategies rather than providing real-time decision guidance.</w:t>
      </w:r>
    </w:p>
    <w:p w14:paraId="3CB10007" w14:textId="130B4D3A" w:rsidR="00F67DDB" w:rsidRPr="0070080E" w:rsidRDefault="0094076D">
      <w:pPr>
        <w:pStyle w:val="BodyText"/>
      </w:pPr>
      <w:r w:rsidRPr="0070080E">
        <w:t>Similarly, the FEARS index (Da</w:t>
      </w:r>
      <w:r w:rsidR="003353DA">
        <w:t xml:space="preserve"> et al.</w:t>
      </w:r>
      <w:r w:rsidRPr="0070080E">
        <w:t>, 2015) constructs a sentiment measure from Google search volumes for financial stress terms, demonstrating high correlation with market volatility and mutual fund flows. While innovative in its use of alternative data, the FEARS index serves as a market-wide fear gauge for econometric analysis rather than a managerial decision tool. It does not translate search intensity into actionable behavioral protocols for individual decision-makers.</w:t>
      </w:r>
    </w:p>
    <w:p w14:paraId="3CB10008" w14:textId="77777777" w:rsidR="00F67DDB" w:rsidRPr="0070080E" w:rsidRDefault="0094076D">
      <w:pPr>
        <w:pStyle w:val="BodyText"/>
      </w:pPr>
      <w:r w:rsidRPr="0070080E">
        <w:t>RavenPack’s Event Sentiment Score represents the most sophisticated commercial news analytics platform, processing thousands of news articles daily to generate real-time sentiment scores for individual securities. RavenPack is explicitly designed for quantitative hedge funds and algorithmic trading systems, providing signals for automated execution rather than human decision support. As noted in RavenPack’s research, their platform enables investors to integrate big data into trading strategies for signal generation. The platform does not address behavioral biases or provide decision-support interventions for discretionary portfolio managers.</w:t>
      </w:r>
    </w:p>
    <w:p w14:paraId="3CB10009" w14:textId="77777777" w:rsidR="00F67DDB" w:rsidRPr="0070080E" w:rsidRDefault="0094076D">
      <w:pPr>
        <w:pStyle w:val="BodyText"/>
      </w:pPr>
      <w:r w:rsidRPr="0070080E">
        <w:rPr>
          <w:b/>
          <w:bCs/>
        </w:rPr>
        <w:t>Category 2: Volatility-Based Fear Gauges.</w:t>
      </w:r>
      <w:r w:rsidRPr="0070080E">
        <w:t xml:space="preserve"> The VIX (CBOE Volatility Index), often called the fear gauge, measures implied volatility from S&amp;P 500 options over 30-day horizons. While widely used, the VIX reflects market-wide uncertainty rather than portfolio-specific information shocks. It provides no framework for translating volatility spikes into behavioral risk mitigation protocols. The VIX is primarily used for hedging and derivative trading strategies rather than as a behavioral decision aid.</w:t>
      </w:r>
    </w:p>
    <w:p w14:paraId="3CB1000A" w14:textId="7F530F5B" w:rsidR="00F67DDB" w:rsidRPr="0070080E" w:rsidRDefault="0094076D">
      <w:pPr>
        <w:pStyle w:val="BodyText"/>
      </w:pPr>
      <w:r w:rsidRPr="0070080E">
        <w:t xml:space="preserve">CNN’s Fear and Greed Index aggregates seven market indicators (market momentum, stock price strength, stock price breadth, put-call ratios, junk bond demand, market volatility, and safe haven demand) into a </w:t>
      </w:r>
      <w:r w:rsidR="000A66AA">
        <w:t>single 0–100 score</w:t>
      </w:r>
      <w:r w:rsidRPr="0070080E">
        <w:t>. This index serves as a sentiment barometer for retail investors but offers no portfolio-level decision framework or bias-mitigation mechanism. It is descriptive rather than prescriptive.</w:t>
      </w:r>
    </w:p>
    <w:p w14:paraId="3CB1000B" w14:textId="77777777" w:rsidR="00F67DDB" w:rsidRPr="0070080E" w:rsidRDefault="0094076D">
      <w:pPr>
        <w:pStyle w:val="BodyText"/>
      </w:pPr>
      <w:r w:rsidRPr="0070080E">
        <w:rPr>
          <w:b/>
          <w:bCs/>
        </w:rPr>
        <w:t>Category 3: Behavioral Risk Profiling Tools.</w:t>
      </w:r>
      <w:r w:rsidRPr="0070080E">
        <w:t xml:space="preserve"> Commercial platforms such as AndesRisk and Pocket Risk incorporate behavioral finance concepts into risk profiling questionnaires for financial advisors. These tools classify clients into behavioral investor types and align portfolios with risk preferences. However, they operate as static profiling instruments rather than dynamic information shock-response systems. They do not measure real-time information intensity or provide event-triggered decision protocols.</w:t>
      </w:r>
    </w:p>
    <w:p w14:paraId="3CB1000C" w14:textId="339A4D0F" w:rsidR="00F67DDB" w:rsidRPr="0070080E" w:rsidRDefault="0094076D">
      <w:pPr>
        <w:pStyle w:val="BodyText"/>
      </w:pPr>
      <w:r w:rsidRPr="0070080E">
        <w:t xml:space="preserve">The Shock Score differs from all these approaches in three critical dimensions. First, </w:t>
      </w:r>
      <w:r w:rsidRPr="0070080E">
        <w:rPr>
          <w:b/>
          <w:bCs/>
        </w:rPr>
        <w:t>purpose</w:t>
      </w:r>
      <w:r w:rsidRPr="0070080E">
        <w:t xml:space="preserve">: unlike forecasting-oriented sentiment indices, the Shock Score is explicitly designed for behavioral decision support rather than return prediction. Second, </w:t>
      </w:r>
      <w:r w:rsidRPr="0070080E">
        <w:rPr>
          <w:b/>
          <w:bCs/>
        </w:rPr>
        <w:t>scope</w:t>
      </w:r>
      <w:r w:rsidRPr="0070080E">
        <w:t xml:space="preserve">: unlike market-wide fear gauges, the Shock Score operates at portfolio level, measuring information shocks specific to a manager’s holdings. Third, </w:t>
      </w:r>
      <w:r w:rsidRPr="0070080E">
        <w:rPr>
          <w:b/>
          <w:bCs/>
        </w:rPr>
        <w:t>application</w:t>
      </w:r>
      <w:r w:rsidRPr="0070080E">
        <w:t>: unlike static risk profiling tools, the Shock Score triggers real-time behavioral interventions linked to investment policy statement governance frameworks.</w:t>
      </w:r>
    </w:p>
    <w:p w14:paraId="3CB1000D" w14:textId="77777777" w:rsidR="00F67DDB" w:rsidRPr="0070080E" w:rsidRDefault="0094076D">
      <w:pPr>
        <w:pStyle w:val="BodyText"/>
      </w:pPr>
      <w:r w:rsidRPr="0070080E">
        <w:t>The table below systematically compares the Shock Score against representative measures from each category.</w:t>
      </w:r>
    </w:p>
    <w:p w14:paraId="49AE4FDE" w14:textId="77777777" w:rsidR="008617A1" w:rsidRPr="0070080E" w:rsidRDefault="008617A1">
      <w:pPr>
        <w:pStyle w:val="BodyText"/>
        <w:rPr>
          <w:b/>
          <w:bCs/>
        </w:rPr>
        <w:sectPr w:rsidR="008617A1" w:rsidRPr="0070080E" w:rsidSect="00BA36D3">
          <w:footnotePr>
            <w:numRestart w:val="eachSect"/>
          </w:footnotePr>
          <w:pgSz w:w="12240" w:h="15840"/>
          <w:pgMar w:top="1440" w:right="1440" w:bottom="1440" w:left="1440" w:header="630" w:footer="720" w:gutter="0"/>
          <w:cols w:space="720"/>
          <w:docGrid w:linePitch="299"/>
        </w:sectPr>
      </w:pPr>
    </w:p>
    <w:p w14:paraId="3CB1000E" w14:textId="77777777" w:rsidR="00F67DDB" w:rsidRPr="0070080E" w:rsidRDefault="0094076D" w:rsidP="00F13E40">
      <w:pPr>
        <w:pStyle w:val="Tableid"/>
      </w:pPr>
      <w:r w:rsidRPr="0070080E">
        <w:t>Table 3.2</w:t>
      </w:r>
    </w:p>
    <w:p w14:paraId="3CB1000F" w14:textId="77777777" w:rsidR="00F67DDB" w:rsidRPr="0070080E" w:rsidRDefault="0094076D" w:rsidP="00F13E40">
      <w:pPr>
        <w:pStyle w:val="TableCaption"/>
      </w:pPr>
      <w:r w:rsidRPr="0070080E">
        <w:t>Shock Score Benchmarking Against Existing Measures</w:t>
      </w:r>
    </w:p>
    <w:tbl>
      <w:tblPr>
        <w:tblStyle w:val="Table"/>
        <w:tblW w:w="5292" w:type="pct"/>
        <w:tblLayout w:type="fixed"/>
        <w:tblLook w:val="0020" w:firstRow="1" w:lastRow="0" w:firstColumn="0" w:lastColumn="0" w:noHBand="0" w:noVBand="0"/>
      </w:tblPr>
      <w:tblGrid>
        <w:gridCol w:w="2056"/>
        <w:gridCol w:w="2618"/>
        <w:gridCol w:w="1448"/>
        <w:gridCol w:w="2519"/>
        <w:gridCol w:w="1923"/>
        <w:gridCol w:w="3153"/>
      </w:tblGrid>
      <w:tr w:rsidR="00F67DDB" w:rsidRPr="0070080E" w14:paraId="3CB10016" w14:textId="77777777" w:rsidTr="00216E23">
        <w:trPr>
          <w:cnfStyle w:val="100000000000" w:firstRow="1" w:lastRow="0" w:firstColumn="0" w:lastColumn="0" w:oddVBand="0" w:evenVBand="0" w:oddHBand="0" w:evenHBand="0" w:firstRowFirstColumn="0" w:firstRowLastColumn="0" w:lastRowFirstColumn="0" w:lastRowLastColumn="0"/>
          <w:tblHeader/>
        </w:trPr>
        <w:tc>
          <w:tcPr>
            <w:tcW w:w="2055" w:type="dxa"/>
          </w:tcPr>
          <w:p w14:paraId="3CB10010" w14:textId="77777777" w:rsidR="00F67DDB" w:rsidRPr="0070080E" w:rsidRDefault="0094076D">
            <w:pPr>
              <w:pStyle w:val="Compact"/>
            </w:pPr>
            <w:r w:rsidRPr="0070080E">
              <w:t>Measure</w:t>
            </w:r>
          </w:p>
        </w:tc>
        <w:tc>
          <w:tcPr>
            <w:tcW w:w="2618" w:type="dxa"/>
          </w:tcPr>
          <w:p w14:paraId="3CB10011" w14:textId="77777777" w:rsidR="00F67DDB" w:rsidRPr="0070080E" w:rsidRDefault="0094076D">
            <w:pPr>
              <w:pStyle w:val="Compact"/>
            </w:pPr>
            <w:r w:rsidRPr="0070080E">
              <w:t>Purpose</w:t>
            </w:r>
          </w:p>
        </w:tc>
        <w:tc>
          <w:tcPr>
            <w:tcW w:w="1448" w:type="dxa"/>
          </w:tcPr>
          <w:p w14:paraId="3CB10012" w14:textId="77777777" w:rsidR="00F67DDB" w:rsidRPr="0070080E" w:rsidRDefault="0094076D">
            <w:pPr>
              <w:pStyle w:val="Compact"/>
            </w:pPr>
            <w:r w:rsidRPr="0070080E">
              <w:t>Frequency</w:t>
            </w:r>
          </w:p>
        </w:tc>
        <w:tc>
          <w:tcPr>
            <w:tcW w:w="2519" w:type="dxa"/>
          </w:tcPr>
          <w:p w14:paraId="3CB10013" w14:textId="77777777" w:rsidR="00F67DDB" w:rsidRPr="0070080E" w:rsidRDefault="0094076D">
            <w:pPr>
              <w:pStyle w:val="Compact"/>
            </w:pPr>
            <w:r w:rsidRPr="0070080E">
              <w:t>Scope</w:t>
            </w:r>
          </w:p>
        </w:tc>
        <w:tc>
          <w:tcPr>
            <w:tcW w:w="1923" w:type="dxa"/>
          </w:tcPr>
          <w:p w14:paraId="3CB10014" w14:textId="77777777" w:rsidR="00F67DDB" w:rsidRPr="0070080E" w:rsidRDefault="0094076D">
            <w:pPr>
              <w:pStyle w:val="Compact"/>
            </w:pPr>
            <w:r w:rsidRPr="0070080E">
              <w:t>Behavioral Component</w:t>
            </w:r>
          </w:p>
        </w:tc>
        <w:tc>
          <w:tcPr>
            <w:tcW w:w="3153" w:type="dxa"/>
          </w:tcPr>
          <w:p w14:paraId="3CB10015" w14:textId="77777777" w:rsidR="00F67DDB" w:rsidRPr="0070080E" w:rsidRDefault="0094076D">
            <w:pPr>
              <w:pStyle w:val="Compact"/>
            </w:pPr>
            <w:r w:rsidRPr="0070080E">
              <w:t>Decision Output</w:t>
            </w:r>
          </w:p>
        </w:tc>
      </w:tr>
      <w:tr w:rsidR="00F67DDB" w:rsidRPr="0070080E" w14:paraId="3CB1001D" w14:textId="77777777" w:rsidTr="00216E23">
        <w:tc>
          <w:tcPr>
            <w:tcW w:w="2055" w:type="dxa"/>
          </w:tcPr>
          <w:p w14:paraId="3CB10017" w14:textId="77777777" w:rsidR="00F67DDB" w:rsidRPr="0070080E" w:rsidRDefault="0094076D">
            <w:pPr>
              <w:pStyle w:val="Compact"/>
            </w:pPr>
            <w:r w:rsidRPr="0070080E">
              <w:rPr>
                <w:b/>
                <w:bCs/>
              </w:rPr>
              <w:t>Sentiment Indices</w:t>
            </w:r>
          </w:p>
        </w:tc>
        <w:tc>
          <w:tcPr>
            <w:tcW w:w="2618" w:type="dxa"/>
          </w:tcPr>
          <w:p w14:paraId="3CB10018" w14:textId="77777777" w:rsidR="00F67DDB" w:rsidRPr="0070080E" w:rsidRDefault="00F67DDB">
            <w:pPr>
              <w:pStyle w:val="Compact"/>
            </w:pPr>
          </w:p>
        </w:tc>
        <w:tc>
          <w:tcPr>
            <w:tcW w:w="1448" w:type="dxa"/>
          </w:tcPr>
          <w:p w14:paraId="3CB10019" w14:textId="77777777" w:rsidR="00F67DDB" w:rsidRPr="0070080E" w:rsidRDefault="00F67DDB">
            <w:pPr>
              <w:pStyle w:val="Compact"/>
            </w:pPr>
          </w:p>
        </w:tc>
        <w:tc>
          <w:tcPr>
            <w:tcW w:w="2519" w:type="dxa"/>
          </w:tcPr>
          <w:p w14:paraId="3CB1001A" w14:textId="77777777" w:rsidR="00F67DDB" w:rsidRPr="0070080E" w:rsidRDefault="00F67DDB">
            <w:pPr>
              <w:pStyle w:val="Compact"/>
            </w:pPr>
          </w:p>
        </w:tc>
        <w:tc>
          <w:tcPr>
            <w:tcW w:w="1923" w:type="dxa"/>
          </w:tcPr>
          <w:p w14:paraId="3CB1001B" w14:textId="77777777" w:rsidR="00F67DDB" w:rsidRPr="0070080E" w:rsidRDefault="00F67DDB">
            <w:pPr>
              <w:pStyle w:val="Compact"/>
            </w:pPr>
          </w:p>
        </w:tc>
        <w:tc>
          <w:tcPr>
            <w:tcW w:w="3153" w:type="dxa"/>
          </w:tcPr>
          <w:p w14:paraId="3CB1001C" w14:textId="77777777" w:rsidR="00F67DDB" w:rsidRPr="0070080E" w:rsidRDefault="00F67DDB">
            <w:pPr>
              <w:pStyle w:val="Compact"/>
            </w:pPr>
          </w:p>
        </w:tc>
      </w:tr>
      <w:tr w:rsidR="00F67DDB" w:rsidRPr="0070080E" w14:paraId="3CB10024" w14:textId="77777777" w:rsidTr="00470E52">
        <w:trPr>
          <w:trHeight w:val="747"/>
        </w:trPr>
        <w:tc>
          <w:tcPr>
            <w:tcW w:w="2055" w:type="dxa"/>
          </w:tcPr>
          <w:p w14:paraId="3CB1001E" w14:textId="77777777" w:rsidR="00F67DDB" w:rsidRPr="0070080E" w:rsidRDefault="0094076D">
            <w:pPr>
              <w:pStyle w:val="Compact"/>
            </w:pPr>
            <w:r w:rsidRPr="0070080E">
              <w:t>Baker-Wurgler Index</w:t>
            </w:r>
          </w:p>
        </w:tc>
        <w:tc>
          <w:tcPr>
            <w:tcW w:w="2618" w:type="dxa"/>
          </w:tcPr>
          <w:p w14:paraId="3CB1001F" w14:textId="77777777" w:rsidR="00F67DDB" w:rsidRPr="0070080E" w:rsidRDefault="0094076D">
            <w:pPr>
              <w:pStyle w:val="Compact"/>
            </w:pPr>
            <w:r w:rsidRPr="0070080E">
              <w:t>Return forecasting</w:t>
            </w:r>
          </w:p>
        </w:tc>
        <w:tc>
          <w:tcPr>
            <w:tcW w:w="1448" w:type="dxa"/>
          </w:tcPr>
          <w:p w14:paraId="3CB10020" w14:textId="77777777" w:rsidR="00F67DDB" w:rsidRPr="0070080E" w:rsidRDefault="0094076D">
            <w:pPr>
              <w:pStyle w:val="Compact"/>
            </w:pPr>
            <w:r w:rsidRPr="0070080E">
              <w:t>Monthly</w:t>
            </w:r>
          </w:p>
        </w:tc>
        <w:tc>
          <w:tcPr>
            <w:tcW w:w="2519" w:type="dxa"/>
          </w:tcPr>
          <w:p w14:paraId="3CB10021" w14:textId="77777777" w:rsidR="00F67DDB" w:rsidRPr="0070080E" w:rsidRDefault="0094076D">
            <w:pPr>
              <w:pStyle w:val="Compact"/>
            </w:pPr>
            <w:r w:rsidRPr="0070080E">
              <w:t>Market-wide aggregate</w:t>
            </w:r>
          </w:p>
        </w:tc>
        <w:tc>
          <w:tcPr>
            <w:tcW w:w="1923" w:type="dxa"/>
          </w:tcPr>
          <w:p w14:paraId="3CB10022" w14:textId="77777777" w:rsidR="00F67DDB" w:rsidRPr="0070080E" w:rsidRDefault="0094076D">
            <w:pPr>
              <w:pStyle w:val="Compact"/>
            </w:pPr>
            <w:r w:rsidRPr="0070080E">
              <w:t>None</w:t>
            </w:r>
          </w:p>
        </w:tc>
        <w:tc>
          <w:tcPr>
            <w:tcW w:w="3153" w:type="dxa"/>
          </w:tcPr>
          <w:p w14:paraId="3CB10023" w14:textId="77777777" w:rsidR="00F67DDB" w:rsidRPr="0070080E" w:rsidRDefault="0094076D">
            <w:pPr>
              <w:pStyle w:val="Compact"/>
            </w:pPr>
            <w:r w:rsidRPr="0070080E">
              <w:t>Mispricing signal for algorithmic strategies</w:t>
            </w:r>
          </w:p>
        </w:tc>
      </w:tr>
      <w:tr w:rsidR="00F67DDB" w:rsidRPr="0070080E" w14:paraId="3CB1002B" w14:textId="77777777" w:rsidTr="00470E52">
        <w:trPr>
          <w:trHeight w:val="711"/>
        </w:trPr>
        <w:tc>
          <w:tcPr>
            <w:tcW w:w="2055" w:type="dxa"/>
          </w:tcPr>
          <w:p w14:paraId="3CB10025" w14:textId="77777777" w:rsidR="00F67DDB" w:rsidRPr="0070080E" w:rsidRDefault="0094076D">
            <w:pPr>
              <w:pStyle w:val="Compact"/>
            </w:pPr>
            <w:r w:rsidRPr="0070080E">
              <w:t>FEARS Index</w:t>
            </w:r>
          </w:p>
        </w:tc>
        <w:tc>
          <w:tcPr>
            <w:tcW w:w="2618" w:type="dxa"/>
          </w:tcPr>
          <w:p w14:paraId="3CB10026" w14:textId="77777777" w:rsidR="00F67DDB" w:rsidRPr="0070080E" w:rsidRDefault="0094076D">
            <w:pPr>
              <w:pStyle w:val="Compact"/>
            </w:pPr>
            <w:r w:rsidRPr="0070080E">
              <w:t>Market stress measurement</w:t>
            </w:r>
          </w:p>
        </w:tc>
        <w:tc>
          <w:tcPr>
            <w:tcW w:w="1448" w:type="dxa"/>
          </w:tcPr>
          <w:p w14:paraId="3CB10027" w14:textId="77777777" w:rsidR="00F67DDB" w:rsidRPr="0070080E" w:rsidRDefault="0094076D">
            <w:pPr>
              <w:pStyle w:val="Compact"/>
            </w:pPr>
            <w:r w:rsidRPr="0070080E">
              <w:t>Daily</w:t>
            </w:r>
          </w:p>
        </w:tc>
        <w:tc>
          <w:tcPr>
            <w:tcW w:w="2519" w:type="dxa"/>
          </w:tcPr>
          <w:p w14:paraId="3CB10028" w14:textId="77777777" w:rsidR="00F67DDB" w:rsidRPr="0070080E" w:rsidRDefault="0094076D">
            <w:pPr>
              <w:pStyle w:val="Compact"/>
            </w:pPr>
            <w:r w:rsidRPr="0070080E">
              <w:t>Aggregate market sentiment</w:t>
            </w:r>
          </w:p>
        </w:tc>
        <w:tc>
          <w:tcPr>
            <w:tcW w:w="1923" w:type="dxa"/>
          </w:tcPr>
          <w:p w14:paraId="3CB10029" w14:textId="77777777" w:rsidR="00F67DDB" w:rsidRPr="0070080E" w:rsidRDefault="0094076D">
            <w:pPr>
              <w:pStyle w:val="Compact"/>
            </w:pPr>
            <w:r w:rsidRPr="0070080E">
              <w:t>None</w:t>
            </w:r>
          </w:p>
        </w:tc>
        <w:tc>
          <w:tcPr>
            <w:tcW w:w="3153" w:type="dxa"/>
          </w:tcPr>
          <w:p w14:paraId="3CB1002A" w14:textId="77777777" w:rsidR="00F67DDB" w:rsidRPr="0070080E" w:rsidRDefault="0094076D">
            <w:pPr>
              <w:pStyle w:val="Compact"/>
            </w:pPr>
            <w:r w:rsidRPr="0070080E">
              <w:t>Econometric variable for research</w:t>
            </w:r>
          </w:p>
        </w:tc>
      </w:tr>
      <w:tr w:rsidR="00F67DDB" w:rsidRPr="0070080E" w14:paraId="3CB10032" w14:textId="77777777" w:rsidTr="00216E23">
        <w:trPr>
          <w:trHeight w:val="549"/>
        </w:trPr>
        <w:tc>
          <w:tcPr>
            <w:tcW w:w="2055" w:type="dxa"/>
          </w:tcPr>
          <w:p w14:paraId="3CB1002C" w14:textId="77777777" w:rsidR="00F67DDB" w:rsidRPr="0070080E" w:rsidRDefault="0094076D">
            <w:pPr>
              <w:pStyle w:val="Compact"/>
            </w:pPr>
            <w:r w:rsidRPr="0070080E">
              <w:t>RavenPack ESS</w:t>
            </w:r>
          </w:p>
        </w:tc>
        <w:tc>
          <w:tcPr>
            <w:tcW w:w="2618" w:type="dxa"/>
          </w:tcPr>
          <w:p w14:paraId="3CB1002D" w14:textId="77777777" w:rsidR="00F67DDB" w:rsidRPr="0070080E" w:rsidRDefault="0094076D">
            <w:pPr>
              <w:pStyle w:val="Compact"/>
            </w:pPr>
            <w:r w:rsidRPr="0070080E">
              <w:t>Trading signal generation</w:t>
            </w:r>
          </w:p>
        </w:tc>
        <w:tc>
          <w:tcPr>
            <w:tcW w:w="1448" w:type="dxa"/>
          </w:tcPr>
          <w:p w14:paraId="3CB1002E" w14:textId="77777777" w:rsidR="00F67DDB" w:rsidRPr="0070080E" w:rsidRDefault="0094076D">
            <w:pPr>
              <w:pStyle w:val="Compact"/>
            </w:pPr>
            <w:r w:rsidRPr="0070080E">
              <w:t>Real-time</w:t>
            </w:r>
          </w:p>
        </w:tc>
        <w:tc>
          <w:tcPr>
            <w:tcW w:w="2519" w:type="dxa"/>
          </w:tcPr>
          <w:p w14:paraId="3CB1002F" w14:textId="77777777" w:rsidR="00F67DDB" w:rsidRPr="0070080E" w:rsidRDefault="0094076D">
            <w:pPr>
              <w:pStyle w:val="Compact"/>
            </w:pPr>
            <w:r w:rsidRPr="0070080E">
              <w:t>Individual securities</w:t>
            </w:r>
          </w:p>
        </w:tc>
        <w:tc>
          <w:tcPr>
            <w:tcW w:w="1923" w:type="dxa"/>
          </w:tcPr>
          <w:p w14:paraId="3CB10030" w14:textId="77777777" w:rsidR="00F67DDB" w:rsidRPr="0070080E" w:rsidRDefault="0094076D">
            <w:pPr>
              <w:pStyle w:val="Compact"/>
            </w:pPr>
            <w:r w:rsidRPr="0070080E">
              <w:t>None</w:t>
            </w:r>
          </w:p>
        </w:tc>
        <w:tc>
          <w:tcPr>
            <w:tcW w:w="3153" w:type="dxa"/>
          </w:tcPr>
          <w:p w14:paraId="3CB10031" w14:textId="77777777" w:rsidR="00F67DDB" w:rsidRPr="0070080E" w:rsidRDefault="0094076D">
            <w:pPr>
              <w:pStyle w:val="Compact"/>
            </w:pPr>
            <w:r w:rsidRPr="0070080E">
              <w:t>Automated trade execution signals</w:t>
            </w:r>
          </w:p>
        </w:tc>
      </w:tr>
      <w:tr w:rsidR="00F67DDB" w:rsidRPr="0070080E" w14:paraId="3CB10039" w14:textId="77777777" w:rsidTr="00216E23">
        <w:tc>
          <w:tcPr>
            <w:tcW w:w="2055" w:type="dxa"/>
          </w:tcPr>
          <w:p w14:paraId="3CB10033" w14:textId="77777777" w:rsidR="00F67DDB" w:rsidRPr="0070080E" w:rsidRDefault="0094076D">
            <w:pPr>
              <w:pStyle w:val="Compact"/>
            </w:pPr>
            <w:r w:rsidRPr="0070080E">
              <w:rPr>
                <w:b/>
                <w:bCs/>
              </w:rPr>
              <w:t>Volatility Measures</w:t>
            </w:r>
          </w:p>
        </w:tc>
        <w:tc>
          <w:tcPr>
            <w:tcW w:w="2618" w:type="dxa"/>
          </w:tcPr>
          <w:p w14:paraId="3CB10034" w14:textId="77777777" w:rsidR="00F67DDB" w:rsidRPr="0070080E" w:rsidRDefault="00F67DDB">
            <w:pPr>
              <w:pStyle w:val="Compact"/>
            </w:pPr>
          </w:p>
        </w:tc>
        <w:tc>
          <w:tcPr>
            <w:tcW w:w="1448" w:type="dxa"/>
          </w:tcPr>
          <w:p w14:paraId="3CB10035" w14:textId="77777777" w:rsidR="00F67DDB" w:rsidRPr="0070080E" w:rsidRDefault="00F67DDB">
            <w:pPr>
              <w:pStyle w:val="Compact"/>
            </w:pPr>
          </w:p>
        </w:tc>
        <w:tc>
          <w:tcPr>
            <w:tcW w:w="2519" w:type="dxa"/>
          </w:tcPr>
          <w:p w14:paraId="3CB10036" w14:textId="77777777" w:rsidR="00F67DDB" w:rsidRPr="0070080E" w:rsidRDefault="00F67DDB">
            <w:pPr>
              <w:pStyle w:val="Compact"/>
            </w:pPr>
          </w:p>
        </w:tc>
        <w:tc>
          <w:tcPr>
            <w:tcW w:w="1923" w:type="dxa"/>
          </w:tcPr>
          <w:p w14:paraId="3CB10037" w14:textId="77777777" w:rsidR="00F67DDB" w:rsidRPr="0070080E" w:rsidRDefault="00F67DDB">
            <w:pPr>
              <w:pStyle w:val="Compact"/>
            </w:pPr>
          </w:p>
        </w:tc>
        <w:tc>
          <w:tcPr>
            <w:tcW w:w="3153" w:type="dxa"/>
          </w:tcPr>
          <w:p w14:paraId="3CB10038" w14:textId="77777777" w:rsidR="00F67DDB" w:rsidRPr="0070080E" w:rsidRDefault="00F67DDB">
            <w:pPr>
              <w:pStyle w:val="Compact"/>
            </w:pPr>
          </w:p>
        </w:tc>
      </w:tr>
      <w:tr w:rsidR="00F67DDB" w:rsidRPr="0070080E" w14:paraId="3CB10040" w14:textId="77777777" w:rsidTr="00470E52">
        <w:trPr>
          <w:trHeight w:val="504"/>
        </w:trPr>
        <w:tc>
          <w:tcPr>
            <w:tcW w:w="2055" w:type="dxa"/>
          </w:tcPr>
          <w:p w14:paraId="3CB1003A" w14:textId="77777777" w:rsidR="00F67DDB" w:rsidRPr="0070080E" w:rsidRDefault="0094076D">
            <w:pPr>
              <w:pStyle w:val="Compact"/>
            </w:pPr>
            <w:r w:rsidRPr="0070080E">
              <w:t>VIX</w:t>
            </w:r>
          </w:p>
        </w:tc>
        <w:tc>
          <w:tcPr>
            <w:tcW w:w="2618" w:type="dxa"/>
          </w:tcPr>
          <w:p w14:paraId="3CB1003B" w14:textId="77777777" w:rsidR="00F67DDB" w:rsidRPr="0070080E" w:rsidRDefault="0094076D">
            <w:pPr>
              <w:pStyle w:val="Compact"/>
            </w:pPr>
            <w:r w:rsidRPr="0070080E">
              <w:t>Implied volatility gauge</w:t>
            </w:r>
          </w:p>
        </w:tc>
        <w:tc>
          <w:tcPr>
            <w:tcW w:w="1448" w:type="dxa"/>
          </w:tcPr>
          <w:p w14:paraId="3CB1003C" w14:textId="77777777" w:rsidR="00F67DDB" w:rsidRPr="0070080E" w:rsidRDefault="0094076D">
            <w:pPr>
              <w:pStyle w:val="Compact"/>
            </w:pPr>
            <w:r w:rsidRPr="0070080E">
              <w:t>Real-time</w:t>
            </w:r>
          </w:p>
        </w:tc>
        <w:tc>
          <w:tcPr>
            <w:tcW w:w="2519" w:type="dxa"/>
          </w:tcPr>
          <w:p w14:paraId="3CB1003D" w14:textId="77777777" w:rsidR="00F67DDB" w:rsidRPr="0070080E" w:rsidRDefault="0094076D">
            <w:pPr>
              <w:pStyle w:val="Compact"/>
            </w:pPr>
            <w:r w:rsidRPr="0070080E">
              <w:t>S&amp;P 500 market-wide</w:t>
            </w:r>
          </w:p>
        </w:tc>
        <w:tc>
          <w:tcPr>
            <w:tcW w:w="1923" w:type="dxa"/>
          </w:tcPr>
          <w:p w14:paraId="3CB1003E" w14:textId="77777777" w:rsidR="00F67DDB" w:rsidRPr="0070080E" w:rsidRDefault="0094076D">
            <w:pPr>
              <w:pStyle w:val="Compact"/>
            </w:pPr>
            <w:r w:rsidRPr="0070080E">
              <w:t>None</w:t>
            </w:r>
          </w:p>
        </w:tc>
        <w:tc>
          <w:tcPr>
            <w:tcW w:w="3153" w:type="dxa"/>
          </w:tcPr>
          <w:p w14:paraId="3CB1003F" w14:textId="77777777" w:rsidR="00F67DDB" w:rsidRPr="0070080E" w:rsidRDefault="0094076D">
            <w:pPr>
              <w:pStyle w:val="Compact"/>
            </w:pPr>
            <w:r w:rsidRPr="0070080E">
              <w:t>Hedging and derivatives trading</w:t>
            </w:r>
          </w:p>
        </w:tc>
      </w:tr>
      <w:tr w:rsidR="00F67DDB" w:rsidRPr="0070080E" w14:paraId="3CB10047" w14:textId="77777777" w:rsidTr="00470E52">
        <w:trPr>
          <w:trHeight w:val="450"/>
        </w:trPr>
        <w:tc>
          <w:tcPr>
            <w:tcW w:w="2055" w:type="dxa"/>
          </w:tcPr>
          <w:p w14:paraId="3CB10041" w14:textId="77777777" w:rsidR="00F67DDB" w:rsidRPr="0070080E" w:rsidRDefault="0094076D">
            <w:pPr>
              <w:pStyle w:val="Compact"/>
            </w:pPr>
            <w:r w:rsidRPr="0070080E">
              <w:t>Fear &amp; Greed Index</w:t>
            </w:r>
          </w:p>
        </w:tc>
        <w:tc>
          <w:tcPr>
            <w:tcW w:w="2618" w:type="dxa"/>
          </w:tcPr>
          <w:p w14:paraId="3CB10042" w14:textId="77777777" w:rsidR="00F67DDB" w:rsidRPr="0070080E" w:rsidRDefault="0094076D">
            <w:pPr>
              <w:pStyle w:val="Compact"/>
            </w:pPr>
            <w:r w:rsidRPr="0070080E">
              <w:t>Sentiment barometer</w:t>
            </w:r>
          </w:p>
        </w:tc>
        <w:tc>
          <w:tcPr>
            <w:tcW w:w="1448" w:type="dxa"/>
          </w:tcPr>
          <w:p w14:paraId="3CB10043" w14:textId="77777777" w:rsidR="00F67DDB" w:rsidRPr="0070080E" w:rsidRDefault="0094076D">
            <w:pPr>
              <w:pStyle w:val="Compact"/>
            </w:pPr>
            <w:r w:rsidRPr="0070080E">
              <w:t>Daily</w:t>
            </w:r>
          </w:p>
        </w:tc>
        <w:tc>
          <w:tcPr>
            <w:tcW w:w="2519" w:type="dxa"/>
          </w:tcPr>
          <w:p w14:paraId="3CB10044" w14:textId="77777777" w:rsidR="00F67DDB" w:rsidRPr="0070080E" w:rsidRDefault="0094076D">
            <w:pPr>
              <w:pStyle w:val="Compact"/>
            </w:pPr>
            <w:r w:rsidRPr="0070080E">
              <w:t>Market-wide composite</w:t>
            </w:r>
          </w:p>
        </w:tc>
        <w:tc>
          <w:tcPr>
            <w:tcW w:w="1923" w:type="dxa"/>
          </w:tcPr>
          <w:p w14:paraId="3CB10045" w14:textId="77777777" w:rsidR="00F67DDB" w:rsidRPr="0070080E" w:rsidRDefault="0094076D">
            <w:pPr>
              <w:pStyle w:val="Compact"/>
            </w:pPr>
            <w:r w:rsidRPr="0070080E">
              <w:t>None</w:t>
            </w:r>
          </w:p>
        </w:tc>
        <w:tc>
          <w:tcPr>
            <w:tcW w:w="3153" w:type="dxa"/>
          </w:tcPr>
          <w:p w14:paraId="3CB10046" w14:textId="77777777" w:rsidR="00F67DDB" w:rsidRPr="0070080E" w:rsidRDefault="0094076D">
            <w:pPr>
              <w:pStyle w:val="Compact"/>
            </w:pPr>
            <w:r w:rsidRPr="0070080E">
              <w:t>Descriptive market mood indicator</w:t>
            </w:r>
          </w:p>
        </w:tc>
      </w:tr>
      <w:tr w:rsidR="00F67DDB" w:rsidRPr="0070080E" w14:paraId="3CB1004E" w14:textId="77777777" w:rsidTr="00216E23">
        <w:tc>
          <w:tcPr>
            <w:tcW w:w="2055" w:type="dxa"/>
          </w:tcPr>
          <w:p w14:paraId="3CB10048" w14:textId="77777777" w:rsidR="00F67DDB" w:rsidRPr="0070080E" w:rsidRDefault="0094076D">
            <w:pPr>
              <w:pStyle w:val="Compact"/>
            </w:pPr>
            <w:r w:rsidRPr="0070080E">
              <w:rPr>
                <w:b/>
                <w:bCs/>
              </w:rPr>
              <w:t>Behavioral Tools</w:t>
            </w:r>
          </w:p>
        </w:tc>
        <w:tc>
          <w:tcPr>
            <w:tcW w:w="2618" w:type="dxa"/>
          </w:tcPr>
          <w:p w14:paraId="3CB10049" w14:textId="77777777" w:rsidR="00F67DDB" w:rsidRPr="0070080E" w:rsidRDefault="00F67DDB">
            <w:pPr>
              <w:pStyle w:val="Compact"/>
            </w:pPr>
          </w:p>
        </w:tc>
        <w:tc>
          <w:tcPr>
            <w:tcW w:w="1448" w:type="dxa"/>
          </w:tcPr>
          <w:p w14:paraId="3CB1004A" w14:textId="77777777" w:rsidR="00F67DDB" w:rsidRPr="0070080E" w:rsidRDefault="00F67DDB">
            <w:pPr>
              <w:pStyle w:val="Compact"/>
            </w:pPr>
          </w:p>
        </w:tc>
        <w:tc>
          <w:tcPr>
            <w:tcW w:w="2519" w:type="dxa"/>
          </w:tcPr>
          <w:p w14:paraId="3CB1004B" w14:textId="77777777" w:rsidR="00F67DDB" w:rsidRPr="0070080E" w:rsidRDefault="00F67DDB">
            <w:pPr>
              <w:pStyle w:val="Compact"/>
            </w:pPr>
          </w:p>
        </w:tc>
        <w:tc>
          <w:tcPr>
            <w:tcW w:w="1923" w:type="dxa"/>
          </w:tcPr>
          <w:p w14:paraId="3CB1004C" w14:textId="77777777" w:rsidR="00F67DDB" w:rsidRPr="0070080E" w:rsidRDefault="00F67DDB">
            <w:pPr>
              <w:pStyle w:val="Compact"/>
            </w:pPr>
          </w:p>
        </w:tc>
        <w:tc>
          <w:tcPr>
            <w:tcW w:w="3153" w:type="dxa"/>
          </w:tcPr>
          <w:p w14:paraId="3CB1004D" w14:textId="77777777" w:rsidR="00F67DDB" w:rsidRPr="0070080E" w:rsidRDefault="00F67DDB">
            <w:pPr>
              <w:pStyle w:val="Compact"/>
            </w:pPr>
          </w:p>
        </w:tc>
      </w:tr>
      <w:tr w:rsidR="00F67DDB" w:rsidRPr="0070080E" w14:paraId="3CB10055" w14:textId="77777777" w:rsidTr="00470E52">
        <w:trPr>
          <w:trHeight w:val="684"/>
        </w:trPr>
        <w:tc>
          <w:tcPr>
            <w:tcW w:w="2055" w:type="dxa"/>
          </w:tcPr>
          <w:p w14:paraId="3CB1004F" w14:textId="77777777" w:rsidR="00F67DDB" w:rsidRPr="0070080E" w:rsidRDefault="0094076D">
            <w:pPr>
              <w:pStyle w:val="Compact"/>
            </w:pPr>
            <w:r w:rsidRPr="0070080E">
              <w:t>AndesRisk 4D Framework</w:t>
            </w:r>
          </w:p>
        </w:tc>
        <w:tc>
          <w:tcPr>
            <w:tcW w:w="2618" w:type="dxa"/>
          </w:tcPr>
          <w:p w14:paraId="3CB10050" w14:textId="77777777" w:rsidR="00F67DDB" w:rsidRPr="0070080E" w:rsidRDefault="0094076D">
            <w:pPr>
              <w:pStyle w:val="Compact"/>
            </w:pPr>
            <w:r w:rsidRPr="0070080E">
              <w:t>Client risk profiling</w:t>
            </w:r>
          </w:p>
        </w:tc>
        <w:tc>
          <w:tcPr>
            <w:tcW w:w="1448" w:type="dxa"/>
          </w:tcPr>
          <w:p w14:paraId="3CB10051" w14:textId="77777777" w:rsidR="00F67DDB" w:rsidRPr="0070080E" w:rsidRDefault="0094076D">
            <w:pPr>
              <w:pStyle w:val="Compact"/>
            </w:pPr>
            <w:r w:rsidRPr="0070080E">
              <w:t>Static</w:t>
            </w:r>
          </w:p>
        </w:tc>
        <w:tc>
          <w:tcPr>
            <w:tcW w:w="2519" w:type="dxa"/>
          </w:tcPr>
          <w:p w14:paraId="3CB10052" w14:textId="77777777" w:rsidR="00F67DDB" w:rsidRPr="0070080E" w:rsidRDefault="0094076D">
            <w:pPr>
              <w:pStyle w:val="Compact"/>
            </w:pPr>
            <w:r w:rsidRPr="0070080E">
              <w:t>Client classification</w:t>
            </w:r>
          </w:p>
        </w:tc>
        <w:tc>
          <w:tcPr>
            <w:tcW w:w="1923" w:type="dxa"/>
          </w:tcPr>
          <w:p w14:paraId="3CB10053" w14:textId="77777777" w:rsidR="00F67DDB" w:rsidRPr="0070080E" w:rsidRDefault="0094076D">
            <w:pPr>
              <w:pStyle w:val="Compact"/>
            </w:pPr>
            <w:r w:rsidRPr="0070080E">
              <w:t>Behavioral investor types</w:t>
            </w:r>
          </w:p>
        </w:tc>
        <w:tc>
          <w:tcPr>
            <w:tcW w:w="3153" w:type="dxa"/>
          </w:tcPr>
          <w:p w14:paraId="3CB10054" w14:textId="77777777" w:rsidR="00F67DDB" w:rsidRPr="0070080E" w:rsidRDefault="0094076D">
            <w:pPr>
              <w:pStyle w:val="Compact"/>
            </w:pPr>
            <w:r w:rsidRPr="0070080E">
              <w:t>Portfolio allocation recommendations</w:t>
            </w:r>
          </w:p>
        </w:tc>
      </w:tr>
      <w:tr w:rsidR="00F67DDB" w:rsidRPr="0070080E" w14:paraId="3CB1005C" w14:textId="77777777" w:rsidTr="00216E23">
        <w:trPr>
          <w:trHeight w:val="693"/>
        </w:trPr>
        <w:tc>
          <w:tcPr>
            <w:tcW w:w="2055" w:type="dxa"/>
          </w:tcPr>
          <w:p w14:paraId="3CB10056" w14:textId="77777777" w:rsidR="00F67DDB" w:rsidRPr="0070080E" w:rsidRDefault="0094076D">
            <w:pPr>
              <w:pStyle w:val="Compact"/>
            </w:pPr>
            <w:r w:rsidRPr="0070080E">
              <w:t>Pocket Risk</w:t>
            </w:r>
          </w:p>
        </w:tc>
        <w:tc>
          <w:tcPr>
            <w:tcW w:w="2618" w:type="dxa"/>
          </w:tcPr>
          <w:p w14:paraId="3CB10057" w14:textId="77777777" w:rsidR="00F67DDB" w:rsidRPr="0070080E" w:rsidRDefault="0094076D">
            <w:pPr>
              <w:pStyle w:val="Compact"/>
            </w:pPr>
            <w:r w:rsidRPr="0070080E">
              <w:t>Suitability assessment</w:t>
            </w:r>
          </w:p>
        </w:tc>
        <w:tc>
          <w:tcPr>
            <w:tcW w:w="1448" w:type="dxa"/>
          </w:tcPr>
          <w:p w14:paraId="3CB10058" w14:textId="77777777" w:rsidR="00F67DDB" w:rsidRPr="0070080E" w:rsidRDefault="0094076D">
            <w:pPr>
              <w:pStyle w:val="Compact"/>
            </w:pPr>
            <w:r w:rsidRPr="0070080E">
              <w:t>Static</w:t>
            </w:r>
          </w:p>
        </w:tc>
        <w:tc>
          <w:tcPr>
            <w:tcW w:w="2519" w:type="dxa"/>
          </w:tcPr>
          <w:p w14:paraId="3CB10059" w14:textId="77777777" w:rsidR="00F67DDB" w:rsidRPr="0070080E" w:rsidRDefault="0094076D">
            <w:pPr>
              <w:pStyle w:val="Compact"/>
            </w:pPr>
            <w:r w:rsidRPr="0070080E">
              <w:t>Individual risk tolerance</w:t>
            </w:r>
          </w:p>
        </w:tc>
        <w:tc>
          <w:tcPr>
            <w:tcW w:w="1923" w:type="dxa"/>
          </w:tcPr>
          <w:p w14:paraId="3CB1005A" w14:textId="77777777" w:rsidR="00F67DDB" w:rsidRPr="0070080E" w:rsidRDefault="0094076D">
            <w:pPr>
              <w:pStyle w:val="Compact"/>
            </w:pPr>
            <w:r w:rsidRPr="0070080E">
              <w:t>Loss aversion measurement</w:t>
            </w:r>
          </w:p>
        </w:tc>
        <w:tc>
          <w:tcPr>
            <w:tcW w:w="3153" w:type="dxa"/>
          </w:tcPr>
          <w:p w14:paraId="3CB1005B" w14:textId="77777777" w:rsidR="00F67DDB" w:rsidRPr="0070080E" w:rsidRDefault="0094076D">
            <w:pPr>
              <w:pStyle w:val="Compact"/>
            </w:pPr>
            <w:r w:rsidRPr="0070080E">
              <w:t>Model portfolio matching</w:t>
            </w:r>
          </w:p>
        </w:tc>
      </w:tr>
      <w:tr w:rsidR="00F67DDB" w:rsidRPr="0070080E" w14:paraId="3CB10063" w14:textId="77777777" w:rsidTr="00216E23">
        <w:trPr>
          <w:trHeight w:val="783"/>
        </w:trPr>
        <w:tc>
          <w:tcPr>
            <w:tcW w:w="2055" w:type="dxa"/>
          </w:tcPr>
          <w:p w14:paraId="3CB1005D" w14:textId="77777777" w:rsidR="00F67DDB" w:rsidRPr="0070080E" w:rsidRDefault="0094076D">
            <w:pPr>
              <w:pStyle w:val="Compact"/>
            </w:pPr>
            <w:r w:rsidRPr="0070080E">
              <w:rPr>
                <w:b/>
                <w:bCs/>
              </w:rPr>
              <w:t>This Thesis: Shock Score</w:t>
            </w:r>
          </w:p>
        </w:tc>
        <w:tc>
          <w:tcPr>
            <w:tcW w:w="2618" w:type="dxa"/>
          </w:tcPr>
          <w:p w14:paraId="3CB1005E" w14:textId="77777777" w:rsidR="00F67DDB" w:rsidRPr="0070080E" w:rsidRDefault="0094076D">
            <w:pPr>
              <w:pStyle w:val="Compact"/>
            </w:pPr>
            <w:r w:rsidRPr="0070080E">
              <w:rPr>
                <w:b/>
                <w:bCs/>
              </w:rPr>
              <w:t>Behavioral decision support</w:t>
            </w:r>
          </w:p>
        </w:tc>
        <w:tc>
          <w:tcPr>
            <w:tcW w:w="1448" w:type="dxa"/>
          </w:tcPr>
          <w:p w14:paraId="3CB1005F" w14:textId="77777777" w:rsidR="00F67DDB" w:rsidRPr="0070080E" w:rsidRDefault="0094076D">
            <w:pPr>
              <w:pStyle w:val="Compact"/>
            </w:pPr>
            <w:r w:rsidRPr="0070080E">
              <w:rPr>
                <w:b/>
                <w:bCs/>
              </w:rPr>
              <w:t>Real-time</w:t>
            </w:r>
          </w:p>
        </w:tc>
        <w:tc>
          <w:tcPr>
            <w:tcW w:w="2519" w:type="dxa"/>
          </w:tcPr>
          <w:p w14:paraId="3CB10060" w14:textId="77777777" w:rsidR="00F67DDB" w:rsidRPr="0070080E" w:rsidRDefault="0094076D">
            <w:pPr>
              <w:pStyle w:val="Compact"/>
            </w:pPr>
            <w:r w:rsidRPr="0070080E">
              <w:rPr>
                <w:b/>
                <w:bCs/>
              </w:rPr>
              <w:t>Portfolio-specific</w:t>
            </w:r>
          </w:p>
        </w:tc>
        <w:tc>
          <w:tcPr>
            <w:tcW w:w="1923" w:type="dxa"/>
          </w:tcPr>
          <w:p w14:paraId="3CB10061" w14:textId="77777777" w:rsidR="00F67DDB" w:rsidRPr="0070080E" w:rsidRDefault="0094076D">
            <w:pPr>
              <w:pStyle w:val="Compact"/>
            </w:pPr>
            <w:r w:rsidRPr="0070080E">
              <w:rPr>
                <w:b/>
                <w:bCs/>
              </w:rPr>
              <w:t>Pre-commitment protocols</w:t>
            </w:r>
          </w:p>
        </w:tc>
        <w:tc>
          <w:tcPr>
            <w:tcW w:w="3153" w:type="dxa"/>
          </w:tcPr>
          <w:p w14:paraId="3CB10062" w14:textId="77777777" w:rsidR="00F67DDB" w:rsidRPr="0070080E" w:rsidRDefault="0094076D">
            <w:pPr>
              <w:pStyle w:val="Compact"/>
            </w:pPr>
            <w:r w:rsidRPr="0070080E">
              <w:rPr>
                <w:b/>
                <w:bCs/>
              </w:rPr>
              <w:t>IPS-linked cooling-off triggers</w:t>
            </w:r>
          </w:p>
        </w:tc>
      </w:tr>
    </w:tbl>
    <w:p w14:paraId="3CB10064" w14:textId="1B809608" w:rsidR="00F67DDB" w:rsidRPr="0070080E" w:rsidRDefault="0094076D" w:rsidP="00F13E40">
      <w:pPr>
        <w:pStyle w:val="BodyText"/>
        <w:ind w:firstLine="0"/>
      </w:pPr>
      <w:r w:rsidRPr="0070080E">
        <w:rPr>
          <w:i/>
          <w:iCs/>
        </w:rPr>
        <w:t>Note.</w:t>
      </w:r>
      <w:r w:rsidRPr="0070080E">
        <w:t xml:space="preserve"> Based on </w:t>
      </w:r>
      <w:hyperlink r:id="rId300">
        <w:r w:rsidRPr="0070080E">
          <w:rPr>
            <w:rStyle w:val="Hyperlink"/>
          </w:rPr>
          <w:t xml:space="preserve">Baker </w:t>
        </w:r>
        <w:r w:rsidR="00651BE3">
          <w:rPr>
            <w:rStyle w:val="Hyperlink"/>
          </w:rPr>
          <w:t>and</w:t>
        </w:r>
        <w:r w:rsidRPr="0070080E">
          <w:rPr>
            <w:rStyle w:val="Hyperlink"/>
          </w:rPr>
          <w:t xml:space="preserve"> Wurgler</w:t>
        </w:r>
        <w:r w:rsidR="00651BE3">
          <w:rPr>
            <w:rStyle w:val="Hyperlink"/>
          </w:rPr>
          <w:t xml:space="preserve"> (</w:t>
        </w:r>
        <w:r w:rsidRPr="0070080E">
          <w:rPr>
            <w:rStyle w:val="Hyperlink"/>
          </w:rPr>
          <w:t>2006</w:t>
        </w:r>
      </w:hyperlink>
      <w:r w:rsidR="00651BE3">
        <w:rPr>
          <w:rStyle w:val="Hyperlink"/>
        </w:rPr>
        <w:t>)</w:t>
      </w:r>
      <w:r w:rsidRPr="0070080E">
        <w:t xml:space="preserve">, </w:t>
      </w:r>
      <w:hyperlink r:id="rId301">
        <w:r w:rsidRPr="0070080E">
          <w:rPr>
            <w:rStyle w:val="Hyperlink"/>
          </w:rPr>
          <w:t xml:space="preserve">Da, Engelberg </w:t>
        </w:r>
        <w:r w:rsidR="00651BE3">
          <w:rPr>
            <w:rStyle w:val="Hyperlink"/>
          </w:rPr>
          <w:t>and</w:t>
        </w:r>
        <w:r w:rsidRPr="0070080E">
          <w:rPr>
            <w:rStyle w:val="Hyperlink"/>
          </w:rPr>
          <w:t xml:space="preserve"> Gao</w:t>
        </w:r>
        <w:r w:rsidR="00651BE3">
          <w:rPr>
            <w:rStyle w:val="Hyperlink"/>
          </w:rPr>
          <w:t xml:space="preserve"> (</w:t>
        </w:r>
        <w:r w:rsidRPr="0070080E">
          <w:rPr>
            <w:rStyle w:val="Hyperlink"/>
          </w:rPr>
          <w:t>2015</w:t>
        </w:r>
      </w:hyperlink>
      <w:r w:rsidR="00651BE3">
        <w:rPr>
          <w:rStyle w:val="Hyperlink"/>
        </w:rPr>
        <w:t>)</w:t>
      </w:r>
      <w:r w:rsidRPr="0070080E">
        <w:t>, RavenPack (2011), Statman (2019), and the present study design. Classification reflects primary intended use as reported in the cited publications.</w:t>
      </w:r>
    </w:p>
    <w:p w14:paraId="2B2071A4" w14:textId="77777777" w:rsidR="008617A1" w:rsidRPr="0070080E" w:rsidRDefault="008617A1">
      <w:pPr>
        <w:pStyle w:val="BodyText"/>
        <w:rPr>
          <w:b/>
          <w:bCs/>
        </w:rPr>
        <w:sectPr w:rsidR="008617A1" w:rsidRPr="0070080E" w:rsidSect="00BA36D3">
          <w:footnotePr>
            <w:numRestart w:val="eachSect"/>
          </w:footnotePr>
          <w:pgSz w:w="15840" w:h="12240" w:orient="landscape"/>
          <w:pgMar w:top="1440" w:right="1440" w:bottom="1440" w:left="1440" w:header="630" w:footer="720" w:gutter="0"/>
          <w:cols w:space="720"/>
          <w:docGrid w:linePitch="299"/>
        </w:sectPr>
      </w:pPr>
    </w:p>
    <w:p w14:paraId="3CB10066" w14:textId="5B9AB433" w:rsidR="00F67DDB" w:rsidRPr="0070080E" w:rsidRDefault="0094076D" w:rsidP="008617A1">
      <w:pPr>
        <w:pStyle w:val="BodyText"/>
      </w:pPr>
      <w:r w:rsidRPr="0070080E">
        <w:rPr>
          <w:b/>
          <w:bCs/>
        </w:rPr>
        <w:t>Technical Distinction: PCA Application</w:t>
      </w:r>
      <w:r w:rsidR="008617A1" w:rsidRPr="0070080E">
        <w:t xml:space="preserve">. </w:t>
      </w:r>
      <w:r w:rsidRPr="0070080E">
        <w:t>While both the Baker-Wurgler index and the Shock Score use principal component analysis for dimensionality reduction, they apply PCA to fundamentally different inputs for different purposes. Baker-Wurgler aggregates market-based proxies (IPO activity, fund discounts, equity issuance) to capture aggregate investor sentiment as a predictor of future returns. The Shock Score (whose components are defined in Chapter 4) aggregates portfolio-specific news metrics to capture information shock magnitude as a trigger for behavioral interventions. This difference in both inputs and objectives means the two measures serve non-overlapping functions in portfolio management.</w:t>
      </w:r>
    </w:p>
    <w:p w14:paraId="3CB10067" w14:textId="77777777" w:rsidR="00F67DDB" w:rsidRPr="0070080E" w:rsidRDefault="0094076D">
      <w:pPr>
        <w:pStyle w:val="BodyText"/>
      </w:pPr>
      <w:r w:rsidRPr="0070080E">
        <w:t>In sum, existing measures either forecast returns (sentiment indices), describe market conditions (volatility gauges), or profile static risk preferences (behavioral tools). None operationalizes information shock intensity as a real-time behavioral risk mitigation trigger for discretionary portfolio managers. The Shock Score fills this gap by bridging real-time news analytics with behavioral governance frameworks.</w:t>
      </w:r>
    </w:p>
    <w:p w14:paraId="3CB10068" w14:textId="77777777" w:rsidR="00F67DDB" w:rsidRPr="0070080E" w:rsidRDefault="0094076D">
      <w:pPr>
        <w:pStyle w:val="Heading3"/>
      </w:pPr>
      <w:bookmarkStart w:id="102" w:name="Xdcd0a0d817db933063c7e766fe5877b79e38e4d"/>
      <w:bookmarkEnd w:id="101"/>
      <w:r w:rsidRPr="0070080E">
        <w:t>3.6.4 Relevance of Reviewed Literature to Research Hypotheses</w:t>
      </w:r>
    </w:p>
    <w:p w14:paraId="3CB10069" w14:textId="24F8C764" w:rsidR="00F67DDB" w:rsidRPr="0070080E" w:rsidRDefault="0094076D">
      <w:pPr>
        <w:pStyle w:val="FirstParagraph"/>
      </w:pPr>
      <w:r w:rsidRPr="0070080E">
        <w:t xml:space="preserve">Chapter 3 has reviewed three streams of literature that together provide the theoretical foundation for the research hypotheses. </w:t>
      </w:r>
      <w:hyperlink r:id="rId302">
        <w:r w:rsidRPr="0070080E">
          <w:rPr>
            <w:rStyle w:val="Hyperlink"/>
          </w:rPr>
          <w:t>Hirshleifer</w:t>
        </w:r>
        <w:r w:rsidR="00651BE3">
          <w:rPr>
            <w:rStyle w:val="Hyperlink"/>
          </w:rPr>
          <w:t xml:space="preserve"> (</w:t>
        </w:r>
        <w:r w:rsidRPr="0070080E">
          <w:rPr>
            <w:rStyle w:val="Hyperlink"/>
          </w:rPr>
          <w:t>2015</w:t>
        </w:r>
      </w:hyperlink>
      <w:r w:rsidR="00651BE3">
        <w:rPr>
          <w:rStyle w:val="Hyperlink"/>
        </w:rPr>
        <w:t>)</w:t>
      </w:r>
      <w:r w:rsidRPr="0070080E">
        <w:t xml:space="preserve"> and </w:t>
      </w:r>
      <w:hyperlink r:id="rId303">
        <w:r w:rsidRPr="0070080E">
          <w:rPr>
            <w:rStyle w:val="Hyperlink"/>
          </w:rPr>
          <w:t xml:space="preserve">Barberis </w:t>
        </w:r>
        <w:r w:rsidR="00651BE3">
          <w:rPr>
            <w:rStyle w:val="Hyperlink"/>
          </w:rPr>
          <w:t>and</w:t>
        </w:r>
        <w:r w:rsidRPr="0070080E">
          <w:rPr>
            <w:rStyle w:val="Hyperlink"/>
          </w:rPr>
          <w:t xml:space="preserve"> Thaler</w:t>
        </w:r>
        <w:r w:rsidR="00651BE3">
          <w:rPr>
            <w:rStyle w:val="Hyperlink"/>
          </w:rPr>
          <w:t xml:space="preserve"> (</w:t>
        </w:r>
        <w:r w:rsidRPr="0070080E">
          <w:rPr>
            <w:rStyle w:val="Hyperlink"/>
          </w:rPr>
          <w:t>2002</w:t>
        </w:r>
      </w:hyperlink>
      <w:r w:rsidR="00651BE3">
        <w:rPr>
          <w:rStyle w:val="Hyperlink"/>
        </w:rPr>
        <w:t>)</w:t>
      </w:r>
      <w:r w:rsidRPr="0070080E">
        <w:t xml:space="preserve"> established the behavioral mechanisms through which information shocks produce systematic decision errors, supporting H1. </w:t>
      </w:r>
      <w:hyperlink r:id="rId304">
        <w:r w:rsidRPr="0070080E">
          <w:rPr>
            <w:rStyle w:val="Hyperlink"/>
          </w:rPr>
          <w:t>Henderson et al.</w:t>
        </w:r>
        <w:r w:rsidR="00651BE3">
          <w:rPr>
            <w:rStyle w:val="Hyperlink"/>
          </w:rPr>
          <w:t xml:space="preserve"> (</w:t>
        </w:r>
        <w:r w:rsidRPr="0070080E">
          <w:rPr>
            <w:rStyle w:val="Hyperlink"/>
          </w:rPr>
          <w:t>2018</w:t>
        </w:r>
      </w:hyperlink>
      <w:r w:rsidR="00651BE3">
        <w:rPr>
          <w:rStyle w:val="Hyperlink"/>
        </w:rPr>
        <w:t>)</w:t>
      </w:r>
      <w:r w:rsidRPr="0070080E">
        <w:t xml:space="preserve">, </w:t>
      </w:r>
      <w:hyperlink r:id="rId305">
        <w:r w:rsidRPr="0070080E">
          <w:rPr>
            <w:rStyle w:val="Hyperlink"/>
          </w:rPr>
          <w:t>Statman</w:t>
        </w:r>
        <w:r w:rsidR="00651BE3">
          <w:rPr>
            <w:rStyle w:val="Hyperlink"/>
          </w:rPr>
          <w:t xml:space="preserve"> (</w:t>
        </w:r>
        <w:r w:rsidRPr="0070080E">
          <w:rPr>
            <w:rStyle w:val="Hyperlink"/>
          </w:rPr>
          <w:t>2019</w:t>
        </w:r>
      </w:hyperlink>
      <w:r w:rsidR="00651BE3">
        <w:rPr>
          <w:rStyle w:val="Hyperlink"/>
        </w:rPr>
        <w:t>)</w:t>
      </w:r>
      <w:r w:rsidRPr="0070080E">
        <w:t xml:space="preserve">, and </w:t>
      </w:r>
      <w:hyperlink r:id="rId306">
        <w:r w:rsidR="00095317" w:rsidRPr="00095317">
          <w:rPr>
            <w:rStyle w:val="Hyperlink"/>
          </w:rPr>
          <w:t xml:space="preserve">Bianchi </w:t>
        </w:r>
        <w:r w:rsidR="00651BE3">
          <w:rPr>
            <w:rStyle w:val="Hyperlink"/>
          </w:rPr>
          <w:t>and</w:t>
        </w:r>
        <w:r w:rsidR="00095317" w:rsidRPr="00095317">
          <w:rPr>
            <w:rStyle w:val="Hyperlink"/>
          </w:rPr>
          <w:t xml:space="preserve"> Briere</w:t>
        </w:r>
        <w:r w:rsidR="00651BE3">
          <w:rPr>
            <w:rStyle w:val="Hyperlink"/>
          </w:rPr>
          <w:t xml:space="preserve"> (</w:t>
        </w:r>
        <w:r w:rsidRPr="0070080E">
          <w:rPr>
            <w:rStyle w:val="Hyperlink"/>
          </w:rPr>
          <w:t>202</w:t>
        </w:r>
        <w:r w:rsidR="00095317">
          <w:rPr>
            <w:rStyle w:val="Hyperlink"/>
          </w:rPr>
          <w:t>1</w:t>
        </w:r>
      </w:hyperlink>
      <w:r w:rsidR="00651BE3">
        <w:rPr>
          <w:rStyle w:val="Hyperlink"/>
        </w:rPr>
        <w:t>)</w:t>
      </w:r>
      <w:r w:rsidRPr="0070080E">
        <w:t xml:space="preserve"> demonstrated that structured, rule-based decision support can reduce emotional reactivity in investment contexts, supporting the design rationale for H2. The Shock Score is positioned as a novel construct that bridges these two streams; its construction, empirical evaluation, and contribution relative to existing measures are addressed in Chapters 4 and 5.</w:t>
      </w:r>
    </w:p>
    <w:p w14:paraId="3CB1006A" w14:textId="77777777" w:rsidR="00F67DDB" w:rsidRPr="0070080E" w:rsidRDefault="0094076D">
      <w:pPr>
        <w:pStyle w:val="Heading2"/>
      </w:pPr>
      <w:bookmarkStart w:id="103" w:name="_Toc231913450"/>
      <w:bookmarkStart w:id="104" w:name="chapter-conclusion-1"/>
      <w:bookmarkEnd w:id="98"/>
      <w:bookmarkEnd w:id="102"/>
      <w:r w:rsidRPr="0070080E">
        <w:t>3.7 Chapter Conclusion</w:t>
      </w:r>
      <w:bookmarkEnd w:id="103"/>
    </w:p>
    <w:p w14:paraId="3CB1006B" w14:textId="77777777" w:rsidR="00F67DDB" w:rsidRPr="0070080E" w:rsidRDefault="0094076D">
      <w:pPr>
        <w:pStyle w:val="FirstParagraph"/>
      </w:pPr>
      <w:r w:rsidRPr="0070080E">
        <w:t>Chapter 3 reviewed the theoretical and empirical literature underpinning the two research hypotheses. Three streams of scholarship were examined.</w:t>
      </w:r>
    </w:p>
    <w:p w14:paraId="3CB1006C" w14:textId="77777777" w:rsidR="00F67DDB" w:rsidRPr="0070080E" w:rsidRDefault="0094076D">
      <w:pPr>
        <w:pStyle w:val="BodyText"/>
      </w:pPr>
      <w:r w:rsidRPr="0070080E">
        <w:t>The first stream documented the prevalence and mechanisms of behavioral biases in investment decision-making. Loss aversion, overconfidence, attention-driven extrapolation, and the disposition effect have been shown to produce systematic deviations from rational portfolio adjustment, particularly in response to emotionally salient discrete events. The evidence supports treating elevated information shock conditions as an environment in which bias-driven decision errors are more likely to occur, providing the behavioral foundation for Hypothesis H1.</w:t>
      </w:r>
    </w:p>
    <w:p w14:paraId="3CB1006D" w14:textId="77777777" w:rsidR="00F67DDB" w:rsidRPr="0070080E" w:rsidRDefault="0094076D">
      <w:pPr>
        <w:pStyle w:val="BodyText"/>
      </w:pPr>
      <w:r w:rsidRPr="0070080E">
        <w:t>The second stream examined managerial decision-making under uncertainty. Research on professional portfolio managers demonstrated that experience and institutional constraints do not eliminate behavioral bias and may, under time pressure and information overload, amplify procyclical responses. This stream situates the study population within the behavioral finance literature and reinforces the relevance of testing H1 on a sample of experienced practitioners rather than student proxies.</w:t>
      </w:r>
    </w:p>
    <w:p w14:paraId="3CB1006E" w14:textId="77777777" w:rsidR="00F67DDB" w:rsidRPr="0070080E" w:rsidRDefault="0094076D">
      <w:pPr>
        <w:pStyle w:val="BodyText"/>
      </w:pPr>
      <w:r w:rsidRPr="0070080E">
        <w:t>The third stream reviewed tools designed to mitigate emotional and cognitive bias in investment contexts. Rule-based pre-commitment mechanisms, structured checklists, and decision-support frameworks have demonstrated efficacy in laboratory and field settings. However, the literature revealed a gap: existing tools are predominantly designed for quantitative analytics and algorithmic execution, with limited provision for ex-ante identification and moderation of bias at the point of decision. The Shock Score is positioned to address this gap, providing the theoretical motivation for Hypothesis H2.</w:t>
      </w:r>
    </w:p>
    <w:p w14:paraId="3CB1006F" w14:textId="77777777" w:rsidR="00F67DDB" w:rsidRPr="0070080E" w:rsidRDefault="0094076D">
      <w:pPr>
        <w:pStyle w:val="BodyText"/>
      </w:pPr>
      <w:r w:rsidRPr="0070080E">
        <w:t>Section 3.6 identified limitations in the existing literature, including the predominance of laboratory studies with student subjects, reliance on return-based rather than decision-based outcome measures, and the absence of composite information shock indicators combining sentiment, attention, and event-type signals. Table 3.2 benchmarked the Shock Score against existing measures and identified its distinguishing characteristics. Chapter 4 describes the research design and data collection procedures developed to test H1 and H2 in a professional sample.</w:t>
      </w:r>
    </w:p>
    <w:p w14:paraId="3CB10070" w14:textId="77777777" w:rsidR="00F67DDB" w:rsidRPr="0070080E" w:rsidRDefault="0094076D">
      <w:pPr>
        <w:pStyle w:val="Heading1"/>
      </w:pPr>
      <w:bookmarkStart w:id="105" w:name="_Toc231913451"/>
      <w:bookmarkStart w:id="106" w:name="Xcc1bfbaa80abdb82fa89f2f03f06681cc6e62f9"/>
      <w:bookmarkEnd w:id="75"/>
      <w:bookmarkEnd w:id="104"/>
      <w:r w:rsidRPr="0070080E">
        <w:t>Chapter 4. Research Data and Primary Data Collection</w:t>
      </w:r>
      <w:bookmarkEnd w:id="105"/>
    </w:p>
    <w:p w14:paraId="3CB10071" w14:textId="77777777" w:rsidR="00F67DDB" w:rsidRPr="0070080E" w:rsidRDefault="0094076D">
      <w:pPr>
        <w:pStyle w:val="Heading2"/>
      </w:pPr>
      <w:bookmarkStart w:id="107" w:name="_Toc231913452"/>
      <w:bookmarkStart w:id="108" w:name="chapter-introduction-1"/>
      <w:r w:rsidRPr="0070080E">
        <w:t>4.1 Chapter Introduction</w:t>
      </w:r>
      <w:bookmarkEnd w:id="107"/>
    </w:p>
    <w:p w14:paraId="3CB10072" w14:textId="77777777" w:rsidR="00F67DDB" w:rsidRPr="0070080E" w:rsidRDefault="0094076D">
      <w:pPr>
        <w:pStyle w:val="FirstParagraph"/>
      </w:pPr>
      <w:r w:rsidRPr="0070080E">
        <w:t>This chapter documents the research data, instrument design, and primary data collection process. Section 4.2 establishes the research paradigm and conceptual framework. Section 4.3 presents the market and events data, event screening, Shock Score components, and dashboard. Section 4.4 documents the survey instrument and administration. Section 4.5 specifies the analytical framework. Section 4.6 concludes.</w:t>
      </w:r>
    </w:p>
    <w:p w14:paraId="3CB10073" w14:textId="7F8B840B" w:rsidR="00F67DDB" w:rsidRPr="0070080E" w:rsidRDefault="0094076D">
      <w:pPr>
        <w:pStyle w:val="BodyText"/>
      </w:pPr>
      <w:r w:rsidRPr="0070080E">
        <w:t>Primary data are collected through an online scenario-based survey of active equity portfolio managers. Each participant responds to eight information shock scenarios</w:t>
      </w:r>
      <w:r w:rsidR="000A66AA">
        <w:t>—</w:t>
      </w:r>
      <w:r w:rsidRPr="0070080E">
        <w:t>four without the Shock Score dashboard (ShowSC = 0) and four with the dashboard (ShowSC = 1)</w:t>
      </w:r>
      <w:r w:rsidR="000A66AA">
        <w:t>—</w:t>
      </w:r>
      <w:r w:rsidRPr="0070080E">
        <w:t>recording their intended portfolio adjustment on the seven-point Net Risk Stance scale defined in Section 2.3.1.</w:t>
      </w:r>
    </w:p>
    <w:p w14:paraId="3CB10074" w14:textId="77777777" w:rsidR="00F67DDB" w:rsidRPr="0070080E" w:rsidRDefault="0094076D">
      <w:pPr>
        <w:pStyle w:val="Heading2"/>
      </w:pPr>
      <w:bookmarkStart w:id="109" w:name="_Toc231913453"/>
      <w:bookmarkStart w:id="110" w:name="research-design"/>
      <w:bookmarkEnd w:id="108"/>
      <w:r w:rsidRPr="0070080E">
        <w:t>4.2 Research Design</w:t>
      </w:r>
      <w:bookmarkEnd w:id="109"/>
    </w:p>
    <w:p w14:paraId="3CB10075" w14:textId="77777777" w:rsidR="00F67DDB" w:rsidRPr="0070080E" w:rsidRDefault="0094076D">
      <w:pPr>
        <w:pStyle w:val="Heading3"/>
      </w:pPr>
      <w:bookmarkStart w:id="111" w:name="research-paradigm"/>
      <w:r w:rsidRPr="0070080E">
        <w:t>4.2.1 Research Paradigm</w:t>
      </w:r>
    </w:p>
    <w:p w14:paraId="3CB10076" w14:textId="256E1581" w:rsidR="00F67DDB" w:rsidRDefault="0094076D">
      <w:pPr>
        <w:pStyle w:val="FirstParagraph"/>
      </w:pPr>
      <w:r w:rsidRPr="0070080E">
        <w:t>The study adopts a positivist, deductive, theory-testing paradigm (Saunders et al., 2019): hypotheses derived from behavioral finance and the decision-support literature (Chapters 2 and 3) are evaluated against primary data collected under controlled conditions. The design is quasi-experimental and within-subject (</w:t>
      </w:r>
      <w:hyperlink r:id="rId307">
        <w:r w:rsidRPr="0070080E">
          <w:rPr>
            <w:rStyle w:val="Hyperlink"/>
          </w:rPr>
          <w:t>Charness et al., 2012</w:t>
        </w:r>
      </w:hyperlink>
      <w:r w:rsidRPr="0070080E">
        <w:t>). Each participant serves as their own control by responding to scenarios under both conditions (ShowSC = 0 and ShowSC = 1). This design controls for stable individual differences in risk appetite and decision style, increases statistical power relative to a between-subjects design</w:t>
      </w:r>
      <w:r w:rsidR="000A66AA">
        <w:t>—</w:t>
      </w:r>
      <w:r w:rsidRPr="0070080E">
        <w:t>important given the difficulty of recruiting professional managers</w:t>
      </w:r>
      <w:r w:rsidR="000A66AA">
        <w:t>—</w:t>
      </w:r>
      <w:r w:rsidRPr="0070080E">
        <w:t>and reflects the applied question of whether the same manager’s behavior changes when given access to the tool. Scenario-based stimuli replace live market events, enabling standardized presentation and controlled manipulation of the treatment at the cost of some artificiality; the gap between stated intentions and actual trading behavior is acknowledged in Section 2.8. A Latin square counterbalanced block design (Section 4.4.4) mitigates within-subject confounds by ensuring no scenario is systematically associated with one condition and by distributing order effects across respondents.</w:t>
      </w:r>
    </w:p>
    <w:p w14:paraId="29636A60" w14:textId="35630B80" w:rsidR="00870592" w:rsidRPr="00870592" w:rsidRDefault="00870592" w:rsidP="006478BB">
      <w:pPr>
        <w:pStyle w:val="BodyText"/>
      </w:pPr>
      <w:r w:rsidRPr="00870592">
        <w:t xml:space="preserve">Within this paradigm, the research questions are answered through the falsification logic of the hypothesis tests specified in Chapter 2, each mapped to an element of the design. RQ1 is addressed by testing H1: Net Risk Stance responses collected under controlled scenario conditions are regressed on the ex-ante shock intensity measure </w:t>
      </w:r>
      <w:proofErr w:type="spellStart"/>
      <w:r w:rsidRPr="00870592">
        <w:t>SC_total</w:t>
      </w:r>
      <w:proofErr w:type="spellEnd"/>
      <w:r w:rsidRPr="00870592">
        <w:t>, with significance assessed under robust standard errors (Section 5.5.1). RQ2 is addressed in two complementary steps: the within-subject treatment indicator ShowSC estimates the effect of displaying the dashboard on Net Risk Stance within the same regression framework, and H2 formally tests the effect on simulated portfolio risk–return outcomes through the Sharpe and Sortino ratios (Section 5.5.2). Because every respondent contributes observations under both treatment conditions and across the full range of shock intensities, both research questions are evaluated on primary data through pre-specified statistical tests—the mechanism by which the deductive design achieves the research objectives.</w:t>
      </w:r>
    </w:p>
    <w:p w14:paraId="3CB10077" w14:textId="77777777" w:rsidR="00F67DDB" w:rsidRPr="0070080E" w:rsidRDefault="0094076D">
      <w:pPr>
        <w:pStyle w:val="BodyText"/>
      </w:pPr>
      <w:r w:rsidRPr="0070080E">
        <w:t>The research is positioned as applied research focused on professional decision-making (Section 2.2). It makes no claims about market efficiency; it evaluates whether decision support is associated with changes in manager responses and simulated portfolio outcomes.</w:t>
      </w:r>
    </w:p>
    <w:p w14:paraId="3CB10078" w14:textId="77777777" w:rsidR="00F67DDB" w:rsidRPr="0070080E" w:rsidRDefault="0094076D">
      <w:pPr>
        <w:pStyle w:val="Heading3"/>
      </w:pPr>
      <w:bookmarkStart w:id="112" w:name="conceptual-framework"/>
      <w:bookmarkEnd w:id="111"/>
      <w:r w:rsidRPr="0070080E">
        <w:t>4.2.2 Conceptual Framework</w:t>
      </w:r>
    </w:p>
    <w:p w14:paraId="3CB10079" w14:textId="77777777" w:rsidR="00F67DDB" w:rsidRPr="0070080E" w:rsidRDefault="0094076D">
      <w:pPr>
        <w:pStyle w:val="FirstParagraph"/>
      </w:pPr>
      <w:r w:rsidRPr="0070080E">
        <w:t>Figure 4.1 operationalizes the causal logic introduced in Section 2.3, mapping each construct to its measurement instrument and linking the two hypotheses to the experimental protocol.</w:t>
      </w:r>
    </w:p>
    <w:p w14:paraId="714E58CB" w14:textId="77777777" w:rsidR="00E80316" w:rsidRPr="0070080E" w:rsidRDefault="00E80316">
      <w:pPr>
        <w:spacing w:after="200" w:line="240" w:lineRule="auto"/>
        <w:ind w:firstLine="0"/>
        <w:rPr>
          <w:b/>
          <w:bCs/>
        </w:rPr>
      </w:pPr>
      <w:r w:rsidRPr="0070080E">
        <w:rPr>
          <w:b/>
          <w:bCs/>
        </w:rPr>
        <w:br w:type="page"/>
      </w:r>
    </w:p>
    <w:p w14:paraId="3CB1007A" w14:textId="151C1495" w:rsidR="00F67DDB" w:rsidRPr="0070080E" w:rsidRDefault="0094076D" w:rsidP="00F13E40">
      <w:pPr>
        <w:pStyle w:val="Tableid"/>
      </w:pPr>
      <w:r w:rsidRPr="0070080E">
        <w:t>Figure 4.1</w:t>
      </w:r>
    </w:p>
    <w:p w14:paraId="3CB1007B" w14:textId="0B74996D" w:rsidR="00F67DDB" w:rsidRPr="0070080E" w:rsidRDefault="0094076D" w:rsidP="00F13E40">
      <w:pPr>
        <w:pStyle w:val="TableCaption"/>
      </w:pPr>
      <w:r w:rsidRPr="0070080E">
        <w:t>Conceptual Framework</w:t>
      </w:r>
      <w:r w:rsidR="000A66AA">
        <w:t>—</w:t>
      </w:r>
      <w:commentRangeStart w:id="113"/>
      <w:commentRangeStart w:id="114"/>
      <w:r w:rsidRPr="0070080E">
        <w:t xml:space="preserve">Research Design </w:t>
      </w:r>
      <w:commentRangeEnd w:id="113"/>
      <w:r w:rsidR="00F94C43" w:rsidRPr="0070080E">
        <w:rPr>
          <w:rStyle w:val="CommentReference"/>
          <w:sz w:val="22"/>
          <w:szCs w:val="24"/>
        </w:rPr>
        <w:commentReference w:id="113"/>
      </w:r>
      <w:commentRangeEnd w:id="114"/>
      <w:r w:rsidR="00E5304E">
        <w:rPr>
          <w:rStyle w:val="CommentReference"/>
          <w:i w:val="0"/>
        </w:rPr>
        <w:commentReference w:id="114"/>
      </w:r>
      <w:r w:rsidRPr="0070080E">
        <w:t>Operationalization</w:t>
      </w:r>
    </w:p>
    <w:p w14:paraId="3CB1007C" w14:textId="77777777" w:rsidR="00F67DDB" w:rsidRPr="0070080E" w:rsidRDefault="0094076D" w:rsidP="00F13E40">
      <w:pPr>
        <w:pStyle w:val="Compact"/>
      </w:pPr>
      <w:r w:rsidRPr="0070080E">
        <w:rPr>
          <w:noProof/>
        </w:rPr>
        <w:drawing>
          <wp:inline distT="0" distB="0" distL="0" distR="0" wp14:anchorId="3CB1081B" wp14:editId="3CB1081C">
            <wp:extent cx="5943600" cy="4007427"/>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images/img_framework.svg"/>
                    <pic:cNvPicPr>
                      <a:picLocks noChangeAspect="1" noChangeArrowheads="1"/>
                    </pic:cNvPicPr>
                  </pic:nvPicPr>
                  <pic:blipFill>
                    <a:blip r:embed="rId308">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5943600" cy="4007427"/>
                    </a:xfrm>
                    <a:prstGeom prst="rect">
                      <a:avLst/>
                    </a:prstGeom>
                    <a:noFill/>
                    <a:ln w="9525">
                      <a:noFill/>
                      <a:headEnd/>
                      <a:tailEnd/>
                    </a:ln>
                  </pic:spPr>
                </pic:pic>
              </a:graphicData>
            </a:graphic>
          </wp:inline>
        </w:drawing>
      </w:r>
    </w:p>
    <w:p w14:paraId="3CB1007D" w14:textId="11A496A6" w:rsidR="00F67DDB" w:rsidRPr="0070080E" w:rsidRDefault="0094076D" w:rsidP="00F13E40">
      <w:pPr>
        <w:pStyle w:val="BodyText"/>
        <w:ind w:firstLine="0"/>
      </w:pPr>
      <w:r w:rsidRPr="0070080E">
        <w:rPr>
          <w:i/>
          <w:iCs/>
        </w:rPr>
        <w:t>Note.</w:t>
      </w:r>
      <w:r w:rsidRPr="0070080E">
        <w:t xml:space="preserve"> Original figure created for this study</w:t>
      </w:r>
      <w:r w:rsidR="00E5304E">
        <w:t xml:space="preserve"> (2026)</w:t>
      </w:r>
      <w:r w:rsidRPr="0070080E">
        <w:t>. The framework maps the study constructs to their measurement instruments and links the two hypotheses to the experimental protocol.</w:t>
      </w:r>
    </w:p>
    <w:p w14:paraId="3CB1007E" w14:textId="41417897" w:rsidR="00F67DDB" w:rsidRPr="0070080E" w:rsidRDefault="0094076D">
      <w:pPr>
        <w:pStyle w:val="BodyText"/>
      </w:pPr>
      <w:r w:rsidRPr="0070080E">
        <w:t>The framework proceeds in three stages. First, an external information shock is characterized by four observable attributes</w:t>
      </w:r>
      <w:r w:rsidR="000A66AA">
        <w:t>—</w:t>
      </w:r>
      <w:r w:rsidRPr="0070080E">
        <w:t>article count, sentiment extremity, attention intensity, and event type</w:t>
      </w:r>
      <w:r w:rsidR="000A66AA">
        <w:t>—</w:t>
      </w:r>
      <w:r w:rsidRPr="0070080E">
        <w:t xml:space="preserve">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via PCA (Section 4.3.5).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the independent variable for H1.</w:t>
      </w:r>
    </w:p>
    <w:p w14:paraId="3CB1007F" w14:textId="77777777" w:rsidR="00F67DDB" w:rsidRPr="0070080E" w:rsidRDefault="0094076D">
      <w:pPr>
        <w:pStyle w:val="BodyText"/>
      </w:pPr>
      <w:r w:rsidRPr="0070080E">
        <w:t>Second, the manager encounters the scenario through the survey. The treatment condition adds the four-signal Shock Score dashboard (Section 4.3.6); the control condition omits it. The manager then records the seven-point Net Risk Stance, which serves as the dependent variable for H1 and the mediating behavioral response for H2.</w:t>
      </w:r>
    </w:p>
    <w:p w14:paraId="3CB10080" w14:textId="77777777" w:rsidR="00F67DDB" w:rsidRPr="0070080E" w:rsidRDefault="0094076D">
      <w:pPr>
        <w:pStyle w:val="BodyText"/>
      </w:pPr>
      <w:r w:rsidRPr="0070080E">
        <w:t>Third, stated NRS responses are translated into portfolio weight adjustments and evaluated against realized returns within a simulation framework, producing Sharpe and Sortino ratios as the H2 dependent variables. ShowSC is the H2 independent variable. NRS is directly observed; portfolio outcomes are model-dependent and therefore jointly conditional on the behavioral treatment effect and the adequacy of the simulation, as noted in Section 2.8.</w:t>
      </w:r>
    </w:p>
    <w:p w14:paraId="3CB10081" w14:textId="77777777" w:rsidR="00F67DDB" w:rsidRPr="0070080E" w:rsidRDefault="0094076D">
      <w:pPr>
        <w:pStyle w:val="Heading2"/>
      </w:pPr>
      <w:bookmarkStart w:id="115" w:name="_Toc231913454"/>
      <w:bookmarkStart w:id="116" w:name="market-and-events-data"/>
      <w:bookmarkEnd w:id="110"/>
      <w:bookmarkEnd w:id="112"/>
      <w:r w:rsidRPr="0070080E">
        <w:t>4.3 Market and Events Data</w:t>
      </w:r>
      <w:bookmarkEnd w:id="115"/>
    </w:p>
    <w:p w14:paraId="3CB10082" w14:textId="77777777" w:rsidR="00F67DDB" w:rsidRPr="0070080E" w:rsidRDefault="0094076D">
      <w:pPr>
        <w:pStyle w:val="Heading3"/>
      </w:pPr>
      <w:bookmarkStart w:id="117" w:name="portfolio-scope-and-stock-selection"/>
      <w:r w:rsidRPr="0070080E">
        <w:t>4.3.1 Portfolio Scope and Stock Selection</w:t>
      </w:r>
    </w:p>
    <w:p w14:paraId="3CB10083" w14:textId="77777777" w:rsidR="00F67DDB" w:rsidRPr="0070080E" w:rsidRDefault="0094076D">
      <w:pPr>
        <w:pStyle w:val="FirstParagraph"/>
      </w:pPr>
      <w:r w:rsidRPr="0070080E">
        <w:t>The portfolio universe is restricted to U.S.-listed equities. The U.S. market accounts for roughly half of global equity capitalization and offers unmatched depth and liquidity (</w:t>
      </w:r>
      <w:hyperlink r:id="rId310">
        <w:r w:rsidRPr="0070080E">
          <w:rPr>
            <w:rStyle w:val="Hyperlink"/>
          </w:rPr>
          <w:t>SIFMA, 2025</w:t>
        </w:r>
      </w:hyperlink>
      <w:r w:rsidRPr="0070080E">
        <w:t>), ensuring all constituents are plausible holdings for the target respondent population. A single-market restriction also eliminates cross-jurisdiction confounds (trading hours, regulatory regimes, currency), aligns with Benzinga’s most comprehensive coverage (Section 4.3.3), and supplies the S&amp;P 500 as a single consistent benchmark for the event screening algorithm (Section 4.3.4). Stocks are drawn from the S&amp;P 500 (</w:t>
      </w:r>
      <w:hyperlink r:id="rId311">
        <w:r w:rsidRPr="0070080E">
          <w:rPr>
            <w:rStyle w:val="Hyperlink"/>
          </w:rPr>
          <w:t>S&amp;P Dow Jones Indices, 2026</w:t>
        </w:r>
      </w:hyperlink>
      <w:r w:rsidRPr="0070080E">
        <w:t>) using selection criteria that balance ecological validity (the extent to which the experimental scenarios resemble the real-world conditions under which managers actually decide), internal validity, and respondent experience.</w:t>
      </w:r>
    </w:p>
    <w:p w14:paraId="3CB10084" w14:textId="45867267" w:rsidR="00F67DDB" w:rsidRPr="0070080E" w:rsidRDefault="0094076D">
      <w:pPr>
        <w:pStyle w:val="BodyText"/>
      </w:pPr>
      <w:r w:rsidRPr="0070080E">
        <w:t>The top 10 constituents by market capitalization (Apple, Microsoft, NVIDIA, Amazon, Alphabet, Meta, Berkshire Hathaway, Broadcom, Tesla, Eli Lilly) are excluded: managers typically hold strong priors or active positions in these names, which would introduce a familiarity-bias confound (Weber</w:t>
      </w:r>
      <w:r w:rsidR="002F43EA">
        <w:t xml:space="preserve"> et al.</w:t>
      </w:r>
      <w:r w:rsidRPr="0070080E">
        <w:t>, 2005). Remaining S&amp;P 500 constituents are familiar enough for generalist managers to evaluate without research yet ordinary enough that personal views are unlikely to dominate the response. Company names are not masked, as anonymization would substantially reduce ecological validity; scenario instructions direct respondents to react to the information presented rather than to prior views. Residual familiarity effects are acknowledged in Section 2.8.</w:t>
      </w:r>
    </w:p>
    <w:p w14:paraId="3CB10085" w14:textId="23862849" w:rsidR="00F67DDB" w:rsidRPr="0070080E" w:rsidRDefault="0094076D">
      <w:pPr>
        <w:pStyle w:val="BodyText"/>
      </w:pPr>
      <w:r w:rsidRPr="0070080E">
        <w:t>Twenty-four unique stocks populate the scenario slots across three blocks of eight, with each stock appearing in exactly one block so that blocks function as independent mini-experiments. Candidate stocks</w:t>
      </w:r>
      <w:r w:rsidR="000A66AA">
        <w:t>—</w:t>
      </w:r>
      <w:r w:rsidRPr="0070080E">
        <w:t>that is, the S&amp;P 500 constituents remaining after the top-10 exclusion described above</w:t>
      </w:r>
      <w:r w:rsidR="000A66AA">
        <w:t>—</w:t>
      </w:r>
      <w:r w:rsidRPr="0070080E">
        <w:t>must additionally meet three requirements: (i) adequate news coverage, operationalized as at least one Benzinga article per week on average; (ii) sector diversification across at least eight GICS sectors, with no sector contributing more than four or fewer than one of the 24 stocks, to avoid expertise-based response heterogeneity; and (iii) sufficient average daily trading volume to make portfolio adjustments professionally plausible.</w:t>
      </w:r>
    </w:p>
    <w:p w14:paraId="3CB10086" w14:textId="77777777" w:rsidR="00F67DDB" w:rsidRPr="0070080E" w:rsidRDefault="0094076D">
      <w:pPr>
        <w:pStyle w:val="BodyText"/>
      </w:pPr>
      <w:r w:rsidRPr="0070080E">
        <w:t>These 24 stocks are stimulus material, not holdings the respondent actively trades: each manager is assigned a single block and therefore reacts to eight scenarios, one per stock, recording a Net Risk Stance for each (the survey mechanics are set out in Section 4.4). No respondent sees the full universe, and the stock–event pairing, not the stock itself, is the unit of analysis.</w:t>
      </w:r>
    </w:p>
    <w:p w14:paraId="3CB10087" w14:textId="77777777" w:rsidR="00F67DDB" w:rsidRPr="0070080E" w:rsidRDefault="0094076D">
      <w:pPr>
        <w:pStyle w:val="BodyText"/>
      </w:pPr>
      <w:r w:rsidRPr="0070080E">
        <w:t>The 24 portfolio stocks assigned to scenario blocks are listed below.</w:t>
      </w:r>
    </w:p>
    <w:p w14:paraId="42D697D7" w14:textId="77777777" w:rsidR="00F13E40" w:rsidRPr="0070080E" w:rsidRDefault="00F13E40">
      <w:pPr>
        <w:spacing w:after="200" w:line="240" w:lineRule="auto"/>
        <w:ind w:firstLine="0"/>
        <w:rPr>
          <w:b/>
          <w:bCs/>
        </w:rPr>
      </w:pPr>
      <w:r w:rsidRPr="0070080E">
        <w:rPr>
          <w:b/>
          <w:bCs/>
        </w:rPr>
        <w:br w:type="page"/>
      </w:r>
    </w:p>
    <w:p w14:paraId="3CB10088" w14:textId="7D445DFC" w:rsidR="00F67DDB" w:rsidRPr="0070080E" w:rsidRDefault="0094076D" w:rsidP="00362F00">
      <w:pPr>
        <w:pStyle w:val="Tableid"/>
      </w:pPr>
      <w:r w:rsidRPr="0070080E">
        <w:t>Table 4.1</w:t>
      </w:r>
    </w:p>
    <w:p w14:paraId="3CB10089" w14:textId="77777777" w:rsidR="00F67DDB" w:rsidRPr="0070080E" w:rsidRDefault="0094076D" w:rsidP="00362F00">
      <w:pPr>
        <w:pStyle w:val="TableCaption"/>
      </w:pPr>
      <w:r w:rsidRPr="0070080E">
        <w:t>Portfolio Universe</w:t>
      </w:r>
    </w:p>
    <w:tbl>
      <w:tblPr>
        <w:tblStyle w:val="Table"/>
        <w:tblW w:w="5144" w:type="pct"/>
        <w:tblLayout w:type="fixed"/>
        <w:tblLook w:val="0020" w:firstRow="1" w:lastRow="0" w:firstColumn="0" w:lastColumn="0" w:noHBand="0" w:noVBand="0"/>
      </w:tblPr>
      <w:tblGrid>
        <w:gridCol w:w="429"/>
        <w:gridCol w:w="2541"/>
        <w:gridCol w:w="1136"/>
        <w:gridCol w:w="2380"/>
        <w:gridCol w:w="1320"/>
        <w:gridCol w:w="1057"/>
        <w:gridCol w:w="767"/>
      </w:tblGrid>
      <w:tr w:rsidR="00F67DDB" w:rsidRPr="0070080E" w14:paraId="3CB10091" w14:textId="77777777" w:rsidTr="00C00816">
        <w:trPr>
          <w:cnfStyle w:val="100000000000" w:firstRow="1" w:lastRow="0" w:firstColumn="0" w:lastColumn="0" w:oddVBand="0" w:evenVBand="0" w:oddHBand="0" w:evenHBand="0" w:firstRowFirstColumn="0" w:firstRowLastColumn="0" w:lastRowFirstColumn="0" w:lastRowLastColumn="0"/>
          <w:tblHeader/>
        </w:trPr>
        <w:tc>
          <w:tcPr>
            <w:tcW w:w="429" w:type="dxa"/>
          </w:tcPr>
          <w:p w14:paraId="3CB1008A" w14:textId="77777777" w:rsidR="00F67DDB" w:rsidRPr="0070080E" w:rsidRDefault="0094076D">
            <w:pPr>
              <w:pStyle w:val="Compact"/>
            </w:pPr>
            <w:r w:rsidRPr="0070080E">
              <w:t>#</w:t>
            </w:r>
          </w:p>
        </w:tc>
        <w:tc>
          <w:tcPr>
            <w:tcW w:w="2541" w:type="dxa"/>
          </w:tcPr>
          <w:p w14:paraId="3CB1008B" w14:textId="77777777" w:rsidR="00F67DDB" w:rsidRPr="0070080E" w:rsidRDefault="0094076D" w:rsidP="00362F00">
            <w:pPr>
              <w:pStyle w:val="Compact"/>
              <w:ind w:left="4"/>
            </w:pPr>
            <w:r w:rsidRPr="0070080E">
              <w:t>Company</w:t>
            </w:r>
          </w:p>
        </w:tc>
        <w:tc>
          <w:tcPr>
            <w:tcW w:w="1136" w:type="dxa"/>
          </w:tcPr>
          <w:p w14:paraId="3CB1008C" w14:textId="77777777" w:rsidR="00F67DDB" w:rsidRPr="0070080E" w:rsidRDefault="0094076D">
            <w:pPr>
              <w:pStyle w:val="Compact"/>
            </w:pPr>
            <w:r w:rsidRPr="0070080E">
              <w:t>Ticker</w:t>
            </w:r>
          </w:p>
        </w:tc>
        <w:tc>
          <w:tcPr>
            <w:tcW w:w="2380" w:type="dxa"/>
          </w:tcPr>
          <w:p w14:paraId="3CB1008D" w14:textId="77777777" w:rsidR="00F67DDB" w:rsidRPr="0070080E" w:rsidRDefault="0094076D">
            <w:pPr>
              <w:pStyle w:val="Compact"/>
            </w:pPr>
            <w:r w:rsidRPr="0070080E">
              <w:t>GICS Sector</w:t>
            </w:r>
          </w:p>
        </w:tc>
        <w:tc>
          <w:tcPr>
            <w:tcW w:w="1320" w:type="dxa"/>
          </w:tcPr>
          <w:p w14:paraId="3CB1008E" w14:textId="77777777" w:rsidR="00F67DDB" w:rsidRPr="0070080E" w:rsidRDefault="0094076D">
            <w:pPr>
              <w:pStyle w:val="Compact"/>
            </w:pPr>
            <w:r w:rsidRPr="0070080E">
              <w:t>Market Cap</w:t>
            </w:r>
          </w:p>
        </w:tc>
        <w:tc>
          <w:tcPr>
            <w:tcW w:w="1057" w:type="dxa"/>
          </w:tcPr>
          <w:p w14:paraId="3CB1008F" w14:textId="77777777" w:rsidR="00F67DDB" w:rsidRPr="0070080E" w:rsidRDefault="0094076D">
            <w:pPr>
              <w:pStyle w:val="Compact"/>
            </w:pPr>
            <w:r w:rsidRPr="0070080E">
              <w:t>S&amp;P 500 Rank</w:t>
            </w:r>
          </w:p>
        </w:tc>
        <w:tc>
          <w:tcPr>
            <w:tcW w:w="767" w:type="dxa"/>
          </w:tcPr>
          <w:p w14:paraId="3CB10090" w14:textId="77777777" w:rsidR="00F67DDB" w:rsidRPr="0070080E" w:rsidRDefault="0094076D">
            <w:pPr>
              <w:pStyle w:val="Compact"/>
            </w:pPr>
            <w:r w:rsidRPr="0070080E">
              <w:t>Block</w:t>
            </w:r>
          </w:p>
        </w:tc>
      </w:tr>
      <w:tr w:rsidR="00F67DDB" w:rsidRPr="0070080E" w14:paraId="3CB10099" w14:textId="77777777" w:rsidTr="00C00816">
        <w:tc>
          <w:tcPr>
            <w:tcW w:w="429" w:type="dxa"/>
          </w:tcPr>
          <w:p w14:paraId="3CB10092" w14:textId="77777777" w:rsidR="00F67DDB" w:rsidRPr="0070080E" w:rsidRDefault="0094076D">
            <w:pPr>
              <w:pStyle w:val="Compact"/>
            </w:pPr>
            <w:r w:rsidRPr="0070080E">
              <w:t>1</w:t>
            </w:r>
          </w:p>
        </w:tc>
        <w:tc>
          <w:tcPr>
            <w:tcW w:w="2541" w:type="dxa"/>
          </w:tcPr>
          <w:p w14:paraId="3CB10093" w14:textId="77777777" w:rsidR="00F67DDB" w:rsidRPr="0070080E" w:rsidRDefault="0094076D">
            <w:pPr>
              <w:pStyle w:val="Compact"/>
            </w:pPr>
            <w:r w:rsidRPr="0070080E">
              <w:t>Air Products and Chemicals</w:t>
            </w:r>
          </w:p>
        </w:tc>
        <w:tc>
          <w:tcPr>
            <w:tcW w:w="1136" w:type="dxa"/>
          </w:tcPr>
          <w:p w14:paraId="3CB10094" w14:textId="77777777" w:rsidR="00F67DDB" w:rsidRPr="0070080E" w:rsidRDefault="0094076D">
            <w:pPr>
              <w:pStyle w:val="Compact"/>
            </w:pPr>
            <w:r w:rsidRPr="0070080E">
              <w:t>APD</w:t>
            </w:r>
          </w:p>
        </w:tc>
        <w:tc>
          <w:tcPr>
            <w:tcW w:w="2380" w:type="dxa"/>
          </w:tcPr>
          <w:p w14:paraId="3CB10095" w14:textId="77777777" w:rsidR="00F67DDB" w:rsidRPr="0070080E" w:rsidRDefault="0094076D">
            <w:pPr>
              <w:pStyle w:val="Compact"/>
            </w:pPr>
            <w:r w:rsidRPr="0070080E">
              <w:t>Materials</w:t>
            </w:r>
          </w:p>
        </w:tc>
        <w:tc>
          <w:tcPr>
            <w:tcW w:w="1320" w:type="dxa"/>
          </w:tcPr>
          <w:p w14:paraId="3CB10096" w14:textId="77777777" w:rsidR="00F67DDB" w:rsidRPr="0070080E" w:rsidRDefault="0094076D">
            <w:pPr>
              <w:pStyle w:val="Compact"/>
            </w:pPr>
            <w:r w:rsidRPr="0070080E">
              <w:t>$65B</w:t>
            </w:r>
          </w:p>
        </w:tc>
        <w:tc>
          <w:tcPr>
            <w:tcW w:w="1057" w:type="dxa"/>
          </w:tcPr>
          <w:p w14:paraId="3CB10097" w14:textId="77777777" w:rsidR="00F67DDB" w:rsidRPr="0070080E" w:rsidRDefault="0094076D">
            <w:pPr>
              <w:pStyle w:val="Compact"/>
            </w:pPr>
            <w:r w:rsidRPr="0070080E">
              <w:t>68</w:t>
            </w:r>
          </w:p>
        </w:tc>
        <w:tc>
          <w:tcPr>
            <w:tcW w:w="767" w:type="dxa"/>
          </w:tcPr>
          <w:p w14:paraId="3CB10098" w14:textId="77777777" w:rsidR="00F67DDB" w:rsidRPr="0070080E" w:rsidRDefault="0094076D">
            <w:pPr>
              <w:pStyle w:val="Compact"/>
            </w:pPr>
            <w:r w:rsidRPr="0070080E">
              <w:t>1</w:t>
            </w:r>
          </w:p>
        </w:tc>
      </w:tr>
      <w:tr w:rsidR="00F67DDB" w:rsidRPr="0070080E" w14:paraId="3CB100A1" w14:textId="77777777" w:rsidTr="00C00816">
        <w:tc>
          <w:tcPr>
            <w:tcW w:w="429" w:type="dxa"/>
          </w:tcPr>
          <w:p w14:paraId="3CB1009A" w14:textId="77777777" w:rsidR="00F67DDB" w:rsidRPr="0070080E" w:rsidRDefault="0094076D">
            <w:pPr>
              <w:pStyle w:val="Compact"/>
            </w:pPr>
            <w:r w:rsidRPr="0070080E">
              <w:t>2</w:t>
            </w:r>
          </w:p>
        </w:tc>
        <w:tc>
          <w:tcPr>
            <w:tcW w:w="2541" w:type="dxa"/>
          </w:tcPr>
          <w:p w14:paraId="3CB1009B" w14:textId="77777777" w:rsidR="00F67DDB" w:rsidRPr="0070080E" w:rsidRDefault="0094076D">
            <w:pPr>
              <w:pStyle w:val="Compact"/>
            </w:pPr>
            <w:r w:rsidRPr="0070080E">
              <w:t>ConocoPhillips</w:t>
            </w:r>
          </w:p>
        </w:tc>
        <w:tc>
          <w:tcPr>
            <w:tcW w:w="1136" w:type="dxa"/>
          </w:tcPr>
          <w:p w14:paraId="3CB1009C" w14:textId="77777777" w:rsidR="00F67DDB" w:rsidRPr="0070080E" w:rsidRDefault="0094076D">
            <w:pPr>
              <w:pStyle w:val="Compact"/>
            </w:pPr>
            <w:r w:rsidRPr="0070080E">
              <w:t>COP</w:t>
            </w:r>
          </w:p>
        </w:tc>
        <w:tc>
          <w:tcPr>
            <w:tcW w:w="2380" w:type="dxa"/>
          </w:tcPr>
          <w:p w14:paraId="3CB1009D" w14:textId="77777777" w:rsidR="00F67DDB" w:rsidRPr="0070080E" w:rsidRDefault="0094076D">
            <w:pPr>
              <w:pStyle w:val="Compact"/>
            </w:pPr>
            <w:r w:rsidRPr="0070080E">
              <w:t>Energy</w:t>
            </w:r>
          </w:p>
        </w:tc>
        <w:tc>
          <w:tcPr>
            <w:tcW w:w="1320" w:type="dxa"/>
          </w:tcPr>
          <w:p w14:paraId="3CB1009E" w14:textId="77777777" w:rsidR="00F67DDB" w:rsidRPr="0070080E" w:rsidRDefault="0094076D">
            <w:pPr>
              <w:pStyle w:val="Compact"/>
            </w:pPr>
            <w:r w:rsidRPr="0070080E">
              <w:t>$130B</w:t>
            </w:r>
          </w:p>
        </w:tc>
        <w:tc>
          <w:tcPr>
            <w:tcW w:w="1057" w:type="dxa"/>
          </w:tcPr>
          <w:p w14:paraId="3CB1009F" w14:textId="77777777" w:rsidR="00F67DDB" w:rsidRPr="0070080E" w:rsidRDefault="0094076D">
            <w:pPr>
              <w:pStyle w:val="Compact"/>
            </w:pPr>
            <w:r w:rsidRPr="0070080E">
              <w:t>32</w:t>
            </w:r>
          </w:p>
        </w:tc>
        <w:tc>
          <w:tcPr>
            <w:tcW w:w="767" w:type="dxa"/>
          </w:tcPr>
          <w:p w14:paraId="3CB100A0" w14:textId="77777777" w:rsidR="00F67DDB" w:rsidRPr="0070080E" w:rsidRDefault="0094076D">
            <w:pPr>
              <w:pStyle w:val="Compact"/>
            </w:pPr>
            <w:r w:rsidRPr="0070080E">
              <w:t>1</w:t>
            </w:r>
          </w:p>
        </w:tc>
      </w:tr>
      <w:tr w:rsidR="00F67DDB" w:rsidRPr="0070080E" w14:paraId="3CB100A9" w14:textId="77777777" w:rsidTr="00C00816">
        <w:tc>
          <w:tcPr>
            <w:tcW w:w="429" w:type="dxa"/>
          </w:tcPr>
          <w:p w14:paraId="3CB100A2" w14:textId="77777777" w:rsidR="00F67DDB" w:rsidRPr="0070080E" w:rsidRDefault="0094076D">
            <w:pPr>
              <w:pStyle w:val="Compact"/>
            </w:pPr>
            <w:r w:rsidRPr="0070080E">
              <w:t>3</w:t>
            </w:r>
          </w:p>
        </w:tc>
        <w:tc>
          <w:tcPr>
            <w:tcW w:w="2541" w:type="dxa"/>
          </w:tcPr>
          <w:p w14:paraId="3CB100A3" w14:textId="77777777" w:rsidR="00F67DDB" w:rsidRPr="0070080E" w:rsidRDefault="0094076D">
            <w:pPr>
              <w:pStyle w:val="Compact"/>
            </w:pPr>
            <w:r w:rsidRPr="0070080E">
              <w:t>Linde</w:t>
            </w:r>
          </w:p>
        </w:tc>
        <w:tc>
          <w:tcPr>
            <w:tcW w:w="1136" w:type="dxa"/>
          </w:tcPr>
          <w:p w14:paraId="3CB100A4" w14:textId="77777777" w:rsidR="00F67DDB" w:rsidRPr="0070080E" w:rsidRDefault="0094076D">
            <w:pPr>
              <w:pStyle w:val="Compact"/>
            </w:pPr>
            <w:r w:rsidRPr="0070080E">
              <w:t>LIN</w:t>
            </w:r>
          </w:p>
        </w:tc>
        <w:tc>
          <w:tcPr>
            <w:tcW w:w="2380" w:type="dxa"/>
          </w:tcPr>
          <w:p w14:paraId="3CB100A5" w14:textId="77777777" w:rsidR="00F67DDB" w:rsidRPr="0070080E" w:rsidRDefault="0094076D">
            <w:pPr>
              <w:pStyle w:val="Compact"/>
            </w:pPr>
            <w:r w:rsidRPr="0070080E">
              <w:t>Materials</w:t>
            </w:r>
          </w:p>
        </w:tc>
        <w:tc>
          <w:tcPr>
            <w:tcW w:w="1320" w:type="dxa"/>
          </w:tcPr>
          <w:p w14:paraId="3CB100A6" w14:textId="77777777" w:rsidR="00F67DDB" w:rsidRPr="0070080E" w:rsidRDefault="0094076D">
            <w:pPr>
              <w:pStyle w:val="Compact"/>
            </w:pPr>
            <w:r w:rsidRPr="0070080E">
              <w:t>$227.00B</w:t>
            </w:r>
          </w:p>
        </w:tc>
        <w:tc>
          <w:tcPr>
            <w:tcW w:w="1057" w:type="dxa"/>
          </w:tcPr>
          <w:p w14:paraId="3CB100A7" w14:textId="77777777" w:rsidR="00F67DDB" w:rsidRPr="0070080E" w:rsidRDefault="0094076D">
            <w:pPr>
              <w:pStyle w:val="Compact"/>
            </w:pPr>
            <w:r w:rsidRPr="0070080E">
              <w:t>48</w:t>
            </w:r>
          </w:p>
        </w:tc>
        <w:tc>
          <w:tcPr>
            <w:tcW w:w="767" w:type="dxa"/>
          </w:tcPr>
          <w:p w14:paraId="3CB100A8" w14:textId="77777777" w:rsidR="00F67DDB" w:rsidRPr="0070080E" w:rsidRDefault="0094076D">
            <w:pPr>
              <w:pStyle w:val="Compact"/>
            </w:pPr>
            <w:r w:rsidRPr="0070080E">
              <w:t>1</w:t>
            </w:r>
          </w:p>
        </w:tc>
      </w:tr>
      <w:tr w:rsidR="00F67DDB" w:rsidRPr="0070080E" w14:paraId="3CB100B1" w14:textId="77777777" w:rsidTr="00C00816">
        <w:tc>
          <w:tcPr>
            <w:tcW w:w="429" w:type="dxa"/>
          </w:tcPr>
          <w:p w14:paraId="3CB100AA" w14:textId="77777777" w:rsidR="00F67DDB" w:rsidRPr="0070080E" w:rsidRDefault="0094076D">
            <w:pPr>
              <w:pStyle w:val="Compact"/>
            </w:pPr>
            <w:r w:rsidRPr="0070080E">
              <w:t>4</w:t>
            </w:r>
          </w:p>
        </w:tc>
        <w:tc>
          <w:tcPr>
            <w:tcW w:w="2541" w:type="dxa"/>
          </w:tcPr>
          <w:p w14:paraId="3CB100AB" w14:textId="77777777" w:rsidR="00F67DDB" w:rsidRPr="0070080E" w:rsidRDefault="0094076D">
            <w:pPr>
              <w:pStyle w:val="Compact"/>
            </w:pPr>
            <w:r w:rsidRPr="0070080E">
              <w:t>UnitedHealth Group</w:t>
            </w:r>
          </w:p>
        </w:tc>
        <w:tc>
          <w:tcPr>
            <w:tcW w:w="1136" w:type="dxa"/>
          </w:tcPr>
          <w:p w14:paraId="3CB100AC" w14:textId="77777777" w:rsidR="00F67DDB" w:rsidRPr="0070080E" w:rsidRDefault="0094076D">
            <w:pPr>
              <w:pStyle w:val="Compact"/>
            </w:pPr>
            <w:r w:rsidRPr="0070080E">
              <w:t>UNH</w:t>
            </w:r>
          </w:p>
        </w:tc>
        <w:tc>
          <w:tcPr>
            <w:tcW w:w="2380" w:type="dxa"/>
          </w:tcPr>
          <w:p w14:paraId="3CB100AD" w14:textId="77777777" w:rsidR="00F67DDB" w:rsidRPr="0070080E" w:rsidRDefault="0094076D">
            <w:pPr>
              <w:pStyle w:val="Compact"/>
            </w:pPr>
            <w:r w:rsidRPr="0070080E">
              <w:t>Health Care</w:t>
            </w:r>
          </w:p>
        </w:tc>
        <w:tc>
          <w:tcPr>
            <w:tcW w:w="1320" w:type="dxa"/>
          </w:tcPr>
          <w:p w14:paraId="3CB100AE" w14:textId="77777777" w:rsidR="00F67DDB" w:rsidRPr="0070080E" w:rsidRDefault="0094076D">
            <w:pPr>
              <w:pStyle w:val="Compact"/>
            </w:pPr>
            <w:r w:rsidRPr="0070080E">
              <w:t>$250.39B</w:t>
            </w:r>
          </w:p>
        </w:tc>
        <w:tc>
          <w:tcPr>
            <w:tcW w:w="1057" w:type="dxa"/>
          </w:tcPr>
          <w:p w14:paraId="3CB100AF" w14:textId="77777777" w:rsidR="00F67DDB" w:rsidRPr="0070080E" w:rsidRDefault="0094076D">
            <w:pPr>
              <w:pStyle w:val="Compact"/>
            </w:pPr>
            <w:r w:rsidRPr="0070080E">
              <w:t>41</w:t>
            </w:r>
          </w:p>
        </w:tc>
        <w:tc>
          <w:tcPr>
            <w:tcW w:w="767" w:type="dxa"/>
          </w:tcPr>
          <w:p w14:paraId="3CB100B0" w14:textId="77777777" w:rsidR="00F67DDB" w:rsidRPr="0070080E" w:rsidRDefault="0094076D">
            <w:pPr>
              <w:pStyle w:val="Compact"/>
            </w:pPr>
            <w:r w:rsidRPr="0070080E">
              <w:t>1</w:t>
            </w:r>
          </w:p>
        </w:tc>
      </w:tr>
      <w:tr w:rsidR="00F67DDB" w:rsidRPr="0070080E" w14:paraId="3CB100B9" w14:textId="77777777" w:rsidTr="00C00816">
        <w:tc>
          <w:tcPr>
            <w:tcW w:w="429" w:type="dxa"/>
          </w:tcPr>
          <w:p w14:paraId="3CB100B2" w14:textId="77777777" w:rsidR="00F67DDB" w:rsidRPr="0070080E" w:rsidRDefault="0094076D">
            <w:pPr>
              <w:pStyle w:val="Compact"/>
            </w:pPr>
            <w:r w:rsidRPr="0070080E">
              <w:t>5</w:t>
            </w:r>
          </w:p>
        </w:tc>
        <w:tc>
          <w:tcPr>
            <w:tcW w:w="2541" w:type="dxa"/>
          </w:tcPr>
          <w:p w14:paraId="3CB100B3" w14:textId="77777777" w:rsidR="00F67DDB" w:rsidRPr="0070080E" w:rsidRDefault="0094076D">
            <w:pPr>
              <w:pStyle w:val="Compact"/>
            </w:pPr>
            <w:r w:rsidRPr="0070080E">
              <w:t>Home Depot</w:t>
            </w:r>
          </w:p>
        </w:tc>
        <w:tc>
          <w:tcPr>
            <w:tcW w:w="1136" w:type="dxa"/>
          </w:tcPr>
          <w:p w14:paraId="3CB100B4" w14:textId="77777777" w:rsidR="00F67DDB" w:rsidRPr="0070080E" w:rsidRDefault="0094076D">
            <w:pPr>
              <w:pStyle w:val="Compact"/>
            </w:pPr>
            <w:r w:rsidRPr="0070080E">
              <w:t>HD</w:t>
            </w:r>
          </w:p>
        </w:tc>
        <w:tc>
          <w:tcPr>
            <w:tcW w:w="2380" w:type="dxa"/>
          </w:tcPr>
          <w:p w14:paraId="3CB100B5" w14:textId="77777777" w:rsidR="00F67DDB" w:rsidRPr="0070080E" w:rsidRDefault="0094076D">
            <w:pPr>
              <w:pStyle w:val="Compact"/>
            </w:pPr>
            <w:r w:rsidRPr="0070080E">
              <w:t>Consumer Discretionary</w:t>
            </w:r>
          </w:p>
        </w:tc>
        <w:tc>
          <w:tcPr>
            <w:tcW w:w="1320" w:type="dxa"/>
          </w:tcPr>
          <w:p w14:paraId="3CB100B6" w14:textId="77777777" w:rsidR="00F67DDB" w:rsidRPr="0070080E" w:rsidRDefault="0094076D">
            <w:pPr>
              <w:pStyle w:val="Compact"/>
            </w:pPr>
            <w:r w:rsidRPr="0070080E">
              <w:t>$380.29B</w:t>
            </w:r>
          </w:p>
        </w:tc>
        <w:tc>
          <w:tcPr>
            <w:tcW w:w="1057" w:type="dxa"/>
          </w:tcPr>
          <w:p w14:paraId="3CB100B7" w14:textId="77777777" w:rsidR="00F67DDB" w:rsidRPr="0070080E" w:rsidRDefault="0094076D">
            <w:pPr>
              <w:pStyle w:val="Compact"/>
            </w:pPr>
            <w:r w:rsidRPr="0070080E">
              <w:t>23</w:t>
            </w:r>
          </w:p>
        </w:tc>
        <w:tc>
          <w:tcPr>
            <w:tcW w:w="767" w:type="dxa"/>
          </w:tcPr>
          <w:p w14:paraId="3CB100B8" w14:textId="77777777" w:rsidR="00F67DDB" w:rsidRPr="0070080E" w:rsidRDefault="0094076D">
            <w:pPr>
              <w:pStyle w:val="Compact"/>
            </w:pPr>
            <w:r w:rsidRPr="0070080E">
              <w:t>1</w:t>
            </w:r>
          </w:p>
        </w:tc>
      </w:tr>
      <w:tr w:rsidR="00F67DDB" w:rsidRPr="0070080E" w14:paraId="3CB100C1" w14:textId="77777777" w:rsidTr="00C00816">
        <w:tc>
          <w:tcPr>
            <w:tcW w:w="429" w:type="dxa"/>
          </w:tcPr>
          <w:p w14:paraId="3CB100BA" w14:textId="77777777" w:rsidR="00F67DDB" w:rsidRPr="0070080E" w:rsidRDefault="0094076D">
            <w:pPr>
              <w:pStyle w:val="Compact"/>
            </w:pPr>
            <w:r w:rsidRPr="0070080E">
              <w:t>6</w:t>
            </w:r>
          </w:p>
        </w:tc>
        <w:tc>
          <w:tcPr>
            <w:tcW w:w="2541" w:type="dxa"/>
          </w:tcPr>
          <w:p w14:paraId="3CB100BB" w14:textId="77777777" w:rsidR="00F67DDB" w:rsidRPr="0070080E" w:rsidRDefault="0094076D">
            <w:pPr>
              <w:pStyle w:val="Compact"/>
            </w:pPr>
            <w:r w:rsidRPr="0070080E">
              <w:t>GE Aerospace</w:t>
            </w:r>
          </w:p>
        </w:tc>
        <w:tc>
          <w:tcPr>
            <w:tcW w:w="1136" w:type="dxa"/>
          </w:tcPr>
          <w:p w14:paraId="3CB100BC" w14:textId="77777777" w:rsidR="00F67DDB" w:rsidRPr="0070080E" w:rsidRDefault="0094076D">
            <w:pPr>
              <w:pStyle w:val="Compact"/>
            </w:pPr>
            <w:r w:rsidRPr="0070080E">
              <w:t>GE</w:t>
            </w:r>
          </w:p>
        </w:tc>
        <w:tc>
          <w:tcPr>
            <w:tcW w:w="2380" w:type="dxa"/>
          </w:tcPr>
          <w:p w14:paraId="3CB100BD" w14:textId="77777777" w:rsidR="00F67DDB" w:rsidRPr="0070080E" w:rsidRDefault="0094076D">
            <w:pPr>
              <w:pStyle w:val="Compact"/>
            </w:pPr>
            <w:r w:rsidRPr="0070080E">
              <w:t>Industrials</w:t>
            </w:r>
          </w:p>
        </w:tc>
        <w:tc>
          <w:tcPr>
            <w:tcW w:w="1320" w:type="dxa"/>
          </w:tcPr>
          <w:p w14:paraId="3CB100BE" w14:textId="77777777" w:rsidR="00F67DDB" w:rsidRPr="0070080E" w:rsidRDefault="0094076D">
            <w:pPr>
              <w:pStyle w:val="Compact"/>
            </w:pPr>
            <w:r w:rsidRPr="0070080E">
              <w:t>$364.13B</w:t>
            </w:r>
          </w:p>
        </w:tc>
        <w:tc>
          <w:tcPr>
            <w:tcW w:w="1057" w:type="dxa"/>
          </w:tcPr>
          <w:p w14:paraId="3CB100BF" w14:textId="77777777" w:rsidR="00F67DDB" w:rsidRPr="0070080E" w:rsidRDefault="0094076D">
            <w:pPr>
              <w:pStyle w:val="Compact"/>
            </w:pPr>
            <w:r w:rsidRPr="0070080E">
              <w:t>26</w:t>
            </w:r>
          </w:p>
        </w:tc>
        <w:tc>
          <w:tcPr>
            <w:tcW w:w="767" w:type="dxa"/>
          </w:tcPr>
          <w:p w14:paraId="3CB100C0" w14:textId="77777777" w:rsidR="00F67DDB" w:rsidRPr="0070080E" w:rsidRDefault="0094076D">
            <w:pPr>
              <w:pStyle w:val="Compact"/>
            </w:pPr>
            <w:r w:rsidRPr="0070080E">
              <w:t>1</w:t>
            </w:r>
          </w:p>
        </w:tc>
      </w:tr>
      <w:tr w:rsidR="00F67DDB" w:rsidRPr="0070080E" w14:paraId="3CB100C9" w14:textId="77777777" w:rsidTr="00C00816">
        <w:tc>
          <w:tcPr>
            <w:tcW w:w="429" w:type="dxa"/>
          </w:tcPr>
          <w:p w14:paraId="3CB100C2" w14:textId="77777777" w:rsidR="00F67DDB" w:rsidRPr="0070080E" w:rsidRDefault="0094076D">
            <w:pPr>
              <w:pStyle w:val="Compact"/>
            </w:pPr>
            <w:r w:rsidRPr="0070080E">
              <w:t>7</w:t>
            </w:r>
          </w:p>
        </w:tc>
        <w:tc>
          <w:tcPr>
            <w:tcW w:w="2541" w:type="dxa"/>
          </w:tcPr>
          <w:p w14:paraId="3CB100C3" w14:textId="77777777" w:rsidR="00F67DDB" w:rsidRPr="0070080E" w:rsidRDefault="0094076D">
            <w:pPr>
              <w:pStyle w:val="Compact"/>
            </w:pPr>
            <w:r w:rsidRPr="0070080E">
              <w:t>AT&amp;T</w:t>
            </w:r>
          </w:p>
        </w:tc>
        <w:tc>
          <w:tcPr>
            <w:tcW w:w="1136" w:type="dxa"/>
          </w:tcPr>
          <w:p w14:paraId="3CB100C4" w14:textId="77777777" w:rsidR="00F67DDB" w:rsidRPr="0070080E" w:rsidRDefault="0094076D">
            <w:pPr>
              <w:pStyle w:val="Compact"/>
            </w:pPr>
            <w:r w:rsidRPr="0070080E">
              <w:t>T</w:t>
            </w:r>
          </w:p>
        </w:tc>
        <w:tc>
          <w:tcPr>
            <w:tcW w:w="2380" w:type="dxa"/>
          </w:tcPr>
          <w:p w14:paraId="3CB100C5" w14:textId="77777777" w:rsidR="00F67DDB" w:rsidRPr="0070080E" w:rsidRDefault="0094076D">
            <w:pPr>
              <w:pStyle w:val="Compact"/>
            </w:pPr>
            <w:r w:rsidRPr="0070080E">
              <w:t>Communication Services</w:t>
            </w:r>
          </w:p>
        </w:tc>
        <w:tc>
          <w:tcPr>
            <w:tcW w:w="1320" w:type="dxa"/>
          </w:tcPr>
          <w:p w14:paraId="3CB100C6" w14:textId="77777777" w:rsidR="00F67DDB" w:rsidRPr="0070080E" w:rsidRDefault="0094076D">
            <w:pPr>
              <w:pStyle w:val="Compact"/>
            </w:pPr>
            <w:r w:rsidRPr="0070080E">
              <w:t>$197.59B</w:t>
            </w:r>
          </w:p>
        </w:tc>
        <w:tc>
          <w:tcPr>
            <w:tcW w:w="1057" w:type="dxa"/>
          </w:tcPr>
          <w:p w14:paraId="3CB100C7" w14:textId="77777777" w:rsidR="00F67DDB" w:rsidRPr="0070080E" w:rsidRDefault="0094076D">
            <w:pPr>
              <w:pStyle w:val="Compact"/>
            </w:pPr>
            <w:r w:rsidRPr="0070080E">
              <w:t>55</w:t>
            </w:r>
          </w:p>
        </w:tc>
        <w:tc>
          <w:tcPr>
            <w:tcW w:w="767" w:type="dxa"/>
          </w:tcPr>
          <w:p w14:paraId="3CB100C8" w14:textId="77777777" w:rsidR="00F67DDB" w:rsidRPr="0070080E" w:rsidRDefault="0094076D">
            <w:pPr>
              <w:pStyle w:val="Compact"/>
            </w:pPr>
            <w:r w:rsidRPr="0070080E">
              <w:t>1</w:t>
            </w:r>
          </w:p>
        </w:tc>
      </w:tr>
      <w:tr w:rsidR="00F67DDB" w:rsidRPr="0070080E" w14:paraId="3CB100D1" w14:textId="77777777" w:rsidTr="00C00816">
        <w:tc>
          <w:tcPr>
            <w:tcW w:w="429" w:type="dxa"/>
          </w:tcPr>
          <w:p w14:paraId="3CB100CA" w14:textId="77777777" w:rsidR="00F67DDB" w:rsidRPr="0070080E" w:rsidRDefault="0094076D">
            <w:pPr>
              <w:pStyle w:val="Compact"/>
            </w:pPr>
            <w:r w:rsidRPr="0070080E">
              <w:t>8</w:t>
            </w:r>
          </w:p>
        </w:tc>
        <w:tc>
          <w:tcPr>
            <w:tcW w:w="2541" w:type="dxa"/>
          </w:tcPr>
          <w:p w14:paraId="3CB100CB" w14:textId="77777777" w:rsidR="00F67DDB" w:rsidRPr="0070080E" w:rsidRDefault="0094076D">
            <w:pPr>
              <w:pStyle w:val="Compact"/>
            </w:pPr>
            <w:r w:rsidRPr="0070080E">
              <w:t>Qualcomm</w:t>
            </w:r>
          </w:p>
        </w:tc>
        <w:tc>
          <w:tcPr>
            <w:tcW w:w="1136" w:type="dxa"/>
          </w:tcPr>
          <w:p w14:paraId="3CB100CC" w14:textId="77777777" w:rsidR="00F67DDB" w:rsidRPr="0070080E" w:rsidRDefault="0094076D">
            <w:pPr>
              <w:pStyle w:val="Compact"/>
            </w:pPr>
            <w:r w:rsidRPr="0070080E">
              <w:t>QCOM</w:t>
            </w:r>
          </w:p>
        </w:tc>
        <w:tc>
          <w:tcPr>
            <w:tcW w:w="2380" w:type="dxa"/>
          </w:tcPr>
          <w:p w14:paraId="3CB100CD" w14:textId="77777777" w:rsidR="00F67DDB" w:rsidRPr="0070080E" w:rsidRDefault="0094076D">
            <w:pPr>
              <w:pStyle w:val="Compact"/>
            </w:pPr>
            <w:r w:rsidRPr="0070080E">
              <w:t>Information Technology</w:t>
            </w:r>
          </w:p>
        </w:tc>
        <w:tc>
          <w:tcPr>
            <w:tcW w:w="1320" w:type="dxa"/>
          </w:tcPr>
          <w:p w14:paraId="3CB100CE" w14:textId="77777777" w:rsidR="00F67DDB" w:rsidRPr="0070080E" w:rsidRDefault="0094076D">
            <w:pPr>
              <w:pStyle w:val="Compact"/>
            </w:pPr>
            <w:r w:rsidRPr="0070080E">
              <w:t>$170B</w:t>
            </w:r>
          </w:p>
        </w:tc>
        <w:tc>
          <w:tcPr>
            <w:tcW w:w="1057" w:type="dxa"/>
          </w:tcPr>
          <w:p w14:paraId="3CB100CF" w14:textId="77777777" w:rsidR="00F67DDB" w:rsidRPr="0070080E" w:rsidRDefault="0094076D">
            <w:pPr>
              <w:pStyle w:val="Compact"/>
            </w:pPr>
            <w:r w:rsidRPr="0070080E">
              <w:t>31</w:t>
            </w:r>
          </w:p>
        </w:tc>
        <w:tc>
          <w:tcPr>
            <w:tcW w:w="767" w:type="dxa"/>
          </w:tcPr>
          <w:p w14:paraId="3CB100D0" w14:textId="77777777" w:rsidR="00F67DDB" w:rsidRPr="0070080E" w:rsidRDefault="0094076D">
            <w:pPr>
              <w:pStyle w:val="Compact"/>
            </w:pPr>
            <w:r w:rsidRPr="0070080E">
              <w:t>1</w:t>
            </w:r>
          </w:p>
        </w:tc>
      </w:tr>
      <w:tr w:rsidR="00F67DDB" w:rsidRPr="0070080E" w14:paraId="3CB100D9" w14:textId="77777777" w:rsidTr="00C00816">
        <w:tc>
          <w:tcPr>
            <w:tcW w:w="429" w:type="dxa"/>
          </w:tcPr>
          <w:p w14:paraId="3CB100D2" w14:textId="77777777" w:rsidR="00F67DDB" w:rsidRPr="0070080E" w:rsidRDefault="0094076D">
            <w:pPr>
              <w:pStyle w:val="Compact"/>
            </w:pPr>
            <w:r w:rsidRPr="0070080E">
              <w:t>9</w:t>
            </w:r>
          </w:p>
        </w:tc>
        <w:tc>
          <w:tcPr>
            <w:tcW w:w="2541" w:type="dxa"/>
          </w:tcPr>
          <w:p w14:paraId="3CB100D3" w14:textId="77777777" w:rsidR="00F67DDB" w:rsidRPr="0070080E" w:rsidRDefault="0094076D">
            <w:pPr>
              <w:pStyle w:val="Compact"/>
            </w:pPr>
            <w:r w:rsidRPr="0070080E">
              <w:t>Merck &amp; Co.</w:t>
            </w:r>
          </w:p>
        </w:tc>
        <w:tc>
          <w:tcPr>
            <w:tcW w:w="1136" w:type="dxa"/>
          </w:tcPr>
          <w:p w14:paraId="3CB100D4" w14:textId="77777777" w:rsidR="00F67DDB" w:rsidRPr="0070080E" w:rsidRDefault="0094076D">
            <w:pPr>
              <w:pStyle w:val="Compact"/>
            </w:pPr>
            <w:r w:rsidRPr="0070080E">
              <w:t>MRK</w:t>
            </w:r>
          </w:p>
        </w:tc>
        <w:tc>
          <w:tcPr>
            <w:tcW w:w="2380" w:type="dxa"/>
          </w:tcPr>
          <w:p w14:paraId="3CB100D5" w14:textId="77777777" w:rsidR="00F67DDB" w:rsidRPr="0070080E" w:rsidRDefault="0094076D">
            <w:pPr>
              <w:pStyle w:val="Compact"/>
            </w:pPr>
            <w:r w:rsidRPr="0070080E">
              <w:t>Health Care</w:t>
            </w:r>
          </w:p>
        </w:tc>
        <w:tc>
          <w:tcPr>
            <w:tcW w:w="1320" w:type="dxa"/>
          </w:tcPr>
          <w:p w14:paraId="3CB100D6" w14:textId="77777777" w:rsidR="00F67DDB" w:rsidRPr="0070080E" w:rsidRDefault="0094076D">
            <w:pPr>
              <w:pStyle w:val="Compact"/>
            </w:pPr>
            <w:r w:rsidRPr="0070080E">
              <w:t>$306.95B</w:t>
            </w:r>
          </w:p>
        </w:tc>
        <w:tc>
          <w:tcPr>
            <w:tcW w:w="1057" w:type="dxa"/>
          </w:tcPr>
          <w:p w14:paraId="3CB100D7" w14:textId="77777777" w:rsidR="00F67DDB" w:rsidRPr="0070080E" w:rsidRDefault="0094076D">
            <w:pPr>
              <w:pStyle w:val="Compact"/>
            </w:pPr>
            <w:r w:rsidRPr="0070080E">
              <w:t>34</w:t>
            </w:r>
          </w:p>
        </w:tc>
        <w:tc>
          <w:tcPr>
            <w:tcW w:w="767" w:type="dxa"/>
          </w:tcPr>
          <w:p w14:paraId="3CB100D8" w14:textId="77777777" w:rsidR="00F67DDB" w:rsidRPr="0070080E" w:rsidRDefault="0094076D">
            <w:pPr>
              <w:pStyle w:val="Compact"/>
            </w:pPr>
            <w:r w:rsidRPr="0070080E">
              <w:t>2</w:t>
            </w:r>
          </w:p>
        </w:tc>
      </w:tr>
      <w:tr w:rsidR="00F67DDB" w:rsidRPr="0070080E" w14:paraId="3CB100E1" w14:textId="77777777" w:rsidTr="00C00816">
        <w:tc>
          <w:tcPr>
            <w:tcW w:w="429" w:type="dxa"/>
          </w:tcPr>
          <w:p w14:paraId="3CB100DA" w14:textId="77777777" w:rsidR="00F67DDB" w:rsidRPr="0070080E" w:rsidRDefault="0094076D">
            <w:pPr>
              <w:pStyle w:val="Compact"/>
            </w:pPr>
            <w:r w:rsidRPr="0070080E">
              <w:t>10</w:t>
            </w:r>
          </w:p>
        </w:tc>
        <w:tc>
          <w:tcPr>
            <w:tcW w:w="2541" w:type="dxa"/>
          </w:tcPr>
          <w:p w14:paraId="3CB100DB" w14:textId="77777777" w:rsidR="00F67DDB" w:rsidRPr="0070080E" w:rsidRDefault="0094076D">
            <w:pPr>
              <w:pStyle w:val="Compact"/>
            </w:pPr>
            <w:r w:rsidRPr="0070080E">
              <w:t>JPMorgan Chase</w:t>
            </w:r>
          </w:p>
        </w:tc>
        <w:tc>
          <w:tcPr>
            <w:tcW w:w="1136" w:type="dxa"/>
          </w:tcPr>
          <w:p w14:paraId="3CB100DC" w14:textId="77777777" w:rsidR="00F67DDB" w:rsidRPr="0070080E" w:rsidRDefault="0094076D">
            <w:pPr>
              <w:pStyle w:val="Compact"/>
            </w:pPr>
            <w:r w:rsidRPr="0070080E">
              <w:t>JPM</w:t>
            </w:r>
          </w:p>
        </w:tc>
        <w:tc>
          <w:tcPr>
            <w:tcW w:w="2380" w:type="dxa"/>
          </w:tcPr>
          <w:p w14:paraId="3CB100DD" w14:textId="77777777" w:rsidR="00F67DDB" w:rsidRPr="0070080E" w:rsidRDefault="0094076D">
            <w:pPr>
              <w:pStyle w:val="Compact"/>
            </w:pPr>
            <w:r w:rsidRPr="0070080E">
              <w:t>Financials</w:t>
            </w:r>
          </w:p>
        </w:tc>
        <w:tc>
          <w:tcPr>
            <w:tcW w:w="1320" w:type="dxa"/>
          </w:tcPr>
          <w:p w14:paraId="3CB100DE" w14:textId="77777777" w:rsidR="00F67DDB" w:rsidRPr="0070080E" w:rsidRDefault="0094076D">
            <w:pPr>
              <w:pStyle w:val="Compact"/>
            </w:pPr>
            <w:r w:rsidRPr="0070080E">
              <w:t>$807.85B</w:t>
            </w:r>
          </w:p>
        </w:tc>
        <w:tc>
          <w:tcPr>
            <w:tcW w:w="1057" w:type="dxa"/>
          </w:tcPr>
          <w:p w14:paraId="3CB100DF" w14:textId="77777777" w:rsidR="00F67DDB" w:rsidRPr="0070080E" w:rsidRDefault="0094076D">
            <w:pPr>
              <w:pStyle w:val="Compact"/>
            </w:pPr>
            <w:r w:rsidRPr="0070080E">
              <w:t>13</w:t>
            </w:r>
          </w:p>
        </w:tc>
        <w:tc>
          <w:tcPr>
            <w:tcW w:w="767" w:type="dxa"/>
          </w:tcPr>
          <w:p w14:paraId="3CB100E0" w14:textId="77777777" w:rsidR="00F67DDB" w:rsidRPr="0070080E" w:rsidRDefault="0094076D">
            <w:pPr>
              <w:pStyle w:val="Compact"/>
            </w:pPr>
            <w:r w:rsidRPr="0070080E">
              <w:t>2</w:t>
            </w:r>
          </w:p>
        </w:tc>
      </w:tr>
      <w:tr w:rsidR="00F67DDB" w:rsidRPr="0070080E" w14:paraId="3CB100E9" w14:textId="77777777" w:rsidTr="00C00816">
        <w:tc>
          <w:tcPr>
            <w:tcW w:w="429" w:type="dxa"/>
          </w:tcPr>
          <w:p w14:paraId="3CB100E2" w14:textId="77777777" w:rsidR="00F67DDB" w:rsidRPr="0070080E" w:rsidRDefault="0094076D">
            <w:pPr>
              <w:pStyle w:val="Compact"/>
            </w:pPr>
            <w:r w:rsidRPr="0070080E">
              <w:t>11</w:t>
            </w:r>
          </w:p>
        </w:tc>
        <w:tc>
          <w:tcPr>
            <w:tcW w:w="2541" w:type="dxa"/>
          </w:tcPr>
          <w:p w14:paraId="3CB100E3" w14:textId="77777777" w:rsidR="00F67DDB" w:rsidRPr="0070080E" w:rsidRDefault="0094076D">
            <w:pPr>
              <w:pStyle w:val="Compact"/>
            </w:pPr>
            <w:r w:rsidRPr="0070080E">
              <w:t>Chevron Corporation</w:t>
            </w:r>
          </w:p>
        </w:tc>
        <w:tc>
          <w:tcPr>
            <w:tcW w:w="1136" w:type="dxa"/>
          </w:tcPr>
          <w:p w14:paraId="3CB100E4" w14:textId="77777777" w:rsidR="00F67DDB" w:rsidRPr="0070080E" w:rsidRDefault="0094076D">
            <w:pPr>
              <w:pStyle w:val="Compact"/>
            </w:pPr>
            <w:r w:rsidRPr="0070080E">
              <w:t>CVX</w:t>
            </w:r>
          </w:p>
        </w:tc>
        <w:tc>
          <w:tcPr>
            <w:tcW w:w="2380" w:type="dxa"/>
          </w:tcPr>
          <w:p w14:paraId="3CB100E5" w14:textId="77777777" w:rsidR="00F67DDB" w:rsidRPr="0070080E" w:rsidRDefault="0094076D">
            <w:pPr>
              <w:pStyle w:val="Compact"/>
            </w:pPr>
            <w:r w:rsidRPr="0070080E">
              <w:t>Energy</w:t>
            </w:r>
          </w:p>
        </w:tc>
        <w:tc>
          <w:tcPr>
            <w:tcW w:w="1320" w:type="dxa"/>
          </w:tcPr>
          <w:p w14:paraId="3CB100E6" w14:textId="77777777" w:rsidR="00F67DDB" w:rsidRPr="0070080E" w:rsidRDefault="0094076D">
            <w:pPr>
              <w:pStyle w:val="Compact"/>
            </w:pPr>
            <w:r w:rsidRPr="0070080E">
              <w:t>$367.67B</w:t>
            </w:r>
          </w:p>
        </w:tc>
        <w:tc>
          <w:tcPr>
            <w:tcW w:w="1057" w:type="dxa"/>
          </w:tcPr>
          <w:p w14:paraId="3CB100E7" w14:textId="77777777" w:rsidR="00F67DDB" w:rsidRPr="0070080E" w:rsidRDefault="0094076D">
            <w:pPr>
              <w:pStyle w:val="Compact"/>
            </w:pPr>
            <w:r w:rsidRPr="0070080E">
              <w:t>24</w:t>
            </w:r>
          </w:p>
        </w:tc>
        <w:tc>
          <w:tcPr>
            <w:tcW w:w="767" w:type="dxa"/>
          </w:tcPr>
          <w:p w14:paraId="3CB100E8" w14:textId="77777777" w:rsidR="00F67DDB" w:rsidRPr="0070080E" w:rsidRDefault="0094076D">
            <w:pPr>
              <w:pStyle w:val="Compact"/>
            </w:pPr>
            <w:r w:rsidRPr="0070080E">
              <w:t>2</w:t>
            </w:r>
          </w:p>
        </w:tc>
      </w:tr>
      <w:tr w:rsidR="00F67DDB" w:rsidRPr="0070080E" w14:paraId="3CB100F1" w14:textId="77777777" w:rsidTr="00C00816">
        <w:tc>
          <w:tcPr>
            <w:tcW w:w="429" w:type="dxa"/>
          </w:tcPr>
          <w:p w14:paraId="3CB100EA" w14:textId="77777777" w:rsidR="00F67DDB" w:rsidRPr="0070080E" w:rsidRDefault="0094076D">
            <w:pPr>
              <w:pStyle w:val="Compact"/>
            </w:pPr>
            <w:r w:rsidRPr="0070080E">
              <w:t>12</w:t>
            </w:r>
          </w:p>
        </w:tc>
        <w:tc>
          <w:tcPr>
            <w:tcW w:w="2541" w:type="dxa"/>
          </w:tcPr>
          <w:p w14:paraId="3CB100EB" w14:textId="77777777" w:rsidR="00F67DDB" w:rsidRPr="0070080E" w:rsidRDefault="0094076D">
            <w:pPr>
              <w:pStyle w:val="Compact"/>
            </w:pPr>
            <w:r w:rsidRPr="0070080E">
              <w:t>Bank of America</w:t>
            </w:r>
          </w:p>
        </w:tc>
        <w:tc>
          <w:tcPr>
            <w:tcW w:w="1136" w:type="dxa"/>
          </w:tcPr>
          <w:p w14:paraId="3CB100EC" w14:textId="77777777" w:rsidR="00F67DDB" w:rsidRPr="0070080E" w:rsidRDefault="0094076D">
            <w:pPr>
              <w:pStyle w:val="Compact"/>
            </w:pPr>
            <w:r w:rsidRPr="0070080E">
              <w:t>BAC</w:t>
            </w:r>
          </w:p>
        </w:tc>
        <w:tc>
          <w:tcPr>
            <w:tcW w:w="2380" w:type="dxa"/>
          </w:tcPr>
          <w:p w14:paraId="3CB100ED" w14:textId="77777777" w:rsidR="00F67DDB" w:rsidRPr="0070080E" w:rsidRDefault="0094076D">
            <w:pPr>
              <w:pStyle w:val="Compact"/>
            </w:pPr>
            <w:r w:rsidRPr="0070080E">
              <w:t>Financials</w:t>
            </w:r>
          </w:p>
        </w:tc>
        <w:tc>
          <w:tcPr>
            <w:tcW w:w="1320" w:type="dxa"/>
          </w:tcPr>
          <w:p w14:paraId="3CB100EE" w14:textId="77777777" w:rsidR="00F67DDB" w:rsidRPr="0070080E" w:rsidRDefault="0094076D">
            <w:pPr>
              <w:pStyle w:val="Compact"/>
            </w:pPr>
            <w:r w:rsidRPr="0070080E">
              <w:t>$364.79B</w:t>
            </w:r>
          </w:p>
        </w:tc>
        <w:tc>
          <w:tcPr>
            <w:tcW w:w="1057" w:type="dxa"/>
          </w:tcPr>
          <w:p w14:paraId="3CB100EF" w14:textId="77777777" w:rsidR="00F67DDB" w:rsidRPr="0070080E" w:rsidRDefault="0094076D">
            <w:pPr>
              <w:pStyle w:val="Compact"/>
            </w:pPr>
            <w:r w:rsidRPr="0070080E">
              <w:t>25</w:t>
            </w:r>
          </w:p>
        </w:tc>
        <w:tc>
          <w:tcPr>
            <w:tcW w:w="767" w:type="dxa"/>
          </w:tcPr>
          <w:p w14:paraId="3CB100F0" w14:textId="77777777" w:rsidR="00F67DDB" w:rsidRPr="0070080E" w:rsidRDefault="0094076D">
            <w:pPr>
              <w:pStyle w:val="Compact"/>
            </w:pPr>
            <w:r w:rsidRPr="0070080E">
              <w:t>2</w:t>
            </w:r>
          </w:p>
        </w:tc>
      </w:tr>
      <w:tr w:rsidR="00F67DDB" w:rsidRPr="0070080E" w14:paraId="3CB100F9" w14:textId="77777777" w:rsidTr="00C00816">
        <w:tc>
          <w:tcPr>
            <w:tcW w:w="429" w:type="dxa"/>
          </w:tcPr>
          <w:p w14:paraId="3CB100F2" w14:textId="77777777" w:rsidR="00F67DDB" w:rsidRPr="0070080E" w:rsidRDefault="0094076D">
            <w:pPr>
              <w:pStyle w:val="Compact"/>
            </w:pPr>
            <w:r w:rsidRPr="0070080E">
              <w:t>13</w:t>
            </w:r>
          </w:p>
        </w:tc>
        <w:tc>
          <w:tcPr>
            <w:tcW w:w="2541" w:type="dxa"/>
          </w:tcPr>
          <w:p w14:paraId="3CB100F3" w14:textId="77777777" w:rsidR="00F67DDB" w:rsidRPr="0070080E" w:rsidRDefault="0094076D">
            <w:pPr>
              <w:pStyle w:val="Compact"/>
            </w:pPr>
            <w:r w:rsidRPr="0070080E">
              <w:t>Johnson &amp; Johnson</w:t>
            </w:r>
          </w:p>
        </w:tc>
        <w:tc>
          <w:tcPr>
            <w:tcW w:w="1136" w:type="dxa"/>
          </w:tcPr>
          <w:p w14:paraId="3CB100F4" w14:textId="77777777" w:rsidR="00F67DDB" w:rsidRPr="0070080E" w:rsidRDefault="0094076D">
            <w:pPr>
              <w:pStyle w:val="Compact"/>
            </w:pPr>
            <w:r w:rsidRPr="0070080E">
              <w:t>JNJ</w:t>
            </w:r>
          </w:p>
        </w:tc>
        <w:tc>
          <w:tcPr>
            <w:tcW w:w="2380" w:type="dxa"/>
          </w:tcPr>
          <w:p w14:paraId="3CB100F5" w14:textId="77777777" w:rsidR="00F67DDB" w:rsidRPr="0070080E" w:rsidRDefault="0094076D">
            <w:pPr>
              <w:pStyle w:val="Compact"/>
            </w:pPr>
            <w:r w:rsidRPr="0070080E">
              <w:t>Health Care</w:t>
            </w:r>
          </w:p>
        </w:tc>
        <w:tc>
          <w:tcPr>
            <w:tcW w:w="1320" w:type="dxa"/>
          </w:tcPr>
          <w:p w14:paraId="3CB100F6" w14:textId="77777777" w:rsidR="00F67DDB" w:rsidRPr="0070080E" w:rsidRDefault="0094076D">
            <w:pPr>
              <w:pStyle w:val="Compact"/>
            </w:pPr>
            <w:r w:rsidRPr="0070080E">
              <w:t>$589.71B</w:t>
            </w:r>
          </w:p>
        </w:tc>
        <w:tc>
          <w:tcPr>
            <w:tcW w:w="1057" w:type="dxa"/>
          </w:tcPr>
          <w:p w14:paraId="3CB100F7" w14:textId="77777777" w:rsidR="00F67DDB" w:rsidRPr="0070080E" w:rsidRDefault="0094076D">
            <w:pPr>
              <w:pStyle w:val="Compact"/>
            </w:pPr>
            <w:r w:rsidRPr="0070080E">
              <w:t>16</w:t>
            </w:r>
          </w:p>
        </w:tc>
        <w:tc>
          <w:tcPr>
            <w:tcW w:w="767" w:type="dxa"/>
          </w:tcPr>
          <w:p w14:paraId="3CB100F8" w14:textId="77777777" w:rsidR="00F67DDB" w:rsidRPr="0070080E" w:rsidRDefault="0094076D">
            <w:pPr>
              <w:pStyle w:val="Compact"/>
            </w:pPr>
            <w:r w:rsidRPr="0070080E">
              <w:t>2</w:t>
            </w:r>
          </w:p>
        </w:tc>
      </w:tr>
      <w:tr w:rsidR="00F67DDB" w:rsidRPr="0070080E" w14:paraId="3CB10101" w14:textId="77777777" w:rsidTr="00C00816">
        <w:tc>
          <w:tcPr>
            <w:tcW w:w="429" w:type="dxa"/>
          </w:tcPr>
          <w:p w14:paraId="3CB100FA" w14:textId="77777777" w:rsidR="00F67DDB" w:rsidRPr="0070080E" w:rsidRDefault="0094076D">
            <w:pPr>
              <w:pStyle w:val="Compact"/>
            </w:pPr>
            <w:r w:rsidRPr="0070080E">
              <w:t>14</w:t>
            </w:r>
          </w:p>
        </w:tc>
        <w:tc>
          <w:tcPr>
            <w:tcW w:w="2541" w:type="dxa"/>
          </w:tcPr>
          <w:p w14:paraId="3CB100FB" w14:textId="77777777" w:rsidR="00F67DDB" w:rsidRPr="0070080E" w:rsidRDefault="0094076D">
            <w:pPr>
              <w:pStyle w:val="Compact"/>
            </w:pPr>
            <w:r w:rsidRPr="0070080E">
              <w:t>Coca-Cola Company</w:t>
            </w:r>
          </w:p>
        </w:tc>
        <w:tc>
          <w:tcPr>
            <w:tcW w:w="1136" w:type="dxa"/>
          </w:tcPr>
          <w:p w14:paraId="3CB100FC" w14:textId="77777777" w:rsidR="00F67DDB" w:rsidRPr="0070080E" w:rsidRDefault="0094076D">
            <w:pPr>
              <w:pStyle w:val="Compact"/>
            </w:pPr>
            <w:r w:rsidRPr="0070080E">
              <w:t>KO</w:t>
            </w:r>
          </w:p>
        </w:tc>
        <w:tc>
          <w:tcPr>
            <w:tcW w:w="2380" w:type="dxa"/>
          </w:tcPr>
          <w:p w14:paraId="3CB100FD" w14:textId="77777777" w:rsidR="00F67DDB" w:rsidRPr="0070080E" w:rsidRDefault="0094076D">
            <w:pPr>
              <w:pStyle w:val="Compact"/>
            </w:pPr>
            <w:r w:rsidRPr="0070080E">
              <w:t>Consumer Staples</w:t>
            </w:r>
          </w:p>
        </w:tc>
        <w:tc>
          <w:tcPr>
            <w:tcW w:w="1320" w:type="dxa"/>
          </w:tcPr>
          <w:p w14:paraId="3CB100FE" w14:textId="77777777" w:rsidR="00F67DDB" w:rsidRPr="0070080E" w:rsidRDefault="0094076D">
            <w:pPr>
              <w:pStyle w:val="Compact"/>
            </w:pPr>
            <w:r w:rsidRPr="0070080E">
              <w:t>$346.15B</w:t>
            </w:r>
          </w:p>
        </w:tc>
        <w:tc>
          <w:tcPr>
            <w:tcW w:w="1057" w:type="dxa"/>
          </w:tcPr>
          <w:p w14:paraId="3CB100FF" w14:textId="77777777" w:rsidR="00F67DDB" w:rsidRPr="0070080E" w:rsidRDefault="0094076D">
            <w:pPr>
              <w:pStyle w:val="Compact"/>
            </w:pPr>
            <w:r w:rsidRPr="0070080E">
              <w:t>29</w:t>
            </w:r>
          </w:p>
        </w:tc>
        <w:tc>
          <w:tcPr>
            <w:tcW w:w="767" w:type="dxa"/>
          </w:tcPr>
          <w:p w14:paraId="3CB10100" w14:textId="77777777" w:rsidR="00F67DDB" w:rsidRPr="0070080E" w:rsidRDefault="0094076D">
            <w:pPr>
              <w:pStyle w:val="Compact"/>
            </w:pPr>
            <w:r w:rsidRPr="0070080E">
              <w:t>2</w:t>
            </w:r>
          </w:p>
        </w:tc>
      </w:tr>
      <w:tr w:rsidR="00F67DDB" w:rsidRPr="0070080E" w14:paraId="3CB10109" w14:textId="77777777" w:rsidTr="00C00816">
        <w:tc>
          <w:tcPr>
            <w:tcW w:w="429" w:type="dxa"/>
          </w:tcPr>
          <w:p w14:paraId="3CB10102" w14:textId="77777777" w:rsidR="00F67DDB" w:rsidRPr="0070080E" w:rsidRDefault="0094076D">
            <w:pPr>
              <w:pStyle w:val="Compact"/>
            </w:pPr>
            <w:r w:rsidRPr="0070080E">
              <w:t>15</w:t>
            </w:r>
          </w:p>
        </w:tc>
        <w:tc>
          <w:tcPr>
            <w:tcW w:w="2541" w:type="dxa"/>
          </w:tcPr>
          <w:p w14:paraId="3CB10103" w14:textId="77777777" w:rsidR="00F67DDB" w:rsidRPr="0070080E" w:rsidRDefault="0094076D">
            <w:pPr>
              <w:pStyle w:val="Compact"/>
            </w:pPr>
            <w:r w:rsidRPr="0070080E">
              <w:t>Caterpillar</w:t>
            </w:r>
          </w:p>
        </w:tc>
        <w:tc>
          <w:tcPr>
            <w:tcW w:w="1136" w:type="dxa"/>
          </w:tcPr>
          <w:p w14:paraId="3CB10104" w14:textId="77777777" w:rsidR="00F67DDB" w:rsidRPr="0070080E" w:rsidRDefault="0094076D">
            <w:pPr>
              <w:pStyle w:val="Compact"/>
            </w:pPr>
            <w:r w:rsidRPr="0070080E">
              <w:t>CAT</w:t>
            </w:r>
          </w:p>
        </w:tc>
        <w:tc>
          <w:tcPr>
            <w:tcW w:w="2380" w:type="dxa"/>
          </w:tcPr>
          <w:p w14:paraId="3CB10105" w14:textId="77777777" w:rsidR="00F67DDB" w:rsidRPr="0070080E" w:rsidRDefault="0094076D">
            <w:pPr>
              <w:pStyle w:val="Compact"/>
            </w:pPr>
            <w:r w:rsidRPr="0070080E">
              <w:t>Industrials</w:t>
            </w:r>
          </w:p>
        </w:tc>
        <w:tc>
          <w:tcPr>
            <w:tcW w:w="1320" w:type="dxa"/>
          </w:tcPr>
          <w:p w14:paraId="3CB10106" w14:textId="77777777" w:rsidR="00F67DDB" w:rsidRPr="0070080E" w:rsidRDefault="0094076D">
            <w:pPr>
              <w:pStyle w:val="Compact"/>
            </w:pPr>
            <w:r w:rsidRPr="0070080E">
              <w:t>$360.48B</w:t>
            </w:r>
          </w:p>
        </w:tc>
        <w:tc>
          <w:tcPr>
            <w:tcW w:w="1057" w:type="dxa"/>
          </w:tcPr>
          <w:p w14:paraId="3CB10107" w14:textId="77777777" w:rsidR="00F67DDB" w:rsidRPr="0070080E" w:rsidRDefault="0094076D">
            <w:pPr>
              <w:pStyle w:val="Compact"/>
            </w:pPr>
            <w:r w:rsidRPr="0070080E">
              <w:t>27</w:t>
            </w:r>
          </w:p>
        </w:tc>
        <w:tc>
          <w:tcPr>
            <w:tcW w:w="767" w:type="dxa"/>
          </w:tcPr>
          <w:p w14:paraId="3CB10108" w14:textId="77777777" w:rsidR="00F67DDB" w:rsidRPr="0070080E" w:rsidRDefault="0094076D">
            <w:pPr>
              <w:pStyle w:val="Compact"/>
            </w:pPr>
            <w:r w:rsidRPr="0070080E">
              <w:t>2</w:t>
            </w:r>
          </w:p>
        </w:tc>
      </w:tr>
      <w:tr w:rsidR="00F67DDB" w:rsidRPr="0070080E" w14:paraId="3CB10111" w14:textId="77777777" w:rsidTr="00C00816">
        <w:tc>
          <w:tcPr>
            <w:tcW w:w="429" w:type="dxa"/>
          </w:tcPr>
          <w:p w14:paraId="3CB1010A" w14:textId="77777777" w:rsidR="00F67DDB" w:rsidRPr="0070080E" w:rsidRDefault="0094076D">
            <w:pPr>
              <w:pStyle w:val="Compact"/>
            </w:pPr>
            <w:r w:rsidRPr="0070080E">
              <w:t>16</w:t>
            </w:r>
          </w:p>
        </w:tc>
        <w:tc>
          <w:tcPr>
            <w:tcW w:w="2541" w:type="dxa"/>
          </w:tcPr>
          <w:p w14:paraId="3CB1010B" w14:textId="77777777" w:rsidR="00F67DDB" w:rsidRPr="0070080E" w:rsidRDefault="0094076D">
            <w:pPr>
              <w:pStyle w:val="Compact"/>
            </w:pPr>
            <w:r w:rsidRPr="0070080E">
              <w:t>Walmart</w:t>
            </w:r>
          </w:p>
        </w:tc>
        <w:tc>
          <w:tcPr>
            <w:tcW w:w="1136" w:type="dxa"/>
          </w:tcPr>
          <w:p w14:paraId="3CB1010C" w14:textId="77777777" w:rsidR="00F67DDB" w:rsidRPr="0070080E" w:rsidRDefault="0094076D">
            <w:pPr>
              <w:pStyle w:val="Compact"/>
            </w:pPr>
            <w:r w:rsidRPr="0070080E">
              <w:t>WMT</w:t>
            </w:r>
          </w:p>
        </w:tc>
        <w:tc>
          <w:tcPr>
            <w:tcW w:w="2380" w:type="dxa"/>
          </w:tcPr>
          <w:p w14:paraId="3CB1010D" w14:textId="77777777" w:rsidR="00F67DDB" w:rsidRPr="0070080E" w:rsidRDefault="0094076D">
            <w:pPr>
              <w:pStyle w:val="Compact"/>
            </w:pPr>
            <w:r w:rsidRPr="0070080E">
              <w:t>Consumer Staples</w:t>
            </w:r>
          </w:p>
        </w:tc>
        <w:tc>
          <w:tcPr>
            <w:tcW w:w="1320" w:type="dxa"/>
          </w:tcPr>
          <w:p w14:paraId="3CB1010E" w14:textId="77777777" w:rsidR="00F67DDB" w:rsidRPr="0070080E" w:rsidRDefault="0094076D">
            <w:pPr>
              <w:pStyle w:val="Compact"/>
            </w:pPr>
            <w:r w:rsidRPr="0070080E">
              <w:t>$1.01T</w:t>
            </w:r>
          </w:p>
        </w:tc>
        <w:tc>
          <w:tcPr>
            <w:tcW w:w="1057" w:type="dxa"/>
          </w:tcPr>
          <w:p w14:paraId="3CB1010F" w14:textId="77777777" w:rsidR="00F67DDB" w:rsidRPr="0070080E" w:rsidRDefault="0094076D">
            <w:pPr>
              <w:pStyle w:val="Compact"/>
            </w:pPr>
            <w:r w:rsidRPr="0070080E">
              <w:t>11</w:t>
            </w:r>
          </w:p>
        </w:tc>
        <w:tc>
          <w:tcPr>
            <w:tcW w:w="767" w:type="dxa"/>
          </w:tcPr>
          <w:p w14:paraId="3CB10110" w14:textId="77777777" w:rsidR="00F67DDB" w:rsidRPr="0070080E" w:rsidRDefault="0094076D">
            <w:pPr>
              <w:pStyle w:val="Compact"/>
            </w:pPr>
            <w:r w:rsidRPr="0070080E">
              <w:t>2</w:t>
            </w:r>
          </w:p>
        </w:tc>
      </w:tr>
      <w:tr w:rsidR="00F67DDB" w:rsidRPr="0070080E" w14:paraId="3CB10119" w14:textId="77777777" w:rsidTr="00C00816">
        <w:tc>
          <w:tcPr>
            <w:tcW w:w="429" w:type="dxa"/>
          </w:tcPr>
          <w:p w14:paraId="3CB10112" w14:textId="77777777" w:rsidR="00F67DDB" w:rsidRPr="0070080E" w:rsidRDefault="0094076D">
            <w:pPr>
              <w:pStyle w:val="Compact"/>
            </w:pPr>
            <w:r w:rsidRPr="0070080E">
              <w:t>17</w:t>
            </w:r>
          </w:p>
        </w:tc>
        <w:tc>
          <w:tcPr>
            <w:tcW w:w="2541" w:type="dxa"/>
          </w:tcPr>
          <w:p w14:paraId="3CB10113" w14:textId="77777777" w:rsidR="00F67DDB" w:rsidRPr="0070080E" w:rsidRDefault="0094076D">
            <w:pPr>
              <w:pStyle w:val="Compact"/>
            </w:pPr>
            <w:r w:rsidRPr="0070080E">
              <w:t>Oracle Corporation</w:t>
            </w:r>
          </w:p>
        </w:tc>
        <w:tc>
          <w:tcPr>
            <w:tcW w:w="1136" w:type="dxa"/>
          </w:tcPr>
          <w:p w14:paraId="3CB10114" w14:textId="77777777" w:rsidR="00F67DDB" w:rsidRPr="0070080E" w:rsidRDefault="0094076D">
            <w:pPr>
              <w:pStyle w:val="Compact"/>
            </w:pPr>
            <w:r w:rsidRPr="0070080E">
              <w:t>ORCL</w:t>
            </w:r>
          </w:p>
        </w:tc>
        <w:tc>
          <w:tcPr>
            <w:tcW w:w="2380" w:type="dxa"/>
          </w:tcPr>
          <w:p w14:paraId="3CB10115" w14:textId="77777777" w:rsidR="00F67DDB" w:rsidRPr="0070080E" w:rsidRDefault="0094076D">
            <w:pPr>
              <w:pStyle w:val="Compact"/>
            </w:pPr>
            <w:r w:rsidRPr="0070080E">
              <w:t>Information Technology</w:t>
            </w:r>
          </w:p>
        </w:tc>
        <w:tc>
          <w:tcPr>
            <w:tcW w:w="1320" w:type="dxa"/>
          </w:tcPr>
          <w:p w14:paraId="3CB10116" w14:textId="77777777" w:rsidR="00F67DDB" w:rsidRPr="0070080E" w:rsidRDefault="0094076D">
            <w:pPr>
              <w:pStyle w:val="Compact"/>
            </w:pPr>
            <w:r w:rsidRPr="0070080E">
              <w:t>$430.94B</w:t>
            </w:r>
          </w:p>
        </w:tc>
        <w:tc>
          <w:tcPr>
            <w:tcW w:w="1057" w:type="dxa"/>
          </w:tcPr>
          <w:p w14:paraId="3CB10117" w14:textId="77777777" w:rsidR="00F67DDB" w:rsidRPr="0070080E" w:rsidRDefault="0094076D">
            <w:pPr>
              <w:pStyle w:val="Compact"/>
            </w:pPr>
            <w:r w:rsidRPr="0070080E">
              <w:t>20</w:t>
            </w:r>
          </w:p>
        </w:tc>
        <w:tc>
          <w:tcPr>
            <w:tcW w:w="767" w:type="dxa"/>
          </w:tcPr>
          <w:p w14:paraId="3CB10118" w14:textId="77777777" w:rsidR="00F67DDB" w:rsidRPr="0070080E" w:rsidRDefault="0094076D">
            <w:pPr>
              <w:pStyle w:val="Compact"/>
            </w:pPr>
            <w:r w:rsidRPr="0070080E">
              <w:t>3</w:t>
            </w:r>
          </w:p>
        </w:tc>
      </w:tr>
      <w:tr w:rsidR="00F67DDB" w:rsidRPr="0070080E" w14:paraId="3CB10121" w14:textId="77777777" w:rsidTr="00C00816">
        <w:tc>
          <w:tcPr>
            <w:tcW w:w="429" w:type="dxa"/>
          </w:tcPr>
          <w:p w14:paraId="3CB1011A" w14:textId="77777777" w:rsidR="00F67DDB" w:rsidRPr="0070080E" w:rsidRDefault="0094076D">
            <w:pPr>
              <w:pStyle w:val="Compact"/>
            </w:pPr>
            <w:r w:rsidRPr="0070080E">
              <w:t>18</w:t>
            </w:r>
          </w:p>
        </w:tc>
        <w:tc>
          <w:tcPr>
            <w:tcW w:w="2541" w:type="dxa"/>
          </w:tcPr>
          <w:p w14:paraId="3CB1011B" w14:textId="77777777" w:rsidR="00F67DDB" w:rsidRPr="0070080E" w:rsidRDefault="0094076D">
            <w:pPr>
              <w:pStyle w:val="Compact"/>
            </w:pPr>
            <w:r w:rsidRPr="0070080E">
              <w:t>Procter &amp; Gamble</w:t>
            </w:r>
          </w:p>
        </w:tc>
        <w:tc>
          <w:tcPr>
            <w:tcW w:w="1136" w:type="dxa"/>
          </w:tcPr>
          <w:p w14:paraId="3CB1011C" w14:textId="77777777" w:rsidR="00F67DDB" w:rsidRPr="0070080E" w:rsidRDefault="0094076D">
            <w:pPr>
              <w:pStyle w:val="Compact"/>
            </w:pPr>
            <w:r w:rsidRPr="0070080E">
              <w:t>PG</w:t>
            </w:r>
          </w:p>
        </w:tc>
        <w:tc>
          <w:tcPr>
            <w:tcW w:w="2380" w:type="dxa"/>
          </w:tcPr>
          <w:p w14:paraId="3CB1011D" w14:textId="77777777" w:rsidR="00F67DDB" w:rsidRPr="0070080E" w:rsidRDefault="0094076D">
            <w:pPr>
              <w:pStyle w:val="Compact"/>
            </w:pPr>
            <w:r w:rsidRPr="0070080E">
              <w:t>Consumer Staples</w:t>
            </w:r>
          </w:p>
        </w:tc>
        <w:tc>
          <w:tcPr>
            <w:tcW w:w="1320" w:type="dxa"/>
          </w:tcPr>
          <w:p w14:paraId="3CB1011E" w14:textId="77777777" w:rsidR="00F67DDB" w:rsidRPr="0070080E" w:rsidRDefault="0094076D">
            <w:pPr>
              <w:pStyle w:val="Compact"/>
            </w:pPr>
            <w:r w:rsidRPr="0070080E">
              <w:t>$383.17B</w:t>
            </w:r>
          </w:p>
        </w:tc>
        <w:tc>
          <w:tcPr>
            <w:tcW w:w="1057" w:type="dxa"/>
          </w:tcPr>
          <w:p w14:paraId="3CB1011F" w14:textId="77777777" w:rsidR="00F67DDB" w:rsidRPr="0070080E" w:rsidRDefault="0094076D">
            <w:pPr>
              <w:pStyle w:val="Compact"/>
            </w:pPr>
            <w:r w:rsidRPr="0070080E">
              <w:t>22</w:t>
            </w:r>
          </w:p>
        </w:tc>
        <w:tc>
          <w:tcPr>
            <w:tcW w:w="767" w:type="dxa"/>
          </w:tcPr>
          <w:p w14:paraId="3CB10120" w14:textId="77777777" w:rsidR="00F67DDB" w:rsidRPr="0070080E" w:rsidRDefault="0094076D">
            <w:pPr>
              <w:pStyle w:val="Compact"/>
            </w:pPr>
            <w:r w:rsidRPr="0070080E">
              <w:t>3</w:t>
            </w:r>
          </w:p>
        </w:tc>
      </w:tr>
      <w:tr w:rsidR="00F67DDB" w:rsidRPr="0070080E" w14:paraId="3CB10129" w14:textId="77777777" w:rsidTr="00C00816">
        <w:tc>
          <w:tcPr>
            <w:tcW w:w="429" w:type="dxa"/>
          </w:tcPr>
          <w:p w14:paraId="3CB10122" w14:textId="77777777" w:rsidR="00F67DDB" w:rsidRPr="0070080E" w:rsidRDefault="0094076D">
            <w:pPr>
              <w:pStyle w:val="Compact"/>
            </w:pPr>
            <w:r w:rsidRPr="0070080E">
              <w:t>19</w:t>
            </w:r>
          </w:p>
        </w:tc>
        <w:tc>
          <w:tcPr>
            <w:tcW w:w="2541" w:type="dxa"/>
          </w:tcPr>
          <w:p w14:paraId="3CB10123" w14:textId="77777777" w:rsidR="00F67DDB" w:rsidRPr="0070080E" w:rsidRDefault="0094076D">
            <w:pPr>
              <w:pStyle w:val="Compact"/>
            </w:pPr>
            <w:r w:rsidRPr="0070080E">
              <w:t>American Tower</w:t>
            </w:r>
          </w:p>
        </w:tc>
        <w:tc>
          <w:tcPr>
            <w:tcW w:w="1136" w:type="dxa"/>
          </w:tcPr>
          <w:p w14:paraId="3CB10124" w14:textId="77777777" w:rsidR="00F67DDB" w:rsidRPr="0070080E" w:rsidRDefault="0094076D">
            <w:pPr>
              <w:pStyle w:val="Compact"/>
            </w:pPr>
            <w:r w:rsidRPr="0070080E">
              <w:t>AMT</w:t>
            </w:r>
          </w:p>
        </w:tc>
        <w:tc>
          <w:tcPr>
            <w:tcW w:w="2380" w:type="dxa"/>
          </w:tcPr>
          <w:p w14:paraId="3CB10125" w14:textId="77777777" w:rsidR="00F67DDB" w:rsidRPr="0070080E" w:rsidRDefault="0094076D">
            <w:pPr>
              <w:pStyle w:val="Compact"/>
            </w:pPr>
            <w:r w:rsidRPr="0070080E">
              <w:t>Real Estate</w:t>
            </w:r>
          </w:p>
        </w:tc>
        <w:tc>
          <w:tcPr>
            <w:tcW w:w="1320" w:type="dxa"/>
          </w:tcPr>
          <w:p w14:paraId="3CB10126" w14:textId="77777777" w:rsidR="00F67DDB" w:rsidRPr="0070080E" w:rsidRDefault="0094076D">
            <w:pPr>
              <w:pStyle w:val="Compact"/>
            </w:pPr>
            <w:r w:rsidRPr="0070080E">
              <w:t>$90B</w:t>
            </w:r>
          </w:p>
        </w:tc>
        <w:tc>
          <w:tcPr>
            <w:tcW w:w="1057" w:type="dxa"/>
          </w:tcPr>
          <w:p w14:paraId="3CB10127" w14:textId="77777777" w:rsidR="00F67DDB" w:rsidRPr="0070080E" w:rsidRDefault="0094076D">
            <w:pPr>
              <w:pStyle w:val="Compact"/>
            </w:pPr>
            <w:r w:rsidRPr="0070080E">
              <w:t>60</w:t>
            </w:r>
          </w:p>
        </w:tc>
        <w:tc>
          <w:tcPr>
            <w:tcW w:w="767" w:type="dxa"/>
          </w:tcPr>
          <w:p w14:paraId="3CB10128" w14:textId="77777777" w:rsidR="00F67DDB" w:rsidRPr="0070080E" w:rsidRDefault="0094076D">
            <w:pPr>
              <w:pStyle w:val="Compact"/>
            </w:pPr>
            <w:r w:rsidRPr="0070080E">
              <w:t>3</w:t>
            </w:r>
          </w:p>
        </w:tc>
      </w:tr>
      <w:tr w:rsidR="00F67DDB" w:rsidRPr="0070080E" w14:paraId="3CB10131" w14:textId="77777777" w:rsidTr="00C00816">
        <w:tc>
          <w:tcPr>
            <w:tcW w:w="429" w:type="dxa"/>
          </w:tcPr>
          <w:p w14:paraId="3CB1012A" w14:textId="77777777" w:rsidR="00F67DDB" w:rsidRPr="0070080E" w:rsidRDefault="0094076D">
            <w:pPr>
              <w:pStyle w:val="Compact"/>
            </w:pPr>
            <w:r w:rsidRPr="0070080E">
              <w:t>20</w:t>
            </w:r>
          </w:p>
        </w:tc>
        <w:tc>
          <w:tcPr>
            <w:tcW w:w="2541" w:type="dxa"/>
          </w:tcPr>
          <w:p w14:paraId="3CB1012B" w14:textId="77777777" w:rsidR="00F67DDB" w:rsidRPr="0070080E" w:rsidRDefault="0094076D">
            <w:pPr>
              <w:pStyle w:val="Compact"/>
            </w:pPr>
            <w:r w:rsidRPr="0070080E">
              <w:t>Netflix</w:t>
            </w:r>
          </w:p>
        </w:tc>
        <w:tc>
          <w:tcPr>
            <w:tcW w:w="1136" w:type="dxa"/>
          </w:tcPr>
          <w:p w14:paraId="3CB1012C" w14:textId="77777777" w:rsidR="00F67DDB" w:rsidRPr="0070080E" w:rsidRDefault="0094076D">
            <w:pPr>
              <w:pStyle w:val="Compact"/>
            </w:pPr>
            <w:r w:rsidRPr="0070080E">
              <w:t>NFLX</w:t>
            </w:r>
          </w:p>
        </w:tc>
        <w:tc>
          <w:tcPr>
            <w:tcW w:w="2380" w:type="dxa"/>
          </w:tcPr>
          <w:p w14:paraId="3CB1012D" w14:textId="77777777" w:rsidR="00F67DDB" w:rsidRPr="0070080E" w:rsidRDefault="0094076D">
            <w:pPr>
              <w:pStyle w:val="Compact"/>
            </w:pPr>
            <w:r w:rsidRPr="0070080E">
              <w:t>Communication Services</w:t>
            </w:r>
          </w:p>
        </w:tc>
        <w:tc>
          <w:tcPr>
            <w:tcW w:w="1320" w:type="dxa"/>
          </w:tcPr>
          <w:p w14:paraId="3CB1012E" w14:textId="77777777" w:rsidR="00F67DDB" w:rsidRPr="0070080E" w:rsidRDefault="0094076D">
            <w:pPr>
              <w:pStyle w:val="Compact"/>
            </w:pPr>
            <w:r w:rsidRPr="0070080E">
              <w:t>$334.28B</w:t>
            </w:r>
          </w:p>
        </w:tc>
        <w:tc>
          <w:tcPr>
            <w:tcW w:w="1057" w:type="dxa"/>
          </w:tcPr>
          <w:p w14:paraId="3CB1012F" w14:textId="77777777" w:rsidR="00F67DDB" w:rsidRPr="0070080E" w:rsidRDefault="0094076D">
            <w:pPr>
              <w:pStyle w:val="Compact"/>
            </w:pPr>
            <w:r w:rsidRPr="0070080E">
              <w:t>30</w:t>
            </w:r>
          </w:p>
        </w:tc>
        <w:tc>
          <w:tcPr>
            <w:tcW w:w="767" w:type="dxa"/>
          </w:tcPr>
          <w:p w14:paraId="3CB10130" w14:textId="77777777" w:rsidR="00F67DDB" w:rsidRPr="0070080E" w:rsidRDefault="0094076D">
            <w:pPr>
              <w:pStyle w:val="Compact"/>
            </w:pPr>
            <w:r w:rsidRPr="0070080E">
              <w:t>3</w:t>
            </w:r>
          </w:p>
        </w:tc>
      </w:tr>
      <w:tr w:rsidR="00F67DDB" w:rsidRPr="0070080E" w14:paraId="3CB10139" w14:textId="77777777" w:rsidTr="00C00816">
        <w:tc>
          <w:tcPr>
            <w:tcW w:w="429" w:type="dxa"/>
          </w:tcPr>
          <w:p w14:paraId="3CB10132" w14:textId="77777777" w:rsidR="00F67DDB" w:rsidRPr="0070080E" w:rsidRDefault="0094076D">
            <w:pPr>
              <w:pStyle w:val="Compact"/>
            </w:pPr>
            <w:r w:rsidRPr="0070080E">
              <w:t>21</w:t>
            </w:r>
          </w:p>
        </w:tc>
        <w:tc>
          <w:tcPr>
            <w:tcW w:w="2541" w:type="dxa"/>
          </w:tcPr>
          <w:p w14:paraId="3CB10133" w14:textId="77777777" w:rsidR="00F67DDB" w:rsidRPr="0070080E" w:rsidRDefault="0094076D">
            <w:pPr>
              <w:pStyle w:val="Compact"/>
            </w:pPr>
            <w:r w:rsidRPr="0070080E">
              <w:t>Prologis</w:t>
            </w:r>
          </w:p>
        </w:tc>
        <w:tc>
          <w:tcPr>
            <w:tcW w:w="1136" w:type="dxa"/>
          </w:tcPr>
          <w:p w14:paraId="3CB10134" w14:textId="77777777" w:rsidR="00F67DDB" w:rsidRPr="0070080E" w:rsidRDefault="0094076D">
            <w:pPr>
              <w:pStyle w:val="Compact"/>
            </w:pPr>
            <w:r w:rsidRPr="0070080E">
              <w:t>PLD</w:t>
            </w:r>
          </w:p>
        </w:tc>
        <w:tc>
          <w:tcPr>
            <w:tcW w:w="2380" w:type="dxa"/>
          </w:tcPr>
          <w:p w14:paraId="3CB10135" w14:textId="77777777" w:rsidR="00F67DDB" w:rsidRPr="0070080E" w:rsidRDefault="0094076D">
            <w:pPr>
              <w:pStyle w:val="Compact"/>
            </w:pPr>
            <w:r w:rsidRPr="0070080E">
              <w:t>Real Estate</w:t>
            </w:r>
          </w:p>
        </w:tc>
        <w:tc>
          <w:tcPr>
            <w:tcW w:w="1320" w:type="dxa"/>
          </w:tcPr>
          <w:p w14:paraId="3CB10136" w14:textId="77777777" w:rsidR="00F67DDB" w:rsidRPr="0070080E" w:rsidRDefault="0094076D">
            <w:pPr>
              <w:pStyle w:val="Compact"/>
            </w:pPr>
            <w:r w:rsidRPr="0070080E">
              <w:t>$112.50B</w:t>
            </w:r>
          </w:p>
        </w:tc>
        <w:tc>
          <w:tcPr>
            <w:tcW w:w="1057" w:type="dxa"/>
          </w:tcPr>
          <w:p w14:paraId="3CB10137" w14:textId="77777777" w:rsidR="00F67DDB" w:rsidRPr="0070080E" w:rsidRDefault="0094076D">
            <w:pPr>
              <w:pStyle w:val="Compact"/>
            </w:pPr>
            <w:r w:rsidRPr="0070080E">
              <w:t>56</w:t>
            </w:r>
          </w:p>
        </w:tc>
        <w:tc>
          <w:tcPr>
            <w:tcW w:w="767" w:type="dxa"/>
          </w:tcPr>
          <w:p w14:paraId="3CB10138" w14:textId="77777777" w:rsidR="00F67DDB" w:rsidRPr="0070080E" w:rsidRDefault="0094076D">
            <w:pPr>
              <w:pStyle w:val="Compact"/>
            </w:pPr>
            <w:r w:rsidRPr="0070080E">
              <w:t>3</w:t>
            </w:r>
          </w:p>
        </w:tc>
      </w:tr>
      <w:tr w:rsidR="00F67DDB" w:rsidRPr="0070080E" w14:paraId="3CB10141" w14:textId="77777777" w:rsidTr="00C00816">
        <w:tc>
          <w:tcPr>
            <w:tcW w:w="429" w:type="dxa"/>
          </w:tcPr>
          <w:p w14:paraId="3CB1013A" w14:textId="77777777" w:rsidR="00F67DDB" w:rsidRPr="0070080E" w:rsidRDefault="0094076D">
            <w:pPr>
              <w:pStyle w:val="Compact"/>
            </w:pPr>
            <w:r w:rsidRPr="0070080E">
              <w:t>22</w:t>
            </w:r>
          </w:p>
        </w:tc>
        <w:tc>
          <w:tcPr>
            <w:tcW w:w="2541" w:type="dxa"/>
          </w:tcPr>
          <w:p w14:paraId="3CB1013B" w14:textId="77777777" w:rsidR="00F67DDB" w:rsidRPr="0070080E" w:rsidRDefault="0094076D">
            <w:pPr>
              <w:pStyle w:val="Compact"/>
            </w:pPr>
            <w:r w:rsidRPr="0070080E">
              <w:t>Pfizer</w:t>
            </w:r>
          </w:p>
        </w:tc>
        <w:tc>
          <w:tcPr>
            <w:tcW w:w="1136" w:type="dxa"/>
          </w:tcPr>
          <w:p w14:paraId="3CB1013C" w14:textId="77777777" w:rsidR="00F67DDB" w:rsidRPr="0070080E" w:rsidRDefault="0094076D">
            <w:pPr>
              <w:pStyle w:val="Compact"/>
            </w:pPr>
            <w:r w:rsidRPr="0070080E">
              <w:t>PFE</w:t>
            </w:r>
          </w:p>
        </w:tc>
        <w:tc>
          <w:tcPr>
            <w:tcW w:w="2380" w:type="dxa"/>
          </w:tcPr>
          <w:p w14:paraId="3CB1013D" w14:textId="77777777" w:rsidR="00F67DDB" w:rsidRPr="0070080E" w:rsidRDefault="0094076D">
            <w:pPr>
              <w:pStyle w:val="Compact"/>
            </w:pPr>
            <w:r w:rsidRPr="0070080E">
              <w:t>Health Care</w:t>
            </w:r>
          </w:p>
        </w:tc>
        <w:tc>
          <w:tcPr>
            <w:tcW w:w="1320" w:type="dxa"/>
          </w:tcPr>
          <w:p w14:paraId="3CB1013E" w14:textId="77777777" w:rsidR="00F67DDB" w:rsidRPr="0070080E" w:rsidRDefault="0094076D">
            <w:pPr>
              <w:pStyle w:val="Compact"/>
            </w:pPr>
            <w:r w:rsidRPr="0070080E">
              <w:t>$140B</w:t>
            </w:r>
          </w:p>
        </w:tc>
        <w:tc>
          <w:tcPr>
            <w:tcW w:w="1057" w:type="dxa"/>
          </w:tcPr>
          <w:p w14:paraId="3CB1013F" w14:textId="77777777" w:rsidR="00F67DDB" w:rsidRPr="0070080E" w:rsidRDefault="0094076D">
            <w:pPr>
              <w:pStyle w:val="Compact"/>
            </w:pPr>
            <w:r w:rsidRPr="0070080E">
              <w:t>43</w:t>
            </w:r>
          </w:p>
        </w:tc>
        <w:tc>
          <w:tcPr>
            <w:tcW w:w="767" w:type="dxa"/>
          </w:tcPr>
          <w:p w14:paraId="3CB10140" w14:textId="77777777" w:rsidR="00F67DDB" w:rsidRPr="0070080E" w:rsidRDefault="0094076D">
            <w:pPr>
              <w:pStyle w:val="Compact"/>
            </w:pPr>
            <w:r w:rsidRPr="0070080E">
              <w:t>3</w:t>
            </w:r>
          </w:p>
        </w:tc>
      </w:tr>
      <w:tr w:rsidR="00F67DDB" w:rsidRPr="0070080E" w14:paraId="3CB10149" w14:textId="77777777" w:rsidTr="00C00816">
        <w:tc>
          <w:tcPr>
            <w:tcW w:w="429" w:type="dxa"/>
          </w:tcPr>
          <w:p w14:paraId="3CB10142" w14:textId="77777777" w:rsidR="00F67DDB" w:rsidRPr="0070080E" w:rsidRDefault="0094076D">
            <w:pPr>
              <w:pStyle w:val="Compact"/>
            </w:pPr>
            <w:r w:rsidRPr="0070080E">
              <w:t>23</w:t>
            </w:r>
          </w:p>
        </w:tc>
        <w:tc>
          <w:tcPr>
            <w:tcW w:w="2541" w:type="dxa"/>
          </w:tcPr>
          <w:p w14:paraId="3CB10143" w14:textId="77777777" w:rsidR="00F67DDB" w:rsidRPr="0070080E" w:rsidRDefault="0094076D">
            <w:pPr>
              <w:pStyle w:val="Compact"/>
            </w:pPr>
            <w:r w:rsidRPr="0070080E">
              <w:t>McDonald’s</w:t>
            </w:r>
          </w:p>
        </w:tc>
        <w:tc>
          <w:tcPr>
            <w:tcW w:w="1136" w:type="dxa"/>
          </w:tcPr>
          <w:p w14:paraId="3CB10144" w14:textId="77777777" w:rsidR="00F67DDB" w:rsidRPr="0070080E" w:rsidRDefault="0094076D">
            <w:pPr>
              <w:pStyle w:val="Compact"/>
            </w:pPr>
            <w:r w:rsidRPr="0070080E">
              <w:t>MCD</w:t>
            </w:r>
          </w:p>
        </w:tc>
        <w:tc>
          <w:tcPr>
            <w:tcW w:w="2380" w:type="dxa"/>
          </w:tcPr>
          <w:p w14:paraId="3CB10145" w14:textId="77777777" w:rsidR="00F67DDB" w:rsidRPr="0070080E" w:rsidRDefault="0094076D">
            <w:pPr>
              <w:pStyle w:val="Compact"/>
            </w:pPr>
            <w:r w:rsidRPr="0070080E">
              <w:t>Consumer Discretionary</w:t>
            </w:r>
          </w:p>
        </w:tc>
        <w:tc>
          <w:tcPr>
            <w:tcW w:w="1320" w:type="dxa"/>
          </w:tcPr>
          <w:p w14:paraId="3CB10146" w14:textId="77777777" w:rsidR="00F67DDB" w:rsidRPr="0070080E" w:rsidRDefault="0094076D">
            <w:pPr>
              <w:pStyle w:val="Compact"/>
            </w:pPr>
            <w:r w:rsidRPr="0070080E">
              <w:t>$237.15B</w:t>
            </w:r>
          </w:p>
        </w:tc>
        <w:tc>
          <w:tcPr>
            <w:tcW w:w="1057" w:type="dxa"/>
          </w:tcPr>
          <w:p w14:paraId="3CB10147" w14:textId="77777777" w:rsidR="00F67DDB" w:rsidRPr="0070080E" w:rsidRDefault="0094076D">
            <w:pPr>
              <w:pStyle w:val="Compact"/>
            </w:pPr>
            <w:r w:rsidRPr="0070080E">
              <w:t>44</w:t>
            </w:r>
          </w:p>
        </w:tc>
        <w:tc>
          <w:tcPr>
            <w:tcW w:w="767" w:type="dxa"/>
          </w:tcPr>
          <w:p w14:paraId="3CB10148" w14:textId="77777777" w:rsidR="00F67DDB" w:rsidRPr="0070080E" w:rsidRDefault="0094076D">
            <w:pPr>
              <w:pStyle w:val="Compact"/>
            </w:pPr>
            <w:r w:rsidRPr="0070080E">
              <w:t>3</w:t>
            </w:r>
          </w:p>
        </w:tc>
      </w:tr>
      <w:tr w:rsidR="00F67DDB" w:rsidRPr="0070080E" w14:paraId="3CB10151" w14:textId="77777777" w:rsidTr="00C00816">
        <w:trPr>
          <w:trHeight w:val="657"/>
        </w:trPr>
        <w:tc>
          <w:tcPr>
            <w:tcW w:w="429" w:type="dxa"/>
          </w:tcPr>
          <w:p w14:paraId="3CB1014A" w14:textId="77777777" w:rsidR="00F67DDB" w:rsidRPr="0070080E" w:rsidRDefault="0094076D">
            <w:pPr>
              <w:pStyle w:val="Compact"/>
            </w:pPr>
            <w:r w:rsidRPr="0070080E">
              <w:t>24</w:t>
            </w:r>
          </w:p>
        </w:tc>
        <w:tc>
          <w:tcPr>
            <w:tcW w:w="2541" w:type="dxa"/>
          </w:tcPr>
          <w:p w14:paraId="3CB1014B" w14:textId="77777777" w:rsidR="00F67DDB" w:rsidRPr="0070080E" w:rsidRDefault="0094076D">
            <w:pPr>
              <w:pStyle w:val="Compact"/>
            </w:pPr>
            <w:r w:rsidRPr="0070080E">
              <w:t>Applied Materials</w:t>
            </w:r>
          </w:p>
        </w:tc>
        <w:tc>
          <w:tcPr>
            <w:tcW w:w="1136" w:type="dxa"/>
          </w:tcPr>
          <w:p w14:paraId="3CB1014C" w14:textId="77777777" w:rsidR="00F67DDB" w:rsidRPr="0070080E" w:rsidRDefault="0094076D">
            <w:pPr>
              <w:pStyle w:val="Compact"/>
            </w:pPr>
            <w:r w:rsidRPr="0070080E">
              <w:t>AMAT</w:t>
            </w:r>
          </w:p>
        </w:tc>
        <w:tc>
          <w:tcPr>
            <w:tcW w:w="2380" w:type="dxa"/>
          </w:tcPr>
          <w:p w14:paraId="3CB1014D" w14:textId="77777777" w:rsidR="00F67DDB" w:rsidRPr="0070080E" w:rsidRDefault="0094076D">
            <w:pPr>
              <w:pStyle w:val="Compact"/>
            </w:pPr>
            <w:r w:rsidRPr="0070080E">
              <w:t>Information Technology</w:t>
            </w:r>
          </w:p>
        </w:tc>
        <w:tc>
          <w:tcPr>
            <w:tcW w:w="1320" w:type="dxa"/>
          </w:tcPr>
          <w:p w14:paraId="3CB1014E" w14:textId="77777777" w:rsidR="00F67DDB" w:rsidRPr="0070080E" w:rsidRDefault="0094076D">
            <w:pPr>
              <w:pStyle w:val="Compact"/>
            </w:pPr>
            <w:r w:rsidRPr="0070080E">
              <w:t>$306.93B</w:t>
            </w:r>
          </w:p>
        </w:tc>
        <w:tc>
          <w:tcPr>
            <w:tcW w:w="1057" w:type="dxa"/>
          </w:tcPr>
          <w:p w14:paraId="3CB1014F" w14:textId="77777777" w:rsidR="00F67DDB" w:rsidRPr="0070080E" w:rsidRDefault="0094076D">
            <w:pPr>
              <w:pStyle w:val="Compact"/>
            </w:pPr>
            <w:r w:rsidRPr="0070080E">
              <w:t>35</w:t>
            </w:r>
          </w:p>
        </w:tc>
        <w:tc>
          <w:tcPr>
            <w:tcW w:w="767" w:type="dxa"/>
          </w:tcPr>
          <w:p w14:paraId="3CB10150" w14:textId="77777777" w:rsidR="00F67DDB" w:rsidRPr="0070080E" w:rsidRDefault="0094076D">
            <w:pPr>
              <w:pStyle w:val="Compact"/>
            </w:pPr>
            <w:r w:rsidRPr="0070080E">
              <w:t>3</w:t>
            </w:r>
          </w:p>
        </w:tc>
      </w:tr>
    </w:tbl>
    <w:p w14:paraId="3CB10152" w14:textId="77777777" w:rsidR="00F67DDB" w:rsidRPr="0070080E" w:rsidRDefault="0094076D" w:rsidP="00F13E40">
      <w:pPr>
        <w:pStyle w:val="BodyText"/>
        <w:ind w:firstLine="0"/>
      </w:pPr>
      <w:r w:rsidRPr="0070080E">
        <w:rPr>
          <w:i/>
          <w:iCs/>
        </w:rPr>
        <w:t>Note</w:t>
      </w:r>
      <w:r w:rsidRPr="0070080E">
        <w:t>: Market capitalization and S&amp;P 500 rank as of portfolio construction date. The top 10 constituents by market capitalization (Apple, Microsoft, NVIDIA, Amazon, Alphabet, Meta, Berkshire Hathaway, Broadcom, Tesla, Eli Lilly) are excluded per the recognition-without-dominance criterion. Each stock is assigned to exactly one block and contributes exactly one scenario.</w:t>
      </w:r>
    </w:p>
    <w:p w14:paraId="3CB10153" w14:textId="33BB3383" w:rsidR="00F67DDB" w:rsidRPr="0070080E" w:rsidRDefault="0094076D">
      <w:pPr>
        <w:pStyle w:val="BodyText"/>
      </w:pPr>
      <w:r w:rsidRPr="0070080E">
        <w:t>The portfolio uses equal (1/N) weighting across the 24 stocks (~4.2% per stock). Equal weighting is transparent, requires no contested parameter estimates that could introduce a weighting-scheme confound, and follows a well-established benchmark in finance research (DeMiguel</w:t>
      </w:r>
      <w:r w:rsidR="003353DA">
        <w:t xml:space="preserve"> et al.</w:t>
      </w:r>
      <w:r w:rsidRPr="0070080E">
        <w:t xml:space="preserve"> 2009). The equal-weight assumption is communicated to respondents in the scenario preamble.</w:t>
      </w:r>
    </w:p>
    <w:p w14:paraId="3CB10154" w14:textId="77777777" w:rsidR="00F67DDB" w:rsidRPr="0070080E" w:rsidRDefault="0094076D">
      <w:pPr>
        <w:pStyle w:val="Heading3"/>
      </w:pPr>
      <w:bookmarkStart w:id="118" w:name="market-price-data"/>
      <w:bookmarkEnd w:id="117"/>
      <w:r w:rsidRPr="0070080E">
        <w:t>4.3.2 Market Price Data</w:t>
      </w:r>
    </w:p>
    <w:p w14:paraId="3CB10155" w14:textId="25C227A6" w:rsidR="00F67DDB" w:rsidRPr="0070080E" w:rsidRDefault="0094076D">
      <w:pPr>
        <w:pStyle w:val="FirstParagraph"/>
      </w:pPr>
      <w:r w:rsidRPr="0070080E">
        <w:t xml:space="preserve">Intraday price and volume data for all portfolio constituents are obtained from Interactive Brokers (IBKR; </w:t>
      </w:r>
      <w:hyperlink r:id="rId312">
        <w:r w:rsidRPr="0070080E">
          <w:rPr>
            <w:rStyle w:val="Hyperlink"/>
          </w:rPr>
          <w:t>Interactive Brokers, 2026</w:t>
        </w:r>
      </w:hyperlink>
      <w:r w:rsidRPr="0070080E">
        <w:t>) as 30-minute bars (OHLCV</w:t>
      </w:r>
      <w:r w:rsidR="000A66AA">
        <w:t>—</w:t>
      </w:r>
      <w:r w:rsidRPr="0070080E">
        <w:t>the open, high, low, and close prices together with the volume traded, aggregated over each successive 30-minute interval) over a 360-calendar-day trailing window restricted to regular trading hours (09:30</w:t>
      </w:r>
      <w:r w:rsidR="00C75954">
        <w:t>–</w:t>
      </w:r>
      <w:r w:rsidRPr="0070080E">
        <w:t>16:00 ET; 13 bars per session). The 30-minute resolution is granular enough to isolate the intraday price impact of a specific news release (supporting shock bar identification, Section 4.3.4) yet coarse enough to suppress microstructure noise. The 360-day window covers January 2025 through April 2026, providing sufficient depth for rolling statistics while keeping events recent enough to be plausible to respondents.</w:t>
      </w:r>
    </w:p>
    <w:p w14:paraId="3CB10156" w14:textId="77777777" w:rsidR="00F67DDB" w:rsidRPr="0070080E" w:rsidRDefault="0094076D">
      <w:pPr>
        <w:pStyle w:val="BodyText"/>
      </w:pPr>
      <w:r w:rsidRPr="0070080E">
        <w:t>Daily closing prices for the S&amp;P 500 (identified by the ticker symbol ^GSPC, the short code under which an instrument is quoted on data platforms) are obtained from Yahoo Finance (</w:t>
      </w:r>
      <w:hyperlink r:id="rId313">
        <w:r w:rsidRPr="0070080E">
          <w:rPr>
            <w:rStyle w:val="Hyperlink"/>
          </w:rPr>
          <w:t>Yahoo Finance, 2026</w:t>
        </w:r>
      </w:hyperlink>
      <w:r w:rsidRPr="0070080E">
        <w:t>) over the same period. The S&amp;P 500 series serves as the market benchmark for relative abnormal returns (Section 4.3.4), regime classification, and cumulative abnormal returns in the post-event window.</w:t>
      </w:r>
    </w:p>
    <w:p w14:paraId="3CB10157" w14:textId="77777777" w:rsidR="00F67DDB" w:rsidRPr="0070080E" w:rsidRDefault="0094076D">
      <w:pPr>
        <w:pStyle w:val="BodyText"/>
      </w:pPr>
      <w:r w:rsidRPr="0070080E">
        <w:t>Table 4.2 summarizes all secondary data sources.</w:t>
      </w:r>
    </w:p>
    <w:p w14:paraId="5F75E533" w14:textId="77777777" w:rsidR="00D30A30" w:rsidRPr="0070080E" w:rsidRDefault="00D30A30">
      <w:pPr>
        <w:spacing w:after="200" w:line="240" w:lineRule="auto"/>
        <w:ind w:firstLine="0"/>
        <w:rPr>
          <w:b/>
          <w:bCs/>
        </w:rPr>
      </w:pPr>
      <w:r w:rsidRPr="0070080E">
        <w:rPr>
          <w:b/>
          <w:bCs/>
        </w:rPr>
        <w:br w:type="page"/>
      </w:r>
    </w:p>
    <w:p w14:paraId="3CB10158" w14:textId="7F9703B3" w:rsidR="00F67DDB" w:rsidRPr="0070080E" w:rsidRDefault="0094076D" w:rsidP="00D30A30">
      <w:pPr>
        <w:pStyle w:val="Tableid"/>
      </w:pPr>
      <w:r w:rsidRPr="0070080E">
        <w:t>Table 4.2</w:t>
      </w:r>
    </w:p>
    <w:p w14:paraId="3CB10159" w14:textId="77777777" w:rsidR="00F67DDB" w:rsidRPr="0070080E" w:rsidRDefault="0094076D" w:rsidP="00D30A30">
      <w:pPr>
        <w:pStyle w:val="TableCaption"/>
      </w:pPr>
      <w:r w:rsidRPr="0070080E">
        <w:t>Secondary Data Sources</w:t>
      </w:r>
    </w:p>
    <w:tbl>
      <w:tblPr>
        <w:tblStyle w:val="Table"/>
        <w:tblW w:w="5058" w:type="pct"/>
        <w:tblLayout w:type="fixed"/>
        <w:tblLook w:val="0020" w:firstRow="1" w:lastRow="0" w:firstColumn="0" w:lastColumn="0" w:noHBand="0" w:noVBand="0"/>
      </w:tblPr>
      <w:tblGrid>
        <w:gridCol w:w="1405"/>
        <w:gridCol w:w="1512"/>
        <w:gridCol w:w="1584"/>
        <w:gridCol w:w="1404"/>
        <w:gridCol w:w="3564"/>
      </w:tblGrid>
      <w:tr w:rsidR="00F67DDB" w:rsidRPr="0070080E" w14:paraId="3CB1015F" w14:textId="77777777" w:rsidTr="00C00816">
        <w:trPr>
          <w:cnfStyle w:val="100000000000" w:firstRow="1" w:lastRow="0" w:firstColumn="0" w:lastColumn="0" w:oddVBand="0" w:evenVBand="0" w:oddHBand="0" w:evenHBand="0" w:firstRowFirstColumn="0" w:firstRowLastColumn="0" w:lastRowFirstColumn="0" w:lastRowLastColumn="0"/>
          <w:tblHeader/>
        </w:trPr>
        <w:tc>
          <w:tcPr>
            <w:tcW w:w="1404" w:type="dxa"/>
          </w:tcPr>
          <w:p w14:paraId="3CB1015A" w14:textId="77777777" w:rsidR="00F67DDB" w:rsidRPr="0070080E" w:rsidRDefault="0094076D">
            <w:pPr>
              <w:pStyle w:val="Compact"/>
            </w:pPr>
            <w:r w:rsidRPr="0070080E">
              <w:t>Data Type</w:t>
            </w:r>
          </w:p>
        </w:tc>
        <w:tc>
          <w:tcPr>
            <w:tcW w:w="1512" w:type="dxa"/>
          </w:tcPr>
          <w:p w14:paraId="3CB1015B" w14:textId="77777777" w:rsidR="00F67DDB" w:rsidRPr="0070080E" w:rsidRDefault="0094076D">
            <w:pPr>
              <w:pStyle w:val="Compact"/>
            </w:pPr>
            <w:r w:rsidRPr="0070080E">
              <w:t>Source</w:t>
            </w:r>
          </w:p>
        </w:tc>
        <w:tc>
          <w:tcPr>
            <w:tcW w:w="1584" w:type="dxa"/>
          </w:tcPr>
          <w:p w14:paraId="3CB1015C" w14:textId="77777777" w:rsidR="00F67DDB" w:rsidRPr="0070080E" w:rsidRDefault="0094076D">
            <w:pPr>
              <w:pStyle w:val="Compact"/>
            </w:pPr>
            <w:r w:rsidRPr="0070080E">
              <w:t>Coverage Period</w:t>
            </w:r>
          </w:p>
        </w:tc>
        <w:tc>
          <w:tcPr>
            <w:tcW w:w="1404" w:type="dxa"/>
          </w:tcPr>
          <w:p w14:paraId="3CB1015D" w14:textId="77777777" w:rsidR="00F67DDB" w:rsidRPr="0070080E" w:rsidRDefault="0094076D">
            <w:pPr>
              <w:pStyle w:val="Compact"/>
            </w:pPr>
            <w:r w:rsidRPr="0070080E">
              <w:t>Resolution</w:t>
            </w:r>
          </w:p>
        </w:tc>
        <w:tc>
          <w:tcPr>
            <w:tcW w:w="3564" w:type="dxa"/>
          </w:tcPr>
          <w:p w14:paraId="3CB1015E" w14:textId="77777777" w:rsidR="00F67DDB" w:rsidRPr="0070080E" w:rsidRDefault="0094076D">
            <w:pPr>
              <w:pStyle w:val="Compact"/>
            </w:pPr>
            <w:r w:rsidRPr="0070080E">
              <w:t>Purpose</w:t>
            </w:r>
          </w:p>
        </w:tc>
      </w:tr>
      <w:tr w:rsidR="00F67DDB" w:rsidRPr="0070080E" w14:paraId="3CB10165" w14:textId="77777777" w:rsidTr="00C00816">
        <w:trPr>
          <w:trHeight w:val="1134"/>
        </w:trPr>
        <w:tc>
          <w:tcPr>
            <w:tcW w:w="1404" w:type="dxa"/>
          </w:tcPr>
          <w:p w14:paraId="3CB10160" w14:textId="77777777" w:rsidR="00F67DDB" w:rsidRPr="0070080E" w:rsidRDefault="0094076D">
            <w:pPr>
              <w:pStyle w:val="Compact"/>
            </w:pPr>
            <w:r w:rsidRPr="0070080E">
              <w:t>Intraday price and volume</w:t>
            </w:r>
          </w:p>
        </w:tc>
        <w:tc>
          <w:tcPr>
            <w:tcW w:w="1512" w:type="dxa"/>
          </w:tcPr>
          <w:p w14:paraId="3CB10161" w14:textId="77777777" w:rsidR="00F67DDB" w:rsidRPr="0070080E" w:rsidRDefault="00000000">
            <w:pPr>
              <w:pStyle w:val="Compact"/>
            </w:pPr>
            <w:hyperlink r:id="rId314">
              <w:r w:rsidR="0094076D" w:rsidRPr="0070080E">
                <w:rPr>
                  <w:rStyle w:val="Hyperlink"/>
                </w:rPr>
                <w:t>Interactive Brokers</w:t>
              </w:r>
            </w:hyperlink>
          </w:p>
        </w:tc>
        <w:tc>
          <w:tcPr>
            <w:tcW w:w="1584" w:type="dxa"/>
          </w:tcPr>
          <w:p w14:paraId="3CB10162" w14:textId="1A260860" w:rsidR="00F67DDB" w:rsidRPr="0070080E" w:rsidRDefault="0094076D">
            <w:pPr>
              <w:pStyle w:val="Compact"/>
            </w:pPr>
            <w:r w:rsidRPr="0070080E">
              <w:t>Jan 2025</w:t>
            </w:r>
            <w:r w:rsidR="00111533">
              <w:t>–</w:t>
            </w:r>
            <w:r w:rsidRPr="0070080E">
              <w:t>Apr 2026</w:t>
            </w:r>
          </w:p>
        </w:tc>
        <w:tc>
          <w:tcPr>
            <w:tcW w:w="1404" w:type="dxa"/>
          </w:tcPr>
          <w:p w14:paraId="3CB10163" w14:textId="77777777" w:rsidR="00F67DDB" w:rsidRPr="0070080E" w:rsidRDefault="0094076D">
            <w:pPr>
              <w:pStyle w:val="Compact"/>
            </w:pPr>
            <w:r w:rsidRPr="0070080E">
              <w:t>30-minute bars (RTH)</w:t>
            </w:r>
          </w:p>
        </w:tc>
        <w:tc>
          <w:tcPr>
            <w:tcW w:w="3564" w:type="dxa"/>
          </w:tcPr>
          <w:p w14:paraId="3CB10164" w14:textId="77777777" w:rsidR="00F67DDB" w:rsidRPr="0070080E" w:rsidRDefault="0094076D">
            <w:pPr>
              <w:pStyle w:val="Compact"/>
            </w:pPr>
            <w:r w:rsidRPr="0070080E">
              <w:t>Shock bar identification, event screening, Shock Score component computation, scenario charts</w:t>
            </w:r>
          </w:p>
        </w:tc>
      </w:tr>
      <w:tr w:rsidR="00F67DDB" w:rsidRPr="0070080E" w14:paraId="3CB1016B" w14:textId="77777777" w:rsidTr="00C00816">
        <w:trPr>
          <w:trHeight w:val="900"/>
        </w:trPr>
        <w:tc>
          <w:tcPr>
            <w:tcW w:w="1404" w:type="dxa"/>
          </w:tcPr>
          <w:p w14:paraId="3CB10166" w14:textId="77777777" w:rsidR="00F67DDB" w:rsidRPr="0070080E" w:rsidRDefault="0094076D">
            <w:pPr>
              <w:pStyle w:val="Compact"/>
            </w:pPr>
            <w:r w:rsidRPr="0070080E">
              <w:t>Daily closing prices</w:t>
            </w:r>
          </w:p>
        </w:tc>
        <w:tc>
          <w:tcPr>
            <w:tcW w:w="1512" w:type="dxa"/>
          </w:tcPr>
          <w:p w14:paraId="3CB10167" w14:textId="77777777" w:rsidR="00F67DDB" w:rsidRPr="0070080E" w:rsidRDefault="00000000">
            <w:pPr>
              <w:pStyle w:val="Compact"/>
            </w:pPr>
            <w:hyperlink r:id="rId315">
              <w:r w:rsidR="0094076D" w:rsidRPr="0070080E">
                <w:rPr>
                  <w:rStyle w:val="Hyperlink"/>
                </w:rPr>
                <w:t>Interactive Brokers</w:t>
              </w:r>
            </w:hyperlink>
          </w:p>
        </w:tc>
        <w:tc>
          <w:tcPr>
            <w:tcW w:w="1584" w:type="dxa"/>
          </w:tcPr>
          <w:p w14:paraId="3CB10168" w14:textId="41D8A00C" w:rsidR="00F67DDB" w:rsidRPr="0070080E" w:rsidRDefault="0094076D">
            <w:pPr>
              <w:pStyle w:val="Compact"/>
            </w:pPr>
            <w:r w:rsidRPr="0070080E">
              <w:t>Jan 2025</w:t>
            </w:r>
            <w:r w:rsidR="0087349B">
              <w:t>–</w:t>
            </w:r>
            <w:r w:rsidRPr="0070080E">
              <w:t>Apr 2026</w:t>
            </w:r>
          </w:p>
        </w:tc>
        <w:tc>
          <w:tcPr>
            <w:tcW w:w="1404" w:type="dxa"/>
          </w:tcPr>
          <w:p w14:paraId="3CB10169" w14:textId="77777777" w:rsidR="00F67DDB" w:rsidRPr="0070080E" w:rsidRDefault="0094076D">
            <w:pPr>
              <w:pStyle w:val="Compact"/>
            </w:pPr>
            <w:r w:rsidRPr="0070080E">
              <w:t>Daily</w:t>
            </w:r>
          </w:p>
        </w:tc>
        <w:tc>
          <w:tcPr>
            <w:tcW w:w="3564" w:type="dxa"/>
          </w:tcPr>
          <w:p w14:paraId="3CB1016A" w14:textId="77777777" w:rsidR="00F67DDB" w:rsidRPr="0070080E" w:rsidRDefault="0094076D">
            <w:pPr>
              <w:pStyle w:val="Compact"/>
            </w:pPr>
            <w:r w:rsidRPr="0070080E">
              <w:t>Trailing price context, abnormal return calculation</w:t>
            </w:r>
          </w:p>
        </w:tc>
      </w:tr>
      <w:tr w:rsidR="00F67DDB" w:rsidRPr="0070080E" w14:paraId="3CB10171" w14:textId="77777777" w:rsidTr="00C00816">
        <w:trPr>
          <w:trHeight w:val="1080"/>
        </w:trPr>
        <w:tc>
          <w:tcPr>
            <w:tcW w:w="1404" w:type="dxa"/>
          </w:tcPr>
          <w:p w14:paraId="3CB1016C" w14:textId="77777777" w:rsidR="00F67DDB" w:rsidRPr="0070080E" w:rsidRDefault="0094076D">
            <w:pPr>
              <w:pStyle w:val="Compact"/>
            </w:pPr>
            <w:r w:rsidRPr="0070080E">
              <w:t>S&amp;P 500 index</w:t>
            </w:r>
          </w:p>
        </w:tc>
        <w:tc>
          <w:tcPr>
            <w:tcW w:w="1512" w:type="dxa"/>
          </w:tcPr>
          <w:p w14:paraId="3CB1016D" w14:textId="77777777" w:rsidR="00F67DDB" w:rsidRPr="0070080E" w:rsidRDefault="00000000">
            <w:pPr>
              <w:pStyle w:val="Compact"/>
            </w:pPr>
            <w:hyperlink r:id="rId316">
              <w:r w:rsidR="0094076D" w:rsidRPr="0070080E">
                <w:rPr>
                  <w:rStyle w:val="Hyperlink"/>
                </w:rPr>
                <w:t>Yahoo Finance</w:t>
              </w:r>
            </w:hyperlink>
          </w:p>
        </w:tc>
        <w:tc>
          <w:tcPr>
            <w:tcW w:w="1584" w:type="dxa"/>
          </w:tcPr>
          <w:p w14:paraId="3CB1016E" w14:textId="1ABC812C" w:rsidR="00F67DDB" w:rsidRPr="0070080E" w:rsidRDefault="0094076D">
            <w:pPr>
              <w:pStyle w:val="Compact"/>
            </w:pPr>
            <w:r w:rsidRPr="0070080E">
              <w:t>Jan 2025</w:t>
            </w:r>
            <w:r w:rsidR="0087349B">
              <w:t>–</w:t>
            </w:r>
            <w:r w:rsidRPr="0070080E">
              <w:t>Apr 2026</w:t>
            </w:r>
          </w:p>
        </w:tc>
        <w:tc>
          <w:tcPr>
            <w:tcW w:w="1404" w:type="dxa"/>
          </w:tcPr>
          <w:p w14:paraId="3CB1016F" w14:textId="77777777" w:rsidR="00F67DDB" w:rsidRPr="0070080E" w:rsidRDefault="0094076D">
            <w:pPr>
              <w:pStyle w:val="Compact"/>
            </w:pPr>
            <w:r w:rsidRPr="0070080E">
              <w:t>Daily</w:t>
            </w:r>
          </w:p>
        </w:tc>
        <w:tc>
          <w:tcPr>
            <w:tcW w:w="3564" w:type="dxa"/>
          </w:tcPr>
          <w:p w14:paraId="3CB10170" w14:textId="77777777" w:rsidR="00F67DDB" w:rsidRPr="0070080E" w:rsidRDefault="0094076D">
            <w:pPr>
              <w:pStyle w:val="Compact"/>
            </w:pPr>
            <w:r w:rsidRPr="0070080E">
              <w:t>Market benchmark for relative abnormal returns, market regime classification, cumulative abnormal returns</w:t>
            </w:r>
          </w:p>
        </w:tc>
      </w:tr>
      <w:tr w:rsidR="00F67DDB" w:rsidRPr="0070080E" w14:paraId="3CB10177" w14:textId="77777777" w:rsidTr="00C00816">
        <w:trPr>
          <w:trHeight w:val="1089"/>
        </w:trPr>
        <w:tc>
          <w:tcPr>
            <w:tcW w:w="1404" w:type="dxa"/>
          </w:tcPr>
          <w:p w14:paraId="3CB10172" w14:textId="77777777" w:rsidR="00F67DDB" w:rsidRPr="0070080E" w:rsidRDefault="0094076D">
            <w:pPr>
              <w:pStyle w:val="Compact"/>
            </w:pPr>
            <w:r w:rsidRPr="0070080E">
              <w:t>News articles</w:t>
            </w:r>
          </w:p>
        </w:tc>
        <w:tc>
          <w:tcPr>
            <w:tcW w:w="1512" w:type="dxa"/>
          </w:tcPr>
          <w:p w14:paraId="3CB10173" w14:textId="77777777" w:rsidR="00F67DDB" w:rsidRPr="0070080E" w:rsidRDefault="00000000">
            <w:pPr>
              <w:pStyle w:val="Compact"/>
            </w:pPr>
            <w:hyperlink r:id="rId317">
              <w:r w:rsidR="0094076D" w:rsidRPr="0070080E">
                <w:rPr>
                  <w:rStyle w:val="Hyperlink"/>
                </w:rPr>
                <w:t>Benzinga</w:t>
              </w:r>
            </w:hyperlink>
            <w:r w:rsidR="0094076D" w:rsidRPr="0070080E">
              <w:t xml:space="preserve"> via Interactive Brokers</w:t>
            </w:r>
          </w:p>
        </w:tc>
        <w:tc>
          <w:tcPr>
            <w:tcW w:w="1584" w:type="dxa"/>
          </w:tcPr>
          <w:p w14:paraId="3CB10174" w14:textId="36CBC52D" w:rsidR="00F67DDB" w:rsidRPr="0070080E" w:rsidRDefault="0094076D">
            <w:pPr>
              <w:pStyle w:val="Compact"/>
            </w:pPr>
            <w:r w:rsidRPr="0070080E">
              <w:t>Jan 2025</w:t>
            </w:r>
            <w:r w:rsidR="0087349B">
              <w:t>–</w:t>
            </w:r>
            <w:r w:rsidRPr="0070080E">
              <w:t>Apr 2026</w:t>
            </w:r>
          </w:p>
        </w:tc>
        <w:tc>
          <w:tcPr>
            <w:tcW w:w="1404" w:type="dxa"/>
          </w:tcPr>
          <w:p w14:paraId="3CB10175" w14:textId="77777777" w:rsidR="00F67DDB" w:rsidRPr="0070080E" w:rsidRDefault="0094076D">
            <w:pPr>
              <w:pStyle w:val="Compact"/>
            </w:pPr>
            <w:r w:rsidRPr="0070080E">
              <w:t>Article-level timestamps</w:t>
            </w:r>
          </w:p>
        </w:tc>
        <w:tc>
          <w:tcPr>
            <w:tcW w:w="3564" w:type="dxa"/>
          </w:tcPr>
          <w:p w14:paraId="3CB10176" w14:textId="77777777" w:rsidR="00F67DDB" w:rsidRPr="0070080E" w:rsidRDefault="0094076D">
            <w:pPr>
              <w:pStyle w:val="Compact"/>
            </w:pPr>
            <w:r w:rsidRPr="0070080E">
              <w:t>Shock attribution, sentiment scoring, scenario construction</w:t>
            </w:r>
          </w:p>
        </w:tc>
      </w:tr>
      <w:tr w:rsidR="00F67DDB" w:rsidRPr="0070080E" w14:paraId="3CB1017D" w14:textId="77777777" w:rsidTr="00C00816">
        <w:trPr>
          <w:trHeight w:val="774"/>
        </w:trPr>
        <w:tc>
          <w:tcPr>
            <w:tcW w:w="1404" w:type="dxa"/>
          </w:tcPr>
          <w:p w14:paraId="3CB10178" w14:textId="77777777" w:rsidR="00F67DDB" w:rsidRPr="0070080E" w:rsidRDefault="0094076D">
            <w:pPr>
              <w:pStyle w:val="Compact"/>
            </w:pPr>
            <w:r w:rsidRPr="0070080E">
              <w:t>Sentiment scores</w:t>
            </w:r>
          </w:p>
        </w:tc>
        <w:tc>
          <w:tcPr>
            <w:tcW w:w="1512" w:type="dxa"/>
          </w:tcPr>
          <w:p w14:paraId="3CB10179" w14:textId="77777777" w:rsidR="00F67DDB" w:rsidRPr="0070080E" w:rsidRDefault="00000000">
            <w:pPr>
              <w:pStyle w:val="Compact"/>
            </w:pPr>
            <w:hyperlink r:id="rId318">
              <w:r w:rsidR="0094076D" w:rsidRPr="0070080E">
                <w:rPr>
                  <w:rStyle w:val="Hyperlink"/>
                </w:rPr>
                <w:t>FinBERT</w:t>
              </w:r>
            </w:hyperlink>
            <w:r w:rsidR="0094076D" w:rsidRPr="0070080E">
              <w:t xml:space="preserve"> (</w:t>
            </w:r>
            <w:hyperlink r:id="rId319">
              <w:r w:rsidR="0094076D" w:rsidRPr="0070080E">
                <w:rPr>
                  <w:rStyle w:val="Hyperlink"/>
                </w:rPr>
                <w:t>Yang et al., 2020</w:t>
              </w:r>
            </w:hyperlink>
            <w:r w:rsidR="0094076D" w:rsidRPr="0070080E">
              <w:t>)</w:t>
            </w:r>
          </w:p>
        </w:tc>
        <w:tc>
          <w:tcPr>
            <w:tcW w:w="1584" w:type="dxa"/>
          </w:tcPr>
          <w:p w14:paraId="3CB1017A" w14:textId="77777777" w:rsidR="00F67DDB" w:rsidRPr="0070080E" w:rsidRDefault="0094076D">
            <w:pPr>
              <w:pStyle w:val="Compact"/>
            </w:pPr>
            <w:r w:rsidRPr="0070080E">
              <w:t>Computed at analysis time</w:t>
            </w:r>
          </w:p>
        </w:tc>
        <w:tc>
          <w:tcPr>
            <w:tcW w:w="1404" w:type="dxa"/>
          </w:tcPr>
          <w:p w14:paraId="3CB1017B" w14:textId="77777777" w:rsidR="00F67DDB" w:rsidRPr="0070080E" w:rsidRDefault="0094076D">
            <w:pPr>
              <w:pStyle w:val="Compact"/>
            </w:pPr>
            <w:r w:rsidRPr="0070080E">
              <w:t>Per article</w:t>
            </w:r>
          </w:p>
        </w:tc>
        <w:tc>
          <w:tcPr>
            <w:tcW w:w="3564" w:type="dxa"/>
          </w:tcPr>
          <w:p w14:paraId="3CB1017C" w14:textId="77777777" w:rsidR="00F67DDB" w:rsidRPr="0070080E" w:rsidRDefault="0094076D">
            <w:pPr>
              <w:pStyle w:val="Compact"/>
            </w:pPr>
            <w:r w:rsidRPr="0070080E">
              <w:t>Sentiment Extremity component of Shock Score</w:t>
            </w:r>
          </w:p>
        </w:tc>
      </w:tr>
      <w:tr w:rsidR="00F67DDB" w:rsidRPr="0070080E" w14:paraId="3CB10183" w14:textId="77777777" w:rsidTr="00C00816">
        <w:trPr>
          <w:trHeight w:val="792"/>
        </w:trPr>
        <w:tc>
          <w:tcPr>
            <w:tcW w:w="1404" w:type="dxa"/>
          </w:tcPr>
          <w:p w14:paraId="3CB1017E" w14:textId="77777777" w:rsidR="00F67DDB" w:rsidRPr="0070080E" w:rsidRDefault="0094076D">
            <w:pPr>
              <w:pStyle w:val="Compact"/>
            </w:pPr>
            <w:r w:rsidRPr="0070080E">
              <w:t>News summaries</w:t>
            </w:r>
          </w:p>
        </w:tc>
        <w:tc>
          <w:tcPr>
            <w:tcW w:w="1512" w:type="dxa"/>
          </w:tcPr>
          <w:p w14:paraId="3CB1017F" w14:textId="77777777" w:rsidR="00F67DDB" w:rsidRPr="0070080E" w:rsidRDefault="00000000">
            <w:pPr>
              <w:pStyle w:val="Compact"/>
            </w:pPr>
            <w:hyperlink r:id="rId320">
              <w:r w:rsidR="0094076D" w:rsidRPr="0070080E">
                <w:rPr>
                  <w:rStyle w:val="Hyperlink"/>
                </w:rPr>
                <w:t>Claude</w:t>
              </w:r>
            </w:hyperlink>
            <w:r w:rsidR="0094076D" w:rsidRPr="0070080E">
              <w:t xml:space="preserve"> (Anthropic)</w:t>
            </w:r>
          </w:p>
        </w:tc>
        <w:tc>
          <w:tcPr>
            <w:tcW w:w="1584" w:type="dxa"/>
          </w:tcPr>
          <w:p w14:paraId="3CB10180" w14:textId="77777777" w:rsidR="00F67DDB" w:rsidRPr="0070080E" w:rsidRDefault="0094076D">
            <w:pPr>
              <w:pStyle w:val="Compact"/>
            </w:pPr>
            <w:r w:rsidRPr="0070080E">
              <w:t>Computed at analysis time</w:t>
            </w:r>
          </w:p>
        </w:tc>
        <w:tc>
          <w:tcPr>
            <w:tcW w:w="1404" w:type="dxa"/>
          </w:tcPr>
          <w:p w14:paraId="3CB10181" w14:textId="77777777" w:rsidR="00F67DDB" w:rsidRPr="0070080E" w:rsidRDefault="0094076D">
            <w:pPr>
              <w:pStyle w:val="Compact"/>
            </w:pPr>
            <w:r w:rsidRPr="0070080E">
              <w:t>Per scenario</w:t>
            </w:r>
          </w:p>
        </w:tc>
        <w:tc>
          <w:tcPr>
            <w:tcW w:w="3564" w:type="dxa"/>
          </w:tcPr>
          <w:p w14:paraId="3CB10182" w14:textId="77777777" w:rsidR="00F67DDB" w:rsidRPr="0070080E" w:rsidRDefault="0094076D">
            <w:pPr>
              <w:pStyle w:val="Compact"/>
            </w:pPr>
            <w:r w:rsidRPr="0070080E">
              <w:t>Simplified article text for survey presentation</w:t>
            </w:r>
          </w:p>
        </w:tc>
      </w:tr>
    </w:tbl>
    <w:p w14:paraId="3CB10184" w14:textId="77777777" w:rsidR="00F67DDB" w:rsidRPr="0070080E" w:rsidRDefault="0094076D" w:rsidP="00D30A30">
      <w:pPr>
        <w:pStyle w:val="BodyText"/>
        <w:ind w:firstLine="0"/>
      </w:pPr>
      <w:r w:rsidRPr="0070080E">
        <w:rPr>
          <w:i/>
          <w:iCs/>
        </w:rPr>
        <w:t>Note.</w:t>
      </w:r>
      <w:r w:rsidRPr="0070080E">
        <w:t xml:space="preserve"> RTH = Regular Trading Hours (09:30–16:00 ET). All data were retrieved programmatically via the respective APIs or computed at analysis time using the pipeline scripts described in Section 4.1.</w:t>
      </w:r>
    </w:p>
    <w:p w14:paraId="3CB10185" w14:textId="77777777" w:rsidR="00F67DDB" w:rsidRPr="0070080E" w:rsidRDefault="0094076D">
      <w:pPr>
        <w:pStyle w:val="Heading3"/>
      </w:pPr>
      <w:bookmarkStart w:id="119" w:name="news-data"/>
      <w:bookmarkEnd w:id="118"/>
      <w:r w:rsidRPr="0070080E">
        <w:t>4.3.3 News Data</w:t>
      </w:r>
    </w:p>
    <w:p w14:paraId="3CB10186" w14:textId="49B8BEFD" w:rsidR="00F67DDB" w:rsidRPr="0070080E" w:rsidRDefault="0094076D">
      <w:pPr>
        <w:pStyle w:val="FirstParagraph"/>
      </w:pPr>
      <w:r w:rsidRPr="0070080E">
        <w:t>News articles for all portfolio constituents are obtained from Benzinga (</w:t>
      </w:r>
      <w:hyperlink r:id="rId321">
        <w:r w:rsidRPr="0070080E">
          <w:rPr>
            <w:rStyle w:val="Hyperlink"/>
          </w:rPr>
          <w:t>Benzinga, 2026</w:t>
        </w:r>
      </w:hyperlink>
      <w:r w:rsidRPr="0070080E">
        <w:t>) via the IBKR platform, covering January 2025</w:t>
      </w:r>
      <w:r w:rsidR="000A66AA">
        <w:t>—</w:t>
      </w:r>
      <w:r w:rsidRPr="0070080E">
        <w:t>April 2026. Each article includes a headline, publication timestamp, and full body text. Article-level timestamps enable precise attribution to 30-minute bars for shock bar identification (Section 4.3.4) and the Article Count component (Section 4.3.5).</w:t>
      </w:r>
    </w:p>
    <w:p w14:paraId="3CB10187" w14:textId="77777777" w:rsidR="00F67DDB" w:rsidRPr="0070080E" w:rsidRDefault="0094076D">
      <w:pPr>
        <w:pStyle w:val="BodyText"/>
      </w:pPr>
      <w:r w:rsidRPr="0070080E">
        <w:t xml:space="preserve">Article body text serves two downstream purposes. First, each article is scored by </w:t>
      </w:r>
      <w:hyperlink r:id="rId322">
        <w:r w:rsidRPr="0070080E">
          <w:rPr>
            <w:rStyle w:val="Hyperlink"/>
          </w:rPr>
          <w:t>FinBERT</w:t>
        </w:r>
      </w:hyperlink>
      <w:r w:rsidRPr="0070080E">
        <w:t xml:space="preserve"> (</w:t>
      </w:r>
      <w:hyperlink r:id="rId323">
        <w:r w:rsidRPr="0070080E">
          <w:rPr>
            <w:rStyle w:val="Hyperlink"/>
          </w:rPr>
          <w:t>Yang et al., 2020</w:t>
        </w:r>
      </w:hyperlink>
      <w:r w:rsidRPr="0070080E">
        <w:t>) for the Sentiment Extremity component (Section 4.3.5). Second, for selected scenarios, Claude (</w:t>
      </w:r>
      <w:hyperlink r:id="rId324">
        <w:r w:rsidRPr="0070080E">
          <w:rPr>
            <w:rStyle w:val="Hyperlink"/>
          </w:rPr>
          <w:t>Anthropic, 2026</w:t>
        </w:r>
      </w:hyperlink>
      <w:r w:rsidRPr="0070080E">
        <w:t>) produces a 2-to-3-sentence summary for presentation in the primary-data survey administered to portfolio managers (Section 4.4.2). Standardizing each news item to a consistent length, register, and information density removes extraneous variation in how scenarios read, so that respondents react to the news content itself rather than to differences in article length or writing style; the original article text is retained for sentiment scoring. The summarization prompt is documented in Appendix 2.</w:t>
      </w:r>
    </w:p>
    <w:p w14:paraId="3CB10188" w14:textId="77777777" w:rsidR="00F67DDB" w:rsidRPr="0070080E" w:rsidRDefault="0094076D">
      <w:pPr>
        <w:pStyle w:val="Heading3"/>
      </w:pPr>
      <w:bookmarkStart w:id="120" w:name="event-screening-and-scenario-selection"/>
      <w:bookmarkEnd w:id="119"/>
      <w:r w:rsidRPr="0070080E">
        <w:t>4.3.4 Event Screening and Scenario Selection</w:t>
      </w:r>
    </w:p>
    <w:p w14:paraId="3CB10189" w14:textId="77777777" w:rsidR="00F67DDB" w:rsidRPr="0070080E" w:rsidRDefault="0094076D">
      <w:pPr>
        <w:pStyle w:val="FirstParagraph"/>
      </w:pPr>
      <w:r w:rsidRPr="0070080E">
        <w:t>Candidate event days are identified through a three-stage screening process applied to each stock in the portfolio universe over the historical event window, using the 30-minute intraday price data described in Section 4.3.2. Rolling statistics are computed over a trailing 60-trading-day window.</w:t>
      </w:r>
    </w:p>
    <w:p w14:paraId="3CB1018A" w14:textId="0D7DE0D3" w:rsidR="00F67DDB" w:rsidRPr="0070080E" w:rsidRDefault="0094076D">
      <w:pPr>
        <w:pStyle w:val="BodyText"/>
      </w:pPr>
      <w:r w:rsidRPr="0070080E">
        <w:t>Stage 1</w:t>
      </w:r>
      <w:r w:rsidR="000A66AA">
        <w:t>—</w:t>
      </w:r>
      <w:r w:rsidRPr="0070080E">
        <w:t>Statistical screening. Compute rolling 60-trading-day historical volatility (standard deviation of daily log returns) and flag days where the absolute daily return exceeds 2.0 standard deviations from the trailing mean. To isolate firm-specific shocks from market-wide moves, candidates must also exhibit a relative abnormal return (stock return minus S&amp;P 500 return) exceeding 1.5 standard deviations of the stock’s historical relative return distribution.</w:t>
      </w:r>
    </w:p>
    <w:p w14:paraId="3CB1018B" w14:textId="327B8575" w:rsidR="00F67DDB" w:rsidRPr="0070080E" w:rsidRDefault="0094076D">
      <w:pPr>
        <w:pStyle w:val="BodyText"/>
      </w:pPr>
      <w:r w:rsidRPr="0070080E">
        <w:t>Stage 1B</w:t>
      </w:r>
      <w:r w:rsidR="000A66AA">
        <w:t>—</w:t>
      </w:r>
      <w:r w:rsidRPr="0070080E">
        <w:t>Within-day causal plausibility. The shock bar return (absolute return of the bar assigned to the news article) must exceed 1.5 times the median absolute 30-minute bar return across non-shock bars on the same day. Candidates without a discernible price acceleration at the shock timestamp are excluded on ecological-validity grounds.</w:t>
      </w:r>
    </w:p>
    <w:p w14:paraId="3CB1018C" w14:textId="0571D8F1" w:rsidR="00F67DDB" w:rsidRPr="0070080E" w:rsidRDefault="0094076D">
      <w:pPr>
        <w:pStyle w:val="BodyText"/>
      </w:pPr>
      <w:r w:rsidRPr="0070080E">
        <w:t>Stage 2</w:t>
      </w:r>
      <w:r w:rsidR="000A66AA">
        <w:t>—</w:t>
      </w:r>
      <w:r w:rsidRPr="0070080E">
        <w:t xml:space="preserve">News attribution. The Benzinga corpus must contain at least one firm-specific article whose timestamp falls within the shock bar or the immediately preceding 30-minute bar. Qualifying articles must report a specific corporate event (earnings, regulatory, management, legal, or product) rather than generic commentary. Articles published outside RTH are assigned to the first bar of the next session (post-close) or the last bar of the prior session (pre-open). Multiple articles within the same bar are a single shock event;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t xml:space="preserve"> records the number of articles in that bar.</w:t>
      </w:r>
    </w:p>
    <w:p w14:paraId="1397CB2F" w14:textId="2F732EDF" w:rsidR="00D30A30" w:rsidRPr="0070080E" w:rsidRDefault="0094076D" w:rsidP="00C00816">
      <w:pPr>
        <w:pStyle w:val="BodyText"/>
      </w:pPr>
      <w:r w:rsidRPr="0070080E">
        <w:t xml:space="preserve">The output is a set of candidate stock-day-news triples with pre-computed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values (Section 4.3.5), from which final scenarios are selected per the balance constraints in Table 4.3.</w:t>
      </w:r>
    </w:p>
    <w:p w14:paraId="3CB1018E" w14:textId="19314E5B" w:rsidR="00F67DDB" w:rsidRPr="0070080E" w:rsidRDefault="0094076D" w:rsidP="00D30A30">
      <w:pPr>
        <w:pStyle w:val="Tableid"/>
      </w:pPr>
      <w:r w:rsidRPr="0070080E">
        <w:t>Table 4.3</w:t>
      </w:r>
    </w:p>
    <w:p w14:paraId="3CB1018F" w14:textId="77777777" w:rsidR="00F67DDB" w:rsidRPr="0070080E" w:rsidRDefault="0094076D" w:rsidP="00D30A30">
      <w:pPr>
        <w:pStyle w:val="TableCaption"/>
      </w:pPr>
      <w:r w:rsidRPr="0070080E">
        <w:t>Scenario Selection Balance Constraints</w:t>
      </w:r>
    </w:p>
    <w:tbl>
      <w:tblPr>
        <w:tblStyle w:val="Table"/>
        <w:tblW w:w="5000" w:type="pct"/>
        <w:tblLayout w:type="fixed"/>
        <w:tblLook w:val="0020" w:firstRow="1" w:lastRow="0" w:firstColumn="0" w:lastColumn="0" w:noHBand="0" w:noVBand="0"/>
      </w:tblPr>
      <w:tblGrid>
        <w:gridCol w:w="1863"/>
        <w:gridCol w:w="4347"/>
        <w:gridCol w:w="3150"/>
      </w:tblGrid>
      <w:tr w:rsidR="00F67DDB" w:rsidRPr="0070080E" w14:paraId="3CB10193" w14:textId="77777777" w:rsidTr="00C00816">
        <w:trPr>
          <w:cnfStyle w:val="100000000000" w:firstRow="1" w:lastRow="0" w:firstColumn="0" w:lastColumn="0" w:oddVBand="0" w:evenVBand="0" w:oddHBand="0" w:evenHBand="0" w:firstRowFirstColumn="0" w:firstRowLastColumn="0" w:lastRowFirstColumn="0" w:lastRowLastColumn="0"/>
          <w:tblHeader/>
        </w:trPr>
        <w:tc>
          <w:tcPr>
            <w:tcW w:w="1863" w:type="dxa"/>
          </w:tcPr>
          <w:p w14:paraId="3CB10190" w14:textId="77777777" w:rsidR="00F67DDB" w:rsidRPr="0070080E" w:rsidRDefault="0094076D">
            <w:pPr>
              <w:pStyle w:val="Compact"/>
            </w:pPr>
            <w:r w:rsidRPr="0070080E">
              <w:t>Constraint</w:t>
            </w:r>
          </w:p>
        </w:tc>
        <w:tc>
          <w:tcPr>
            <w:tcW w:w="4347" w:type="dxa"/>
          </w:tcPr>
          <w:p w14:paraId="3CB10191" w14:textId="77777777" w:rsidR="00F67DDB" w:rsidRPr="0070080E" w:rsidRDefault="0094076D">
            <w:pPr>
              <w:pStyle w:val="Compact"/>
            </w:pPr>
            <w:r w:rsidRPr="0070080E">
              <w:t>Requirement</w:t>
            </w:r>
          </w:p>
        </w:tc>
        <w:tc>
          <w:tcPr>
            <w:tcW w:w="3150" w:type="dxa"/>
          </w:tcPr>
          <w:p w14:paraId="3CB10192" w14:textId="77777777" w:rsidR="00F67DDB" w:rsidRPr="0070080E" w:rsidRDefault="0094076D">
            <w:pPr>
              <w:pStyle w:val="Compact"/>
            </w:pPr>
            <w:r w:rsidRPr="0070080E">
              <w:t>Rationale</w:t>
            </w:r>
          </w:p>
        </w:tc>
      </w:tr>
      <w:tr w:rsidR="00F67DDB" w:rsidRPr="0070080E" w14:paraId="3CB10197" w14:textId="77777777" w:rsidTr="00C00816">
        <w:tc>
          <w:tcPr>
            <w:tcW w:w="1863" w:type="dxa"/>
          </w:tcPr>
          <w:p w14:paraId="3CB10194" w14:textId="77777777" w:rsidR="00F67DDB" w:rsidRPr="0070080E" w:rsidRDefault="0094076D">
            <w:pPr>
              <w:pStyle w:val="Compact"/>
            </w:pPr>
            <w:r w:rsidRPr="0070080E">
              <w:t>Shock intensity variation</w:t>
            </w:r>
          </w:p>
        </w:tc>
        <w:tc>
          <w:tcPr>
            <w:tcW w:w="4347" w:type="dxa"/>
          </w:tcPr>
          <w:p w14:paraId="3CB10195" w14:textId="77777777" w:rsidR="00F67DDB" w:rsidRPr="0070080E" w:rsidRDefault="0094076D">
            <w:pPr>
              <w:pStyle w:val="Compact"/>
            </w:pPr>
            <w:r w:rsidRPr="0070080E">
              <w:t>Approximately equal representation across low (below 33rd percentile of Shock Score), medium (33rd to 67th), and high (above 67th) intensity events</w:t>
            </w:r>
          </w:p>
        </w:tc>
        <w:tc>
          <w:tcPr>
            <w:tcW w:w="3150" w:type="dxa"/>
          </w:tcPr>
          <w:p w14:paraId="3CB10196" w14:textId="77777777" w:rsidR="00F67DDB" w:rsidRPr="0070080E" w:rsidRDefault="0094076D">
            <w:pPr>
              <w:pStyle w:val="Compact"/>
            </w:pPr>
            <w:r w:rsidRPr="0070080E">
              <w:t>Ensures adequate variation in the independent variable for the H1 regression</w:t>
            </w:r>
          </w:p>
        </w:tc>
      </w:tr>
      <w:tr w:rsidR="00F67DDB" w:rsidRPr="0070080E" w14:paraId="3CB1019B" w14:textId="77777777" w:rsidTr="00C00816">
        <w:tc>
          <w:tcPr>
            <w:tcW w:w="1863" w:type="dxa"/>
          </w:tcPr>
          <w:p w14:paraId="3CB10198" w14:textId="77777777" w:rsidR="00F67DDB" w:rsidRPr="0070080E" w:rsidRDefault="0094076D">
            <w:pPr>
              <w:pStyle w:val="Compact"/>
            </w:pPr>
            <w:r w:rsidRPr="0070080E">
              <w:t>Shock directionality</w:t>
            </w:r>
          </w:p>
        </w:tc>
        <w:tc>
          <w:tcPr>
            <w:tcW w:w="4347" w:type="dxa"/>
          </w:tcPr>
          <w:p w14:paraId="3CB10199" w14:textId="77777777" w:rsidR="00F67DDB" w:rsidRPr="0070080E" w:rsidRDefault="0094076D">
            <w:pPr>
              <w:pStyle w:val="Compact"/>
            </w:pPr>
            <w:r w:rsidRPr="0070080E">
              <w:t>Approximately equal proportions of negative and positive shocks</w:t>
            </w:r>
          </w:p>
        </w:tc>
        <w:tc>
          <w:tcPr>
            <w:tcW w:w="3150" w:type="dxa"/>
          </w:tcPr>
          <w:p w14:paraId="3CB1019A" w14:textId="77777777" w:rsidR="00F67DDB" w:rsidRPr="0070080E" w:rsidRDefault="0094076D">
            <w:pPr>
              <w:pStyle w:val="Compact"/>
            </w:pPr>
            <w:r w:rsidRPr="0070080E">
              <w:t>Prevents demand characteristics from one-sided scenarios; captures both sides of the NRS scale</w:t>
            </w:r>
          </w:p>
        </w:tc>
      </w:tr>
      <w:tr w:rsidR="00F67DDB" w:rsidRPr="0070080E" w14:paraId="3CB1019F" w14:textId="77777777" w:rsidTr="00C00816">
        <w:trPr>
          <w:trHeight w:val="909"/>
        </w:trPr>
        <w:tc>
          <w:tcPr>
            <w:tcW w:w="1863" w:type="dxa"/>
          </w:tcPr>
          <w:p w14:paraId="3CB1019C" w14:textId="77777777" w:rsidR="00F67DDB" w:rsidRPr="0070080E" w:rsidRDefault="0094076D">
            <w:pPr>
              <w:pStyle w:val="Compact"/>
            </w:pPr>
            <w:r w:rsidRPr="0070080E">
              <w:t>Event type diversity</w:t>
            </w:r>
          </w:p>
        </w:tc>
        <w:tc>
          <w:tcPr>
            <w:tcW w:w="4347" w:type="dxa"/>
          </w:tcPr>
          <w:p w14:paraId="3CB1019D" w14:textId="77777777" w:rsidR="00F67DDB" w:rsidRPr="0070080E" w:rsidRDefault="0094076D">
            <w:pPr>
              <w:pStyle w:val="Compact"/>
            </w:pPr>
            <w:r w:rsidRPr="0070080E">
              <w:t>At least 3 distinct event types (e.g., earnings, regulatory, management, product, macro-related)</w:t>
            </w:r>
          </w:p>
        </w:tc>
        <w:tc>
          <w:tcPr>
            <w:tcW w:w="3150" w:type="dxa"/>
          </w:tcPr>
          <w:p w14:paraId="3CB1019E" w14:textId="77777777" w:rsidR="00F67DDB" w:rsidRPr="0070080E" w:rsidRDefault="0094076D">
            <w:pPr>
              <w:pStyle w:val="Compact"/>
            </w:pPr>
            <w:r w:rsidRPr="0070080E">
              <w:t>Ensures Shock Score variation reflects genuine shock character, not single-type artifacts</w:t>
            </w:r>
          </w:p>
        </w:tc>
      </w:tr>
      <w:tr w:rsidR="00F67DDB" w:rsidRPr="0070080E" w14:paraId="3CB101A3" w14:textId="77777777" w:rsidTr="00C00816">
        <w:trPr>
          <w:trHeight w:val="990"/>
        </w:trPr>
        <w:tc>
          <w:tcPr>
            <w:tcW w:w="1863" w:type="dxa"/>
          </w:tcPr>
          <w:p w14:paraId="3CB101A0" w14:textId="77777777" w:rsidR="00F67DDB" w:rsidRPr="0070080E" w:rsidRDefault="0094076D">
            <w:pPr>
              <w:pStyle w:val="Compact"/>
            </w:pPr>
            <w:r w:rsidRPr="0070080E">
              <w:t>Article count preference</w:t>
            </w:r>
          </w:p>
        </w:tc>
        <w:tc>
          <w:tcPr>
            <w:tcW w:w="4347" w:type="dxa"/>
          </w:tcPr>
          <w:p w14:paraId="3CB101A1" w14:textId="77777777" w:rsidR="00F67DDB" w:rsidRPr="0070080E" w:rsidRDefault="0094076D">
            <w:pPr>
              <w:pStyle w:val="Compact"/>
            </w:pPr>
            <w:r w:rsidRPr="0070080E">
              <w:t>Article Count = 1 preferred; Article Count = 2 acceptable if same event and same sentiment sign; Article Count ≥ 3 only if no alternative exists</w:t>
            </w:r>
          </w:p>
        </w:tc>
        <w:tc>
          <w:tcPr>
            <w:tcW w:w="3150" w:type="dxa"/>
          </w:tcPr>
          <w:p w14:paraId="3CB101A2" w14:textId="77777777" w:rsidR="00F67DDB" w:rsidRPr="0070080E" w:rsidRDefault="0094076D">
            <w:pPr>
              <w:pStyle w:val="Compact"/>
            </w:pPr>
            <w:r w:rsidRPr="0070080E">
              <w:t>Presents unambiguous information signal to respondents</w:t>
            </w:r>
          </w:p>
        </w:tc>
      </w:tr>
      <w:tr w:rsidR="00F67DDB" w:rsidRPr="0070080E" w14:paraId="3CB101A7" w14:textId="77777777" w:rsidTr="00C00816">
        <w:trPr>
          <w:trHeight w:val="999"/>
        </w:trPr>
        <w:tc>
          <w:tcPr>
            <w:tcW w:w="1863" w:type="dxa"/>
          </w:tcPr>
          <w:p w14:paraId="3CB101A4" w14:textId="77777777" w:rsidR="00F67DDB" w:rsidRPr="0070080E" w:rsidRDefault="0094076D">
            <w:pPr>
              <w:pStyle w:val="Compact"/>
            </w:pPr>
            <w:r w:rsidRPr="0070080E">
              <w:t>Opening-bar constraint</w:t>
            </w:r>
          </w:p>
        </w:tc>
        <w:tc>
          <w:tcPr>
            <w:tcW w:w="4347" w:type="dxa"/>
          </w:tcPr>
          <w:p w14:paraId="3CB101A5" w14:textId="77777777" w:rsidR="00F67DDB" w:rsidRPr="0070080E" w:rsidRDefault="0094076D">
            <w:pPr>
              <w:pStyle w:val="Compact"/>
            </w:pPr>
            <w:r w:rsidRPr="0070080E">
              <w:t>Opening bar (09:30-10:00 ET) shocks require 2.0x median bar ratio (vs 1.5x for other bars); max one-third of block scenarios in opening bar</w:t>
            </w:r>
          </w:p>
        </w:tc>
        <w:tc>
          <w:tcPr>
            <w:tcW w:w="3150" w:type="dxa"/>
          </w:tcPr>
          <w:p w14:paraId="3CB101A6" w14:textId="77777777" w:rsidR="00F67DDB" w:rsidRPr="0070080E" w:rsidRDefault="0094076D">
            <w:pPr>
              <w:pStyle w:val="Compact"/>
            </w:pPr>
            <w:r w:rsidRPr="0070080E">
              <w:t>Distinguishes shock from mechanical opening-period volatility</w:t>
            </w:r>
          </w:p>
        </w:tc>
      </w:tr>
      <w:tr w:rsidR="00F67DDB" w:rsidRPr="0070080E" w14:paraId="3CB101AB" w14:textId="77777777" w:rsidTr="00C00816">
        <w:trPr>
          <w:trHeight w:val="981"/>
        </w:trPr>
        <w:tc>
          <w:tcPr>
            <w:tcW w:w="1863" w:type="dxa"/>
          </w:tcPr>
          <w:p w14:paraId="3CB101A8" w14:textId="77777777" w:rsidR="00F67DDB" w:rsidRPr="0070080E" w:rsidRDefault="0094076D">
            <w:pPr>
              <w:pStyle w:val="Compact"/>
            </w:pPr>
            <w:r w:rsidRPr="0070080E">
              <w:t>Market regime balance</w:t>
            </w:r>
          </w:p>
        </w:tc>
        <w:tc>
          <w:tcPr>
            <w:tcW w:w="4347" w:type="dxa"/>
          </w:tcPr>
          <w:p w14:paraId="3CB101A9" w14:textId="77777777" w:rsidR="00F67DDB" w:rsidRPr="0070080E" w:rsidRDefault="0094076D">
            <w:pPr>
              <w:pStyle w:val="Compact"/>
            </w:pPr>
            <w:r w:rsidRPr="0070080E">
              <w:t>Events from at least two distinct regimes (rising, volatile, declining); trailing 20-day market return recorded as control</w:t>
            </w:r>
          </w:p>
        </w:tc>
        <w:tc>
          <w:tcPr>
            <w:tcW w:w="3150" w:type="dxa"/>
          </w:tcPr>
          <w:p w14:paraId="3CB101AA" w14:textId="77777777" w:rsidR="00F67DDB" w:rsidRPr="0070080E" w:rsidRDefault="0094076D">
            <w:pPr>
              <w:pStyle w:val="Compact"/>
            </w:pPr>
            <w:r w:rsidRPr="0070080E">
              <w:t>Prevents regime-specific bias in NRS responses</w:t>
            </w:r>
          </w:p>
        </w:tc>
      </w:tr>
      <w:tr w:rsidR="00F67DDB" w:rsidRPr="0070080E" w14:paraId="3CB101AF" w14:textId="77777777" w:rsidTr="00C00816">
        <w:trPr>
          <w:trHeight w:val="891"/>
        </w:trPr>
        <w:tc>
          <w:tcPr>
            <w:tcW w:w="1863" w:type="dxa"/>
          </w:tcPr>
          <w:p w14:paraId="3CB101AC" w14:textId="77777777" w:rsidR="00F67DDB" w:rsidRPr="0070080E" w:rsidRDefault="0094076D">
            <w:pPr>
              <w:pStyle w:val="Compact"/>
            </w:pPr>
            <w:r w:rsidRPr="0070080E">
              <w:t>Sector non-repetition</w:t>
            </w:r>
          </w:p>
        </w:tc>
        <w:tc>
          <w:tcPr>
            <w:tcW w:w="4347" w:type="dxa"/>
          </w:tcPr>
          <w:p w14:paraId="3CB101AD" w14:textId="77777777" w:rsidR="00F67DDB" w:rsidRPr="0070080E" w:rsidRDefault="0094076D">
            <w:pPr>
              <w:pStyle w:val="Compact"/>
            </w:pPr>
            <w:r w:rsidRPr="0070080E">
              <w:t>No two scenarios within a block from the same GICS sector; max two per sector if infeasible</w:t>
            </w:r>
          </w:p>
        </w:tc>
        <w:tc>
          <w:tcPr>
            <w:tcW w:w="3150" w:type="dxa"/>
          </w:tcPr>
          <w:p w14:paraId="3CB101AE" w14:textId="77777777" w:rsidR="00F67DDB" w:rsidRPr="0070080E" w:rsidRDefault="0094076D">
            <w:pPr>
              <w:pStyle w:val="Compact"/>
            </w:pPr>
            <w:r w:rsidRPr="0070080E">
              <w:t>Prevents sector-specific expertise confound</w:t>
            </w:r>
          </w:p>
        </w:tc>
      </w:tr>
    </w:tbl>
    <w:p w14:paraId="3CB101B0" w14:textId="77777777" w:rsidR="00F67DDB" w:rsidRPr="0070080E" w:rsidRDefault="0094076D" w:rsidP="00D30A30">
      <w:pPr>
        <w:pStyle w:val="BodyText"/>
        <w:ind w:firstLine="0"/>
      </w:pPr>
      <w:r w:rsidRPr="0070080E">
        <w:rPr>
          <w:i/>
          <w:iCs/>
        </w:rPr>
        <w:t>Note.</w:t>
      </w:r>
      <w:r w:rsidRPr="0070080E">
        <w:t xml:space="preserve"> Constraints are applied sequentially during the scenario selection procedure described in Section 4.3.4. Percentile thresholds are computed over the full candidate pool of screened events for each block. GICS = Global Industry Classification Standard.</w:t>
      </w:r>
    </w:p>
    <w:p w14:paraId="3CB101B1" w14:textId="77777777" w:rsidR="00F67DDB" w:rsidRPr="0070080E" w:rsidRDefault="0094076D">
      <w:pPr>
        <w:pStyle w:val="BodyText"/>
      </w:pPr>
      <w:r w:rsidRPr="0070080E">
        <w:t xml:space="preserve">Each scenario is self-contained, allowing the manager to respond from the information presented without external context. When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t xml:space="preserve"> &gt; 1, the instrument presents only the headline with the highest absolute FinBERT sentiment score, although Shock Score components are computed from all articles in the shock bar. Summaries are generated via Claude (Anthropic) to ensure consistent length (150–200 words), register, and information density (Section 4.3.3).</w:t>
      </w:r>
    </w:p>
    <w:p w14:paraId="3CB101B2" w14:textId="77777777" w:rsidR="00F67DDB" w:rsidRPr="0070080E" w:rsidRDefault="0094076D">
      <w:pPr>
        <w:pStyle w:val="Heading3"/>
      </w:pPr>
      <w:bookmarkStart w:id="121" w:name="shock-score-component-definitions"/>
      <w:bookmarkEnd w:id="120"/>
      <w:r w:rsidRPr="0070080E">
        <w:t>4.3.5 Shock Score Component Definitions</w:t>
      </w:r>
    </w:p>
    <w:p w14:paraId="3CB101B3" w14:textId="77777777" w:rsidR="00F67DDB" w:rsidRPr="0070080E" w:rsidRDefault="0094076D">
      <w:pPr>
        <w:pStyle w:val="FirstParagraph"/>
      </w:pPr>
      <w:r w:rsidRPr="0070080E">
        <w:t xml:space="preserve">The composite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constructed from four event-level components. Each component is standardized to mean zero and unit variance across all scenarios prior to principal component analysis (PCA).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defined as the first principal component obtained from the standardized component vector, following the established approach of using PCA to derive composite indices in finance (</w:t>
      </w:r>
      <w:hyperlink r:id="rId325">
        <w:r w:rsidRPr="0070080E">
          <w:rPr>
            <w:rStyle w:val="Hyperlink"/>
          </w:rPr>
          <w:t>Baker &amp; Wurgler, 2006</w:t>
        </w:r>
      </w:hyperlink>
      <w:r w:rsidRPr="0070080E">
        <w:t>).</w:t>
      </w:r>
    </w:p>
    <w:p w14:paraId="3CB101B4" w14:textId="54356A37" w:rsidR="00F67DDB" w:rsidRPr="0070080E" w:rsidRDefault="0094076D" w:rsidP="00B815C6">
      <w:pPr>
        <w:spacing w:after="200" w:line="240" w:lineRule="auto"/>
        <w:ind w:firstLine="0"/>
        <w:rPr>
          <w:b/>
          <w:bCs/>
        </w:rPr>
      </w:pPr>
      <w:r w:rsidRPr="0070080E">
        <w:rPr>
          <w:b/>
          <w:bCs/>
        </w:rPr>
        <w:t>Figure 4.2</w:t>
      </w:r>
    </w:p>
    <w:p w14:paraId="3CB101B5" w14:textId="77777777" w:rsidR="00F67DDB" w:rsidRPr="0070080E" w:rsidRDefault="0094076D" w:rsidP="00D30A30">
      <w:pPr>
        <w:pStyle w:val="TableCaption"/>
      </w:pPr>
      <w:r w:rsidRPr="0070080E">
        <w:t>Shock Score Composite Construction</w:t>
      </w:r>
    </w:p>
    <w:p w14:paraId="3CB101B6" w14:textId="77777777" w:rsidR="00F67DDB" w:rsidRPr="0070080E" w:rsidRDefault="0094076D" w:rsidP="00D30A30">
      <w:pPr>
        <w:pStyle w:val="Compact"/>
      </w:pPr>
      <w:r w:rsidRPr="0070080E">
        <w:rPr>
          <w:noProof/>
        </w:rPr>
        <w:drawing>
          <wp:inline distT="0" distB="0" distL="0" distR="0" wp14:anchorId="3CB1081D" wp14:editId="3CB1081E">
            <wp:extent cx="5943600" cy="2622176"/>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images/img_shock_score_components.svg"/>
                    <pic:cNvPicPr>
                      <a:picLocks noChangeAspect="1" noChangeArrowheads="1"/>
                    </pic:cNvPicPr>
                  </pic:nvPicPr>
                  <pic:blipFill>
                    <a:blip r:embed="rId326">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943600" cy="2622176"/>
                    </a:xfrm>
                    <a:prstGeom prst="rect">
                      <a:avLst/>
                    </a:prstGeom>
                    <a:noFill/>
                    <a:ln w="9525">
                      <a:noFill/>
                      <a:headEnd/>
                      <a:tailEnd/>
                    </a:ln>
                  </pic:spPr>
                </pic:pic>
              </a:graphicData>
            </a:graphic>
          </wp:inline>
        </w:drawing>
      </w:r>
    </w:p>
    <w:p w14:paraId="3CB101B7" w14:textId="124D7108" w:rsidR="00F67DDB" w:rsidRPr="0070080E" w:rsidRDefault="0094076D" w:rsidP="00D30A30">
      <w:pPr>
        <w:pStyle w:val="BodyText"/>
        <w:ind w:firstLine="0"/>
      </w:pPr>
      <w:r w:rsidRPr="0070080E">
        <w:rPr>
          <w:i/>
          <w:iCs/>
        </w:rPr>
        <w:t>Note.</w:t>
      </w:r>
      <w:r w:rsidRPr="0070080E">
        <w:t xml:space="preserve"> Four event-level components (Article Count, Sentiment Extremity, Attention Intensity, and Event-Type Severity) are standardized and reduced via principal component analysis to produce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composite index. Original figure created for this study</w:t>
      </w:r>
      <w:r w:rsidR="007F0C2B">
        <w:t xml:space="preserve"> (2026)</w:t>
      </w:r>
      <w:r w:rsidRPr="0070080E">
        <w:t>.</w:t>
      </w:r>
    </w:p>
    <w:p w14:paraId="3CB101B8" w14:textId="77777777" w:rsidR="00F67DDB" w:rsidRPr="0070080E" w:rsidRDefault="0094076D">
      <w:pPr>
        <w:pStyle w:val="BodyText"/>
      </w:pPr>
      <w:r w:rsidRPr="0070080E">
        <w:t xml:space="preserve">Let </w:t>
      </w:r>
      <m:oMath>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w:r w:rsidRPr="0070080E">
        <w:t xml:space="preserve"> be a vector of </w:t>
      </w:r>
      <m:oMath>
        <m:r>
          <w:rPr>
            <w:rFonts w:ascii="Cambria Math" w:hAnsi="Cambria Math"/>
          </w:rPr>
          <m:t>K</m:t>
        </m:r>
      </m:oMath>
      <w:r w:rsidRPr="0070080E">
        <w:t xml:space="preserve"> standardized shock components for event e, with </w:t>
      </w:r>
      <m:oMath>
        <m:r>
          <w:rPr>
            <w:rFonts w:ascii="Cambria Math" w:hAnsi="Cambria Math"/>
          </w:rPr>
          <m:t>K</m:t>
        </m:r>
        <m:r>
          <m:rPr>
            <m:sty m:val="p"/>
          </m:rPr>
          <w:rPr>
            <w:rFonts w:ascii="Cambria Math" w:hAnsi="Cambria Math"/>
          </w:rPr>
          <m:t>=</m:t>
        </m:r>
        <m:r>
          <w:rPr>
            <w:rFonts w:ascii="Cambria Math" w:hAnsi="Cambria Math"/>
          </w:rPr>
          <m:t>4</m:t>
        </m:r>
      </m:oMath>
      <w:r w:rsidRPr="0070080E">
        <w:t xml:space="preserve">. PCA produces a loading vector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rsidRPr="0070080E">
        <w:t xml:space="preserve"> that defines the first principal component:</w:t>
      </w:r>
    </w:p>
    <w:p w14:paraId="3CB101B9"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m:oMathPara>
    </w:p>
    <w:p w14:paraId="3CB101BA" w14:textId="77777777" w:rsidR="00F67DDB" w:rsidRPr="0070080E" w:rsidRDefault="0094076D">
      <w:pPr>
        <w:pStyle w:val="FirstParagraph"/>
      </w:pPr>
      <w:r w:rsidRPr="0070080E">
        <w:t xml:space="preserve">Here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rsidRPr="0070080E">
        <w:t xml:space="preserve"> is a four-element weight vector, and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the weighted sum of the standardized components, </w:t>
      </w:r>
      <m:oMath>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w:r w:rsidRPr="0070080E">
        <w:t xml:space="preserve">, with each weight given by the corresponding component’s loading on the first principal component. PCA determines these weights empirically rather than by assumption: it identifies the unit-length direction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rsidRPr="0070080E">
        <w:t xml:space="preserve"> along which the four standardized components jointly vary the most, so that the resulting composite captures the maximum possible share of their common variance. Components that co-move strongly with this dominant pattern receive larger absolute weights, while components that move more independently receive smaller ones; the weighting therefore reflects the empirical covariance structure of the four shock characteristics rather than a researcher-imposed scheme.</w:t>
      </w:r>
    </w:p>
    <w:p w14:paraId="3CB101BB" w14:textId="77777777" w:rsidR="00F67DDB" w:rsidRPr="0070080E" w:rsidRDefault="0094076D">
      <w:pPr>
        <w:pStyle w:val="BodyText"/>
      </w:pPr>
      <w:r w:rsidRPr="0070080E">
        <w:t>The first principal component is chosen because it provides a single index capturing the dominant common variation across shock characteristics. Collapsing the four correlated components into one composite means that H1 can be tested through a single coefficient (β₁) rather than four separate ones: this avoids the multicollinearity that the components’ shared variation would otherwise induce, reduces the inflated Type-I error rate that testing several correlated predictors simultaneously would carry, and yields one interpretable effect size for shock intensity. The composite thereby enables parsimonious hypothesis testing while preserving interpretability through the dashboard signals (Section 4.3.6). PCA loadings and explained variance are reported in Chapter 5.</w:t>
      </w:r>
    </w:p>
    <w:p w14:paraId="3CB101BC" w14:textId="77777777" w:rsidR="00F67DDB" w:rsidRPr="0070080E" w:rsidRDefault="0094076D">
      <w:pPr>
        <w:pStyle w:val="BodyText"/>
      </w:pPr>
      <w:r w:rsidRPr="0070080E">
        <w:t>The four components are defined in Table 4.4 and elaborated below.</w:t>
      </w:r>
    </w:p>
    <w:p w14:paraId="38F8A1DD" w14:textId="77777777" w:rsidR="00B815C6" w:rsidRPr="0070080E" w:rsidRDefault="00B815C6">
      <w:pPr>
        <w:spacing w:after="200" w:line="240" w:lineRule="auto"/>
        <w:ind w:firstLine="0"/>
        <w:rPr>
          <w:b/>
          <w:bCs/>
        </w:rPr>
      </w:pPr>
      <w:r w:rsidRPr="0070080E">
        <w:rPr>
          <w:b/>
          <w:bCs/>
        </w:rPr>
        <w:br w:type="page"/>
      </w:r>
    </w:p>
    <w:p w14:paraId="3CB101BD" w14:textId="2038AAAE" w:rsidR="00F67DDB" w:rsidRPr="0070080E" w:rsidRDefault="0094076D" w:rsidP="00B815C6">
      <w:pPr>
        <w:pStyle w:val="Tableid"/>
      </w:pPr>
      <w:r w:rsidRPr="0070080E">
        <w:t>Table 4.4</w:t>
      </w:r>
    </w:p>
    <w:p w14:paraId="3CB101BE" w14:textId="77777777" w:rsidR="00F67DDB" w:rsidRPr="0070080E" w:rsidRDefault="0094076D" w:rsidP="00B815C6">
      <w:pPr>
        <w:pStyle w:val="TableCaption"/>
      </w:pPr>
      <w:r w:rsidRPr="0070080E">
        <w:t>Shock Score Components</w:t>
      </w:r>
    </w:p>
    <w:tbl>
      <w:tblPr>
        <w:tblStyle w:val="Table"/>
        <w:tblW w:w="5423" w:type="pct"/>
        <w:tblInd w:w="-342" w:type="dxa"/>
        <w:tblLayout w:type="fixed"/>
        <w:tblLook w:val="0020" w:firstRow="1" w:lastRow="0" w:firstColumn="0" w:lastColumn="0" w:noHBand="0" w:noVBand="0"/>
      </w:tblPr>
      <w:tblGrid>
        <w:gridCol w:w="1242"/>
        <w:gridCol w:w="1304"/>
        <w:gridCol w:w="2204"/>
        <w:gridCol w:w="2254"/>
        <w:gridCol w:w="3148"/>
      </w:tblGrid>
      <w:tr w:rsidR="00F67DDB" w:rsidRPr="0070080E" w14:paraId="3CB101C4" w14:textId="77777777" w:rsidTr="00C00816">
        <w:trPr>
          <w:cnfStyle w:val="100000000000" w:firstRow="1" w:lastRow="0" w:firstColumn="0" w:lastColumn="0" w:oddVBand="0" w:evenVBand="0" w:oddHBand="0" w:evenHBand="0" w:firstRowFirstColumn="0" w:firstRowLastColumn="0" w:lastRowFirstColumn="0" w:lastRowLastColumn="0"/>
          <w:tblHeader/>
        </w:trPr>
        <w:tc>
          <w:tcPr>
            <w:tcW w:w="1242" w:type="dxa"/>
          </w:tcPr>
          <w:p w14:paraId="3CB101BF" w14:textId="77777777" w:rsidR="00F67DDB" w:rsidRPr="0070080E" w:rsidRDefault="0094076D">
            <w:pPr>
              <w:pStyle w:val="Compact"/>
            </w:pPr>
            <w:r w:rsidRPr="0070080E">
              <w:t>Component</w:t>
            </w:r>
          </w:p>
        </w:tc>
        <w:tc>
          <w:tcPr>
            <w:tcW w:w="1304" w:type="dxa"/>
          </w:tcPr>
          <w:p w14:paraId="3CB101C0" w14:textId="77777777" w:rsidR="00F67DDB" w:rsidRPr="0070080E" w:rsidRDefault="0094076D">
            <w:pPr>
              <w:pStyle w:val="Compact"/>
            </w:pPr>
            <w:r w:rsidRPr="0070080E">
              <w:t>Abbreviation</w:t>
            </w:r>
          </w:p>
        </w:tc>
        <w:tc>
          <w:tcPr>
            <w:tcW w:w="2204" w:type="dxa"/>
          </w:tcPr>
          <w:p w14:paraId="3CB101C1" w14:textId="77777777" w:rsidR="00F67DDB" w:rsidRPr="0070080E" w:rsidRDefault="0094076D">
            <w:pPr>
              <w:pStyle w:val="Compact"/>
            </w:pPr>
            <w:r w:rsidRPr="0070080E">
              <w:t>Measure</w:t>
            </w:r>
          </w:p>
        </w:tc>
        <w:tc>
          <w:tcPr>
            <w:tcW w:w="2254" w:type="dxa"/>
          </w:tcPr>
          <w:p w14:paraId="3CB101C2" w14:textId="77777777" w:rsidR="00F67DDB" w:rsidRPr="0070080E" w:rsidRDefault="0094076D">
            <w:pPr>
              <w:pStyle w:val="Compact"/>
            </w:pPr>
            <w:r w:rsidRPr="0070080E">
              <w:t>Data Source</w:t>
            </w:r>
          </w:p>
        </w:tc>
        <w:tc>
          <w:tcPr>
            <w:tcW w:w="3148" w:type="dxa"/>
          </w:tcPr>
          <w:p w14:paraId="3CB101C3" w14:textId="77777777" w:rsidR="00F67DDB" w:rsidRPr="0070080E" w:rsidRDefault="0094076D">
            <w:pPr>
              <w:pStyle w:val="Compact"/>
            </w:pPr>
            <w:r w:rsidRPr="0070080E">
              <w:t>Computation</w:t>
            </w:r>
          </w:p>
        </w:tc>
      </w:tr>
      <w:tr w:rsidR="00F67DDB" w:rsidRPr="0070080E" w14:paraId="3CB101CA" w14:textId="77777777" w:rsidTr="00C00816">
        <w:trPr>
          <w:trHeight w:val="1017"/>
        </w:trPr>
        <w:tc>
          <w:tcPr>
            <w:tcW w:w="1242" w:type="dxa"/>
          </w:tcPr>
          <w:p w14:paraId="3CB101C5" w14:textId="77777777" w:rsidR="00F67DDB" w:rsidRPr="0070080E" w:rsidRDefault="0094076D">
            <w:pPr>
              <w:pStyle w:val="Compact"/>
            </w:pPr>
            <w:r w:rsidRPr="0070080E">
              <w:t>Article Count</w:t>
            </w:r>
          </w:p>
        </w:tc>
        <w:tc>
          <w:tcPr>
            <w:tcW w:w="1304" w:type="dxa"/>
          </w:tcPr>
          <w:p w14:paraId="3CB101C6" w14:textId="77777777" w:rsidR="00F67DDB" w:rsidRPr="0070080E" w:rsidRDefault="00000000">
            <w:pPr>
              <w:pStyle w:val="Compact"/>
            </w:pPr>
            <m:oMathPara>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m:oMathPara>
          </w:p>
        </w:tc>
        <w:tc>
          <w:tcPr>
            <w:tcW w:w="2204" w:type="dxa"/>
          </w:tcPr>
          <w:p w14:paraId="3CB101C7" w14:textId="77777777" w:rsidR="00F67DDB" w:rsidRPr="0070080E" w:rsidRDefault="0094076D">
            <w:pPr>
              <w:pStyle w:val="Compact"/>
            </w:pPr>
            <w:r w:rsidRPr="0070080E">
              <w:t>Number of distinct Benzinga articles in the shock bar</w:t>
            </w:r>
          </w:p>
        </w:tc>
        <w:tc>
          <w:tcPr>
            <w:tcW w:w="2254" w:type="dxa"/>
          </w:tcPr>
          <w:p w14:paraId="3CB101C8" w14:textId="77777777" w:rsidR="00F67DDB" w:rsidRPr="0070080E" w:rsidRDefault="0094076D">
            <w:pPr>
              <w:pStyle w:val="Compact"/>
            </w:pPr>
            <w:r w:rsidRPr="0070080E">
              <w:t>Benzinga news feed (Section 4.3.3)</w:t>
            </w:r>
          </w:p>
        </w:tc>
        <w:tc>
          <w:tcPr>
            <w:tcW w:w="3148" w:type="dxa"/>
          </w:tcPr>
          <w:p w14:paraId="3CB101C9" w14:textId="77777777" w:rsidR="00F67DDB" w:rsidRPr="0070080E" w:rsidRDefault="0094076D">
            <w:pPr>
              <w:pStyle w:val="Compact"/>
            </w:pPr>
            <w:r w:rsidRPr="0070080E">
              <w:t>Count of articles with publication timestamp within the shock bar interval</w:t>
            </w:r>
          </w:p>
        </w:tc>
      </w:tr>
      <w:tr w:rsidR="00F67DDB" w:rsidRPr="0070080E" w14:paraId="3CB101D0" w14:textId="77777777" w:rsidTr="00C00816">
        <w:trPr>
          <w:trHeight w:val="945"/>
        </w:trPr>
        <w:tc>
          <w:tcPr>
            <w:tcW w:w="1242" w:type="dxa"/>
          </w:tcPr>
          <w:p w14:paraId="3CB101CB" w14:textId="77777777" w:rsidR="00F67DDB" w:rsidRPr="0070080E" w:rsidRDefault="0094076D">
            <w:pPr>
              <w:pStyle w:val="Compact"/>
            </w:pPr>
            <w:r w:rsidRPr="0070080E">
              <w:t>Sentiment Extremity</w:t>
            </w:r>
          </w:p>
        </w:tc>
        <w:tc>
          <w:tcPr>
            <w:tcW w:w="1304" w:type="dxa"/>
          </w:tcPr>
          <w:p w14:paraId="3CB101CC" w14:textId="77777777" w:rsidR="00F67DDB" w:rsidRPr="0070080E" w:rsidRDefault="00000000">
            <w:pPr>
              <w:pStyle w:val="Compact"/>
            </w:pPr>
            <m:oMathPara>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m:oMathPara>
          </w:p>
        </w:tc>
        <w:tc>
          <w:tcPr>
            <w:tcW w:w="2204" w:type="dxa"/>
          </w:tcPr>
          <w:p w14:paraId="3CB101CD" w14:textId="77777777" w:rsidR="00F67DDB" w:rsidRPr="0070080E" w:rsidRDefault="0094076D">
            <w:pPr>
              <w:pStyle w:val="Compact"/>
            </w:pPr>
            <w:r w:rsidRPr="0070080E">
              <w:t>Peak absolute sentiment score across event-day articles</w:t>
            </w:r>
          </w:p>
        </w:tc>
        <w:tc>
          <w:tcPr>
            <w:tcW w:w="2254" w:type="dxa"/>
          </w:tcPr>
          <w:p w14:paraId="3CB101CE" w14:textId="77777777" w:rsidR="00F67DDB" w:rsidRPr="0070080E" w:rsidRDefault="0094076D">
            <w:pPr>
              <w:pStyle w:val="Compact"/>
            </w:pPr>
            <w:r w:rsidRPr="0070080E">
              <w:t>FinBERT (</w:t>
            </w:r>
            <w:hyperlink r:id="rId328">
              <w:r w:rsidRPr="0070080E">
                <w:rPr>
                  <w:rStyle w:val="Hyperlink"/>
                </w:rPr>
                <w:t>Yang et al., 2020</w:t>
              </w:r>
            </w:hyperlink>
            <w:r w:rsidRPr="0070080E">
              <w:t>)</w:t>
            </w:r>
          </w:p>
        </w:tc>
        <w:tc>
          <w:tcPr>
            <w:tcW w:w="3148" w:type="dxa"/>
          </w:tcPr>
          <w:p w14:paraId="3CB101CF" w14:textId="77777777" w:rsidR="00F67DDB" w:rsidRPr="0070080E" w:rsidRDefault="00000000">
            <w:pPr>
              <w:pStyle w:val="Compact"/>
            </w:pP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w:r w:rsidR="0094076D" w:rsidRPr="0070080E">
              <w:t xml:space="preserve">, where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p>
        </w:tc>
      </w:tr>
      <w:tr w:rsidR="00F67DDB" w:rsidRPr="0070080E" w14:paraId="3CB101D6" w14:textId="77777777" w:rsidTr="00C00816">
        <w:trPr>
          <w:trHeight w:val="693"/>
        </w:trPr>
        <w:tc>
          <w:tcPr>
            <w:tcW w:w="1242" w:type="dxa"/>
          </w:tcPr>
          <w:p w14:paraId="3CB101D1" w14:textId="77777777" w:rsidR="00F67DDB" w:rsidRPr="0070080E" w:rsidRDefault="0094076D">
            <w:pPr>
              <w:pStyle w:val="Compact"/>
            </w:pPr>
            <w:r w:rsidRPr="0070080E">
              <w:t>Attention Intensity</w:t>
            </w:r>
          </w:p>
        </w:tc>
        <w:tc>
          <w:tcPr>
            <w:tcW w:w="1304" w:type="dxa"/>
          </w:tcPr>
          <w:p w14:paraId="3CB101D2" w14:textId="77777777" w:rsidR="00F67DDB" w:rsidRPr="0070080E" w:rsidRDefault="00000000">
            <w:pPr>
              <w:pStyle w:val="Compact"/>
            </w:pPr>
            <m:oMathPara>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m:oMathPara>
          </w:p>
        </w:tc>
        <w:tc>
          <w:tcPr>
            <w:tcW w:w="2204" w:type="dxa"/>
          </w:tcPr>
          <w:p w14:paraId="3CB101D3" w14:textId="77777777" w:rsidR="00F67DDB" w:rsidRPr="0070080E" w:rsidRDefault="0094076D">
            <w:pPr>
              <w:pStyle w:val="Compact"/>
            </w:pPr>
            <w:r w:rsidRPr="0070080E">
              <w:t>Abnormal trading volume on event day</w:t>
            </w:r>
          </w:p>
        </w:tc>
        <w:tc>
          <w:tcPr>
            <w:tcW w:w="2254" w:type="dxa"/>
          </w:tcPr>
          <w:p w14:paraId="3CB101D4" w14:textId="77777777" w:rsidR="00F67DDB" w:rsidRPr="0070080E" w:rsidRDefault="0094076D">
            <w:pPr>
              <w:pStyle w:val="Compact"/>
            </w:pPr>
            <w:r w:rsidRPr="0070080E">
              <w:t>IBKR intraday volume (Section 4.3.2)</w:t>
            </w:r>
          </w:p>
        </w:tc>
        <w:tc>
          <w:tcPr>
            <w:tcW w:w="3148" w:type="dxa"/>
          </w:tcPr>
          <w:p w14:paraId="3CB101D5" w14:textId="77777777" w:rsidR="00F67DDB" w:rsidRPr="0070080E" w:rsidRDefault="00000000">
            <w:pPr>
              <w:pStyle w:val="Compact"/>
            </w:pPr>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rsidR="0094076D" w:rsidRPr="0070080E">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rsidR="0094076D" w:rsidRPr="0070080E">
              <w:t xml:space="preserve"> is the 20-day trailing mean daily volume</w:t>
            </w:r>
          </w:p>
        </w:tc>
      </w:tr>
      <w:tr w:rsidR="00F67DDB" w:rsidRPr="0070080E" w14:paraId="3CB101DC" w14:textId="77777777" w:rsidTr="00C00816">
        <w:trPr>
          <w:trHeight w:val="1341"/>
        </w:trPr>
        <w:tc>
          <w:tcPr>
            <w:tcW w:w="1242" w:type="dxa"/>
          </w:tcPr>
          <w:p w14:paraId="3CB101D7" w14:textId="77777777" w:rsidR="00F67DDB" w:rsidRPr="0070080E" w:rsidRDefault="0094076D">
            <w:pPr>
              <w:pStyle w:val="Compact"/>
            </w:pPr>
            <w:r w:rsidRPr="0070080E">
              <w:t>Event-Type Severity</w:t>
            </w:r>
          </w:p>
        </w:tc>
        <w:tc>
          <w:tcPr>
            <w:tcW w:w="1304" w:type="dxa"/>
          </w:tcPr>
          <w:p w14:paraId="3CB101D8" w14:textId="77777777" w:rsidR="00F67DDB" w:rsidRPr="0070080E" w:rsidRDefault="00000000">
            <w:pPr>
              <w:pStyle w:val="Compact"/>
            </w:pPr>
            <m:oMathPara>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m:oMathPara>
          </w:p>
        </w:tc>
        <w:tc>
          <w:tcPr>
            <w:tcW w:w="2204" w:type="dxa"/>
          </w:tcPr>
          <w:p w14:paraId="3CB101D9" w14:textId="77777777" w:rsidR="00F67DDB" w:rsidRPr="0070080E" w:rsidRDefault="0094076D">
            <w:pPr>
              <w:pStyle w:val="Compact"/>
            </w:pPr>
            <w:r w:rsidRPr="0070080E">
              <w:t>Shock bar price impact relative to baseline volatility</w:t>
            </w:r>
          </w:p>
        </w:tc>
        <w:tc>
          <w:tcPr>
            <w:tcW w:w="2254" w:type="dxa"/>
          </w:tcPr>
          <w:p w14:paraId="3CB101DA" w14:textId="77777777" w:rsidR="00F67DDB" w:rsidRPr="0070080E" w:rsidRDefault="0094076D">
            <w:pPr>
              <w:pStyle w:val="Compact"/>
            </w:pPr>
            <w:r w:rsidRPr="0070080E">
              <w:t>IBKR intraday prices (Section 4.3.2)</w:t>
            </w:r>
          </w:p>
        </w:tc>
        <w:tc>
          <w:tcPr>
            <w:tcW w:w="3148" w:type="dxa"/>
          </w:tcPr>
          <w:p w14:paraId="3CB101DB" w14:textId="77777777" w:rsidR="00F67DDB" w:rsidRPr="0070080E" w:rsidRDefault="00000000">
            <w:pPr>
              <w:pStyle w:val="Compact"/>
            </w:pPr>
            <m:oMath>
              <m:sSub>
                <m:sSubPr>
                  <m:ctrlPr>
                    <w:rPr>
                      <w:rFonts w:ascii="Cambria Math" w:hAnsi="Cambria Math"/>
                    </w:rPr>
                  </m:ctrlPr>
                </m:sSubPr>
                <m:e>
                  <m:r>
                    <w:rPr>
                      <w:rFonts w:ascii="Cambria Math" w:hAnsi="Cambria Math"/>
                    </w:rPr>
                    <m:t>r</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oMath>
            <w:r w:rsidR="0094076D" w:rsidRPr="0070080E">
              <w:t xml:space="preserve">, where </w:t>
            </w:r>
            <m:oMath>
              <m:sSub>
                <m:sSubPr>
                  <m:ctrlPr>
                    <w:rPr>
                      <w:rFonts w:ascii="Cambria Math" w:hAnsi="Cambria Math"/>
                    </w:rPr>
                  </m:ctrlPr>
                </m:sSubPr>
                <m:e>
                  <m:r>
                    <w:rPr>
                      <w:rFonts w:ascii="Cambria Math" w:hAnsi="Cambria Math"/>
                    </w:rPr>
                    <m:t>m</m:t>
                  </m:r>
                </m:e>
                <m:sub>
                  <m:r>
                    <w:rPr>
                      <w:rFonts w:ascii="Cambria Math" w:hAnsi="Cambria Math"/>
                    </w:rPr>
                    <m:t>e</m:t>
                  </m:r>
                </m:sub>
              </m:sSub>
            </m:oMath>
            <w:r w:rsidR="0094076D" w:rsidRPr="0070080E">
              <w:t xml:space="preserve"> is the 20-day trailing median absolute bar return; capped at 10.0</w:t>
            </w:r>
          </w:p>
        </w:tc>
      </w:tr>
    </w:tbl>
    <w:p w14:paraId="3CB101DD" w14:textId="77777777" w:rsidR="00F67DDB" w:rsidRPr="0070080E" w:rsidRDefault="0094076D">
      <w:pPr>
        <w:pStyle w:val="BodyText"/>
      </w:pPr>
      <w:r w:rsidRPr="0070080E">
        <w:rPr>
          <w:b/>
          <w:bCs/>
        </w:rPr>
        <w:t>Article Count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rPr>
          <w:b/>
          <w:bCs/>
        </w:rPr>
        <w:t>).</w:t>
      </w:r>
      <w:r w:rsidRPr="0070080E">
        <w:t xml:space="preserve"> Number of distinct Benzinga articles whose timestamps fall within the shock bar’s 30-minute interval, as identified by the screening algorithm (Section 4.3.4).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t xml:space="preserve"> reflects the volume of contemporaneous information flow.</w:t>
      </w:r>
    </w:p>
    <w:p w14:paraId="3CB101DE" w14:textId="77777777" w:rsidR="00F67DDB" w:rsidRPr="0070080E" w:rsidRDefault="0094076D">
      <w:pPr>
        <w:pStyle w:val="BodyText"/>
      </w:pPr>
      <w:r w:rsidRPr="0070080E">
        <w:rPr>
          <w:b/>
          <w:bCs/>
        </w:rPr>
        <w:t>Sentiment Extremity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sidRPr="0070080E">
        <w:rPr>
          <w:b/>
          <w:bCs/>
        </w:rPr>
        <w:t>).</w:t>
      </w:r>
      <w:r w:rsidRPr="0070080E">
        <w:t xml:space="preserve"> Maximum absolute FinBERT sentiment score across event-day articles for the stock. FinBERT outputs a three-class probability distribution over positive, negative, and neutral tone, with the three probabilities summing to one; per-article signed sentiment is defined as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Pr="0070080E">
        <w:t xml:space="preserve">. This score equals </w:t>
      </w:r>
      <m:oMath>
        <m:r>
          <m:rPr>
            <m:sty m:val="p"/>
          </m:rPr>
          <w:rPr>
            <w:rFonts w:ascii="Cambria Math" w:hAnsi="Cambria Math"/>
          </w:rPr>
          <m:t>+</m:t>
        </m:r>
        <m:r>
          <w:rPr>
            <w:rFonts w:ascii="Cambria Math" w:hAnsi="Cambria Math"/>
          </w:rPr>
          <m:t>1</m:t>
        </m:r>
      </m:oMath>
      <w:r w:rsidRPr="0070080E">
        <w:t xml:space="preserve"> when an article is classified as unambiguously positive (</w:t>
      </w:r>
      <m:oMath>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1</m:t>
        </m:r>
      </m:oMath>
      <w:r w:rsidRPr="0070080E">
        <w:t xml:space="preserve">), </w:t>
      </w:r>
      <m:oMath>
        <m:r>
          <m:rPr>
            <m:sty m:val="p"/>
          </m:rPr>
          <w:rPr>
            <w:rFonts w:ascii="Cambria Math" w:hAnsi="Cambria Math"/>
          </w:rPr>
          <m:t>-</m:t>
        </m:r>
        <m:r>
          <w:rPr>
            <w:rFonts w:ascii="Cambria Math" w:hAnsi="Cambria Math"/>
          </w:rPr>
          <m:t>1</m:t>
        </m:r>
      </m:oMath>
      <w:r w:rsidRPr="0070080E">
        <w:t xml:space="preserve"> when unambiguously negative (</w:t>
      </w:r>
      <m:oMath>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oMath>
      <w:r w:rsidRPr="0070080E">
        <w:t xml:space="preserve">), and approaches </w:t>
      </w:r>
      <m:oMath>
        <m:r>
          <w:rPr>
            <w:rFonts w:ascii="Cambria Math" w:hAnsi="Cambria Math"/>
          </w:rPr>
          <m:t>0</m:t>
        </m:r>
      </m:oMath>
      <w:r w:rsidRPr="0070080E">
        <w:t xml:space="preserve"> when positive and negative tone are balanced or neutral tone dominates. The component then takes the absolute value of the most extreme article,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w:r w:rsidRPr="0070080E">
        <w:t>, so that it measures emotional extremity irrespective of direction. The peak rather than the mean captures emotional salience, consistent with the shock-intensity objective.</w:t>
      </w:r>
    </w:p>
    <w:p w14:paraId="3CB101DF" w14:textId="77777777" w:rsidR="00F67DDB" w:rsidRPr="0070080E" w:rsidRDefault="0094076D">
      <w:pPr>
        <w:pStyle w:val="BodyText"/>
      </w:pPr>
      <w:r w:rsidRPr="0070080E">
        <w:rPr>
          <w:b/>
          <w:bCs/>
        </w:rPr>
        <w:t>Attention Intensity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Pr="0070080E">
        <w:rPr>
          <w:b/>
          <w:bCs/>
        </w:rPr>
        <w:t>).</w:t>
      </w:r>
      <w:r w:rsidRPr="0070080E">
        <w:t xml:space="preserve"> Event-day trading volume divided by the 20-day trailing mean daily volume: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rsidRPr="0070080E">
        <w:t xml:space="preserve">. Values above one </w:t>
      </w:r>
      <w:proofErr w:type="gramStart"/>
      <w:r w:rsidRPr="0070080E">
        <w:t>indicate</w:t>
      </w:r>
      <w:proofErr w:type="gramEnd"/>
      <w:r w:rsidRPr="0070080E">
        <w:t xml:space="preserve"> above-average attention. If the 20-day trailing volume is zero or unavailable,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Pr="0070080E">
        <w:t xml:space="preserve"> is set to one (neutral) and flagged.</w:t>
      </w:r>
    </w:p>
    <w:p w14:paraId="3CB101E0" w14:textId="77777777" w:rsidR="00F67DDB" w:rsidRPr="0070080E" w:rsidRDefault="0094076D">
      <w:pPr>
        <w:pStyle w:val="BodyText"/>
      </w:pPr>
      <w:r w:rsidRPr="0070080E">
        <w:rPr>
          <w:b/>
          <w:bCs/>
        </w:rPr>
        <w:t>Event-Type Severity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sidRPr="0070080E">
        <w:rPr>
          <w:b/>
          <w:bCs/>
        </w:rPr>
        <w:t>).</w:t>
      </w:r>
      <w:r w:rsidRPr="0070080E">
        <w:t xml:space="preserve"> Shock bar price impact relative to the stock’s own baseline intraday volatility. With </w:t>
      </w:r>
      <m:oMath>
        <m:sSub>
          <m:sSubPr>
            <m:ctrlPr>
              <w:rPr>
                <w:rFonts w:ascii="Cambria Math" w:hAnsi="Cambria Math"/>
              </w:rPr>
            </m:ctrlPr>
          </m:sSubPr>
          <m:e>
            <m:r>
              <w:rPr>
                <w:rFonts w:ascii="Cambria Math" w:hAnsi="Cambria Math"/>
              </w:rPr>
              <m:t>r</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prev</m:t>
            </m:r>
          </m:sub>
        </m:sSub>
        <m:r>
          <m:rPr>
            <m:sty m:val="p"/>
          </m:rPr>
          <w:rPr>
            <w:rFonts w:ascii="Cambria Math" w:hAnsi="Cambria Math"/>
          </w:rPr>
          <m:t>-</m:t>
        </m:r>
        <m:r>
          <w:rPr>
            <w:rFonts w:ascii="Cambria Math" w:hAnsi="Cambria Math"/>
          </w:rPr>
          <m:t>1</m:t>
        </m:r>
        <m:r>
          <m:rPr>
            <m:sty m:val="p"/>
          </m:rPr>
          <w:rPr>
            <w:rFonts w:ascii="Cambria Math" w:hAnsi="Cambria Math"/>
          </w:rPr>
          <m:t>|</m:t>
        </m:r>
      </m:oMath>
      <w:r w:rsidRPr="0070080E">
        <w:t xml:space="preserve"> (where </w:t>
      </w:r>
      <m:oMath>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prev</m:t>
            </m:r>
          </m:sub>
        </m:sSub>
      </m:oMath>
      <w:r w:rsidRPr="0070080E">
        <w:t xml:space="preserve"> is the prior bar in the same session, or the prior session’s close if none exists) and </w:t>
      </w:r>
      <m:oMath>
        <m:sSub>
          <m:sSubPr>
            <m:ctrlPr>
              <w:rPr>
                <w:rFonts w:ascii="Cambria Math" w:hAnsi="Cambria Math"/>
              </w:rPr>
            </m:ctrlPr>
          </m:sSubPr>
          <m:e>
            <m:r>
              <w:rPr>
                <w:rFonts w:ascii="Cambria Math" w:hAnsi="Cambria Math"/>
              </w:rPr>
              <m:t>m</m:t>
            </m:r>
          </m:e>
          <m:sub>
            <m:r>
              <w:rPr>
                <w:rFonts w:ascii="Cambria Math" w:hAnsi="Cambria Math"/>
              </w:rPr>
              <m:t>e</m:t>
            </m:r>
          </m:sub>
        </m:sSub>
      </m:oMath>
      <w:r w:rsidRPr="0070080E">
        <w:t xml:space="preserve"> the median absolute 30-minute bar return over the 20 preceding trading days:</w:t>
      </w:r>
    </w:p>
    <w:p w14:paraId="3CB101E1"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shock</m:t>
                  </m:r>
                </m:sub>
              </m:sSub>
            </m:num>
            <m:den>
              <m:sSub>
                <m:sSubPr>
                  <m:ctrlPr>
                    <w:rPr>
                      <w:rFonts w:ascii="Cambria Math" w:hAnsi="Cambria Math"/>
                    </w:rPr>
                  </m:ctrlPr>
                </m:sSubPr>
                <m:e>
                  <m:r>
                    <w:rPr>
                      <w:rFonts w:ascii="Cambria Math" w:hAnsi="Cambria Math"/>
                    </w:rPr>
                    <m:t>m</m:t>
                  </m:r>
                </m:e>
                <m:sub>
                  <m:r>
                    <w:rPr>
                      <w:rFonts w:ascii="Cambria Math" w:hAnsi="Cambria Math"/>
                    </w:rPr>
                    <m:t>e</m:t>
                  </m:r>
                </m:sub>
              </m:sSub>
            </m:den>
          </m:f>
        </m:oMath>
      </m:oMathPara>
    </w:p>
    <w:p w14:paraId="3CB101E2" w14:textId="77777777" w:rsidR="00F67DDB" w:rsidRPr="0070080E" w:rsidRDefault="0094076D">
      <w:pPr>
        <w:pStyle w:val="FirstParagraph"/>
      </w:pPr>
      <w:r w:rsidRPr="0070080E">
        <w:t xml:space="preserve">The absolute value is taken because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sidRPr="0070080E">
        <w:t xml:space="preserve"> is intended to capture the magnitude of the price dislocation, not its direction: a shock is equally severe in cognitive-load terms whether the price jumps up or down, and the directional content of the event is already carried by the Sentiment Extremity component and by the sign of the price reaction shown in the scenario chart. The resulting dimensionless ratio is comparable across stocks of differing volatility;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r>
          <m:rPr>
            <m:sty m:val="p"/>
          </m:rPr>
          <w:rPr>
            <w:rFonts w:ascii="Cambria Math" w:hAnsi="Cambria Math"/>
          </w:rPr>
          <m:t>=</m:t>
        </m:r>
        <m:r>
          <w:rPr>
            <w:rFonts w:ascii="Cambria Math" w:hAnsi="Cambria Math"/>
          </w:rPr>
          <m:t>3</m:t>
        </m:r>
      </m:oMath>
      <w:r w:rsidRPr="0070080E">
        <w:t xml:space="preserve"> indicates a shock three times the stock’s typical intraday move.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sidRPr="0070080E">
        <w:t xml:space="preserve"> is capped at 10.0 to prevent outliers from distorting the PCA; this cap value is a pragmatic threshold rather than a theoretically derived bound, chosen to be high enough to preserve genuinely severe events while limiting the leverage of rare extreme observations on the standardized component. Where intraday data are insufficient,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sidRPr="0070080E">
        <w:t xml:space="preserve"> falls back to a category weight (earnings = 1.0, regulatory = 1.1, management = 0.8, analyst = 0.6, other = 0.5).</w:t>
      </w:r>
    </w:p>
    <w:p w14:paraId="3CB101E3" w14:textId="77777777" w:rsidR="00F67DDB" w:rsidRPr="0070080E" w:rsidRDefault="0094076D">
      <w:pPr>
        <w:pStyle w:val="BodyText"/>
      </w:pPr>
      <w:r w:rsidRPr="0070080E">
        <w:t>The shock bar is the 30-minute bar whose timestamp is closest to the manifest’s event_time field; absent that, the bar with the largest absolute return on the event date.</w:t>
      </w:r>
    </w:p>
    <w:p w14:paraId="3CB101E4" w14:textId="6339BBA8" w:rsidR="00F67DDB" w:rsidRPr="0070080E" w:rsidRDefault="0094076D">
      <w:pPr>
        <w:pStyle w:val="BodyText"/>
      </w:pPr>
      <w:r w:rsidRPr="0070080E">
        <w:t xml:space="preserve">The four components capture distinct psychological dimensions of shock intensity grounded in behavioral finance.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t xml:space="preserve"> </w:t>
      </w:r>
      <w:proofErr w:type="gramStart"/>
      <w:r w:rsidRPr="0070080E">
        <w:t>proxies</w:t>
      </w:r>
      <w:proofErr w:type="gramEnd"/>
      <w:r w:rsidRPr="0070080E">
        <w:t xml:space="preserve"> salience and attention (</w:t>
      </w:r>
      <w:hyperlink r:id="rId329">
        <w:r w:rsidRPr="0070080E">
          <w:rPr>
            <w:rStyle w:val="Hyperlink"/>
          </w:rPr>
          <w:t>Barber &amp; Odean, 2008</w:t>
        </w:r>
      </w:hyperlink>
      <w:r w:rsidRPr="0070080E">
        <w:t xml:space="preserv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sidRPr="0070080E">
        <w:t xml:space="preserve"> captures affective valence, whose tone may override deliberative risk assessment (</w:t>
      </w:r>
      <w:hyperlink r:id="rId330">
        <w:r w:rsidRPr="0070080E">
          <w:rPr>
            <w:rStyle w:val="Hyperlink"/>
          </w:rPr>
          <w:t>Loewenstein et al., 2001</w:t>
        </w:r>
      </w:hyperlink>
      <w:r w:rsidRPr="0070080E">
        <w:t xml:space="preserv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Pr="0070080E">
        <w:t xml:space="preserve"> is a behavioral trace of arousal and engagement (</w:t>
      </w:r>
      <w:hyperlink r:id="rId331">
        <w:r w:rsidRPr="0070080E">
          <w:rPr>
            <w:rStyle w:val="Hyperlink"/>
          </w:rPr>
          <w:t>Barber &amp; Odean, 2008</w:t>
        </w:r>
      </w:hyperlink>
      <w:r w:rsidRPr="0070080E">
        <w:t xml:space="preserve">; </w:t>
      </w:r>
      <w:hyperlink r:id="rId332">
        <w:r w:rsidRPr="0070080E">
          <w:rPr>
            <w:rStyle w:val="Hyperlink"/>
          </w:rPr>
          <w:t>Lo &amp; Repin, 2002</w:t>
        </w:r>
      </w:hyperlink>
      <w:r w:rsidRPr="0070080E">
        <w:t xml:space="preserv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sidRPr="0070080E">
        <w:t xml:space="preserve"> operationalizes cognitive load and loss aversion: a large move relative to baseline volatility triggers the asymmetric loss sensitivity documented by </w:t>
      </w:r>
      <w:hyperlink r:id="rId333">
        <w:r w:rsidRPr="0070080E">
          <w:rPr>
            <w:rStyle w:val="Hyperlink"/>
          </w:rPr>
          <w:t xml:space="preserve">Kahneman </w:t>
        </w:r>
        <w:r w:rsidR="00190A1F">
          <w:rPr>
            <w:rStyle w:val="Hyperlink"/>
          </w:rPr>
          <w:t>and</w:t>
        </w:r>
        <w:r w:rsidRPr="0070080E">
          <w:rPr>
            <w:rStyle w:val="Hyperlink"/>
          </w:rPr>
          <w:t xml:space="preserve"> Tversky (1979)</w:t>
        </w:r>
      </w:hyperlink>
      <w:r w:rsidRPr="0070080E">
        <w:t>.</w:t>
      </w:r>
    </w:p>
    <w:p w14:paraId="3CB101E5" w14:textId="77777777" w:rsidR="00F67DDB" w:rsidRPr="0070080E" w:rsidRDefault="0094076D">
      <w:pPr>
        <w:pStyle w:val="Heading3"/>
      </w:pPr>
      <w:bookmarkStart w:id="122" w:name="shock-score-dashboard-design"/>
      <w:bookmarkEnd w:id="121"/>
      <w:r w:rsidRPr="0070080E">
        <w:t>4.3.6 Shock Score Dashboard Design</w:t>
      </w:r>
    </w:p>
    <w:p w14:paraId="3CB101E6" w14:textId="77777777" w:rsidR="00F67DDB" w:rsidRPr="0070080E" w:rsidRDefault="0094076D">
      <w:pPr>
        <w:pStyle w:val="FirstParagraph"/>
      </w:pPr>
      <w:r w:rsidRPr="0070080E">
        <w:t xml:space="preserve">In the treatment condition (ShowSC = 1), the Shock Score is presented as a compact dashboard displaying four interpretable signals derived from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and its components. In the control condition (ShowSC = 0), no dashboard or reference to it appears. Treatment assignment and counterbalancing are described in Section 4.4.</w:t>
      </w:r>
    </w:p>
    <w:p w14:paraId="25F443D0" w14:textId="77777777" w:rsidR="00E10AFC" w:rsidRPr="0070080E" w:rsidRDefault="00E10AFC">
      <w:pPr>
        <w:spacing w:after="200" w:line="240" w:lineRule="auto"/>
        <w:ind w:firstLine="0"/>
        <w:rPr>
          <w:b/>
          <w:bCs/>
        </w:rPr>
      </w:pPr>
      <w:r w:rsidRPr="0070080E">
        <w:rPr>
          <w:b/>
          <w:bCs/>
        </w:rPr>
        <w:br w:type="page"/>
      </w:r>
    </w:p>
    <w:p w14:paraId="3CB101E7" w14:textId="4BAC242A" w:rsidR="00F67DDB" w:rsidRPr="0070080E" w:rsidRDefault="0094076D">
      <w:pPr>
        <w:pStyle w:val="BodyText"/>
      </w:pPr>
      <w:r w:rsidRPr="0070080E">
        <w:rPr>
          <w:b/>
          <w:bCs/>
        </w:rPr>
        <w:t>Table 4.5</w:t>
      </w:r>
    </w:p>
    <w:p w14:paraId="3CB101E8" w14:textId="77777777" w:rsidR="00F67DDB" w:rsidRPr="0070080E" w:rsidRDefault="0094076D">
      <w:pPr>
        <w:pStyle w:val="BodyText"/>
      </w:pPr>
      <w:r w:rsidRPr="0070080E">
        <w:rPr>
          <w:i/>
          <w:iCs/>
        </w:rPr>
        <w:t>Shock Score Dashboard Components</w:t>
      </w:r>
    </w:p>
    <w:tbl>
      <w:tblPr>
        <w:tblStyle w:val="Table"/>
        <w:tblW w:w="5100" w:type="pct"/>
        <w:tblLayout w:type="fixed"/>
        <w:tblLook w:val="0020" w:firstRow="1" w:lastRow="0" w:firstColumn="0" w:lastColumn="0" w:noHBand="0" w:noVBand="0"/>
      </w:tblPr>
      <w:tblGrid>
        <w:gridCol w:w="1647"/>
        <w:gridCol w:w="1800"/>
        <w:gridCol w:w="3169"/>
        <w:gridCol w:w="2931"/>
      </w:tblGrid>
      <w:tr w:rsidR="00F67DDB" w:rsidRPr="0070080E" w14:paraId="3CB101ED" w14:textId="77777777" w:rsidTr="00B815C6">
        <w:trPr>
          <w:cnfStyle w:val="100000000000" w:firstRow="1" w:lastRow="0" w:firstColumn="0" w:lastColumn="0" w:oddVBand="0" w:evenVBand="0" w:oddHBand="0" w:evenHBand="0" w:firstRowFirstColumn="0" w:firstRowLastColumn="0" w:lastRowFirstColumn="0" w:lastRowLastColumn="0"/>
          <w:tblHeader/>
        </w:trPr>
        <w:tc>
          <w:tcPr>
            <w:tcW w:w="1684" w:type="dxa"/>
          </w:tcPr>
          <w:p w14:paraId="3CB101E9" w14:textId="77777777" w:rsidR="00F67DDB" w:rsidRPr="0070080E" w:rsidRDefault="0094076D">
            <w:pPr>
              <w:pStyle w:val="Compact"/>
            </w:pPr>
            <w:r w:rsidRPr="0070080E">
              <w:t>Dashboard Signal</w:t>
            </w:r>
          </w:p>
        </w:tc>
        <w:tc>
          <w:tcPr>
            <w:tcW w:w="1840" w:type="dxa"/>
          </w:tcPr>
          <w:p w14:paraId="3CB101EA" w14:textId="77777777" w:rsidR="00F67DDB" w:rsidRPr="0070080E" w:rsidRDefault="0094076D">
            <w:pPr>
              <w:pStyle w:val="Compact"/>
            </w:pPr>
            <w:r w:rsidRPr="0070080E">
              <w:t>Source</w:t>
            </w:r>
          </w:p>
        </w:tc>
        <w:tc>
          <w:tcPr>
            <w:tcW w:w="3244" w:type="dxa"/>
          </w:tcPr>
          <w:p w14:paraId="3CB101EB" w14:textId="77777777" w:rsidR="00F67DDB" w:rsidRPr="0070080E" w:rsidRDefault="0094076D">
            <w:pPr>
              <w:pStyle w:val="Compact"/>
            </w:pPr>
            <w:r w:rsidRPr="0070080E">
              <w:t>Derivation</w:t>
            </w:r>
          </w:p>
        </w:tc>
        <w:tc>
          <w:tcPr>
            <w:tcW w:w="3000" w:type="dxa"/>
          </w:tcPr>
          <w:p w14:paraId="3CB101EC" w14:textId="77777777" w:rsidR="00F67DDB" w:rsidRPr="0070080E" w:rsidRDefault="0094076D">
            <w:pPr>
              <w:pStyle w:val="Compact"/>
            </w:pPr>
            <w:r w:rsidRPr="0070080E">
              <w:t>Display Format</w:t>
            </w:r>
          </w:p>
        </w:tc>
      </w:tr>
      <w:tr w:rsidR="00F67DDB" w:rsidRPr="0070080E" w14:paraId="3CB101F2" w14:textId="77777777" w:rsidTr="00B815C6">
        <w:trPr>
          <w:trHeight w:val="1053"/>
        </w:trPr>
        <w:tc>
          <w:tcPr>
            <w:tcW w:w="1684" w:type="dxa"/>
          </w:tcPr>
          <w:p w14:paraId="3CB101EE" w14:textId="77777777" w:rsidR="00F67DDB" w:rsidRPr="0070080E" w:rsidRDefault="0094076D">
            <w:pPr>
              <w:pStyle w:val="Compact"/>
            </w:pPr>
            <w:r w:rsidRPr="0070080E">
              <w:t>Sentiment direction</w:t>
            </w:r>
          </w:p>
        </w:tc>
        <w:tc>
          <w:tcPr>
            <w:tcW w:w="1840" w:type="dxa"/>
          </w:tcPr>
          <w:p w14:paraId="3CB101EF" w14:textId="77777777" w:rsidR="00F67DDB" w:rsidRPr="0070080E" w:rsidRDefault="0094076D">
            <w:pPr>
              <w:pStyle w:val="Compact"/>
            </w:pPr>
            <w:r w:rsidRPr="0070080E">
              <w:t>FinBERT sentiment scores (Sentiment Extremity)</w:t>
            </w:r>
          </w:p>
        </w:tc>
        <w:tc>
          <w:tcPr>
            <w:tcW w:w="3244" w:type="dxa"/>
          </w:tcPr>
          <w:p w14:paraId="3CB101F0" w14:textId="77777777" w:rsidR="00F67DDB" w:rsidRPr="0070080E" w:rsidRDefault="0094076D">
            <w:pPr>
              <w:pStyle w:val="Compact"/>
            </w:pPr>
            <w:r w:rsidRPr="0070080E">
              <w:t>Directional tone of event-day news coverage</w:t>
            </w:r>
          </w:p>
        </w:tc>
        <w:tc>
          <w:tcPr>
            <w:tcW w:w="3000" w:type="dxa"/>
          </w:tcPr>
          <w:p w14:paraId="3CB101F1" w14:textId="77777777" w:rsidR="00F67DDB" w:rsidRPr="0070080E" w:rsidRDefault="0094076D">
            <w:pPr>
              <w:pStyle w:val="Compact"/>
            </w:pPr>
            <w:r w:rsidRPr="0070080E">
              <w:t>Categorical: Positive / Negative / Mixed</w:t>
            </w:r>
          </w:p>
        </w:tc>
      </w:tr>
      <w:tr w:rsidR="00F67DDB" w:rsidRPr="0070080E" w14:paraId="3CB101F7" w14:textId="77777777" w:rsidTr="00B815C6">
        <w:trPr>
          <w:trHeight w:val="720"/>
        </w:trPr>
        <w:tc>
          <w:tcPr>
            <w:tcW w:w="1684" w:type="dxa"/>
          </w:tcPr>
          <w:p w14:paraId="3CB101F3" w14:textId="77777777" w:rsidR="00F67DDB" w:rsidRPr="0070080E" w:rsidRDefault="0094076D">
            <w:pPr>
              <w:pStyle w:val="Compact"/>
            </w:pPr>
            <w:r w:rsidRPr="0070080E">
              <w:t>Shock severity</w:t>
            </w:r>
          </w:p>
        </w:tc>
        <w:tc>
          <w:tcPr>
            <w:tcW w:w="1840" w:type="dxa"/>
          </w:tcPr>
          <w:p w14:paraId="3CB101F4" w14:textId="77777777" w:rsidR="00F67DDB" w:rsidRPr="0070080E" w:rsidRDefault="0094076D">
            <w:pPr>
              <w:pStyle w:val="Compact"/>
            </w:pPr>
            <w:r w:rsidRPr="0070080E">
              <w:t>Shock Score composite</w:t>
            </w:r>
          </w:p>
        </w:tc>
        <w:tc>
          <w:tcPr>
            <w:tcW w:w="3244" w:type="dxa"/>
          </w:tcPr>
          <w:p w14:paraId="3CB101F5" w14:textId="77777777" w:rsidR="00F67DDB" w:rsidRPr="0070080E" w:rsidRDefault="0094076D">
            <w:pPr>
              <w:pStyle w:val="Compact"/>
            </w:pPr>
            <w:r w:rsidRPr="0070080E">
              <w:t>Overall magnitude relative to historical event distribution</w:t>
            </w:r>
          </w:p>
        </w:tc>
        <w:tc>
          <w:tcPr>
            <w:tcW w:w="3000" w:type="dxa"/>
          </w:tcPr>
          <w:p w14:paraId="3CB101F6" w14:textId="77777777" w:rsidR="00F67DDB" w:rsidRPr="0070080E" w:rsidRDefault="0094076D">
            <w:pPr>
              <w:pStyle w:val="Compact"/>
            </w:pPr>
            <w:r w:rsidRPr="0070080E">
              <w:t>Ordinal scale</w:t>
            </w:r>
          </w:p>
        </w:tc>
      </w:tr>
      <w:tr w:rsidR="00F67DDB" w:rsidRPr="0070080E" w14:paraId="3CB101FC" w14:textId="77777777" w:rsidTr="00B815C6">
        <w:trPr>
          <w:trHeight w:val="720"/>
        </w:trPr>
        <w:tc>
          <w:tcPr>
            <w:tcW w:w="1684" w:type="dxa"/>
          </w:tcPr>
          <w:p w14:paraId="3CB101F8" w14:textId="77777777" w:rsidR="00F67DDB" w:rsidRPr="0070080E" w:rsidRDefault="0094076D">
            <w:pPr>
              <w:pStyle w:val="Compact"/>
            </w:pPr>
            <w:r w:rsidRPr="0070080E">
              <w:t>Persistence horizon</w:t>
            </w:r>
          </w:p>
        </w:tc>
        <w:tc>
          <w:tcPr>
            <w:tcW w:w="1840" w:type="dxa"/>
          </w:tcPr>
          <w:p w14:paraId="3CB101F9" w14:textId="77777777" w:rsidR="00F67DDB" w:rsidRPr="0070080E" w:rsidRDefault="0094076D">
            <w:pPr>
              <w:pStyle w:val="Compact"/>
            </w:pPr>
            <w:r w:rsidRPr="0070080E">
              <w:t>Persistence score</w:t>
            </w:r>
          </w:p>
        </w:tc>
        <w:tc>
          <w:tcPr>
            <w:tcW w:w="3244" w:type="dxa"/>
          </w:tcPr>
          <w:p w14:paraId="3CB101FA" w14:textId="77777777" w:rsidR="00F67DDB" w:rsidRPr="0070080E" w:rsidRDefault="0094076D">
            <w:pPr>
              <w:pStyle w:val="Compact"/>
            </w:pPr>
            <w:r w:rsidRPr="0070080E">
              <w:t>Expected decision-relevance horizon of the event</w:t>
            </w:r>
          </w:p>
        </w:tc>
        <w:tc>
          <w:tcPr>
            <w:tcW w:w="3000" w:type="dxa"/>
          </w:tcPr>
          <w:p w14:paraId="3CB101FB" w14:textId="77777777" w:rsidR="00F67DDB" w:rsidRPr="0070080E" w:rsidRDefault="0094076D">
            <w:pPr>
              <w:pStyle w:val="Compact"/>
            </w:pPr>
            <w:r w:rsidRPr="0070080E">
              <w:t>Categorical: Intraday / Several days / Several weeks</w:t>
            </w:r>
          </w:p>
        </w:tc>
      </w:tr>
      <w:tr w:rsidR="00F67DDB" w:rsidRPr="0070080E" w14:paraId="3CB10201" w14:textId="77777777" w:rsidTr="00B815C6">
        <w:trPr>
          <w:trHeight w:val="1053"/>
        </w:trPr>
        <w:tc>
          <w:tcPr>
            <w:tcW w:w="1684" w:type="dxa"/>
          </w:tcPr>
          <w:p w14:paraId="3CB101FD" w14:textId="77777777" w:rsidR="00F67DDB" w:rsidRPr="0070080E" w:rsidRDefault="0094076D">
            <w:pPr>
              <w:pStyle w:val="Compact"/>
            </w:pPr>
            <w:r w:rsidRPr="0070080E">
              <w:t>Protocol</w:t>
            </w:r>
          </w:p>
        </w:tc>
        <w:tc>
          <w:tcPr>
            <w:tcW w:w="1840" w:type="dxa"/>
          </w:tcPr>
          <w:p w14:paraId="3CB101FE" w14:textId="77777777" w:rsidR="00F67DDB" w:rsidRPr="0070080E" w:rsidRDefault="0094076D">
            <w:pPr>
              <w:pStyle w:val="Compact"/>
            </w:pPr>
            <w:r w:rsidRPr="0070080E">
              <w:t>Intensity trigger</w:t>
            </w:r>
          </w:p>
        </w:tc>
        <w:tc>
          <w:tcPr>
            <w:tcW w:w="3244" w:type="dxa"/>
          </w:tcPr>
          <w:p w14:paraId="3CB101FF" w14:textId="77777777" w:rsidR="00F67DDB" w:rsidRPr="0070080E" w:rsidRDefault="0094076D">
            <w:pPr>
              <w:pStyle w:val="Compact"/>
            </w:pPr>
            <w:r w:rsidRPr="0070080E">
              <w:t>Pre-commitment action rule activated by shock intensity</w:t>
            </w:r>
          </w:p>
        </w:tc>
        <w:tc>
          <w:tcPr>
            <w:tcW w:w="3000" w:type="dxa"/>
          </w:tcPr>
          <w:p w14:paraId="3CB10200" w14:textId="77777777" w:rsidR="00F67DDB" w:rsidRPr="0070080E" w:rsidRDefault="0094076D">
            <w:pPr>
              <w:pStyle w:val="Compact"/>
            </w:pPr>
            <w:r w:rsidRPr="0070080E">
              <w:t>Categorical: Standard process / Enhanced review / Cooling-off and second review</w:t>
            </w:r>
          </w:p>
        </w:tc>
      </w:tr>
    </w:tbl>
    <w:p w14:paraId="3CB10202" w14:textId="77777777" w:rsidR="00F67DDB" w:rsidRPr="0070080E" w:rsidRDefault="0094076D">
      <w:pPr>
        <w:pStyle w:val="BodyText"/>
      </w:pPr>
      <w:r w:rsidRPr="0070080E">
        <w:rPr>
          <w:i/>
          <w:iCs/>
        </w:rPr>
        <w:t>Note.</w:t>
      </w:r>
      <w:r w:rsidRPr="0070080E">
        <w:t xml:space="preserve"> Dashboard signals are derived from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composite and its constituent components as defined in Table 4.4. The display format column reflects the visual representation shown to respondents in the ShowSC = 1 condition.</w:t>
      </w:r>
    </w:p>
    <w:p w14:paraId="3CB10203" w14:textId="77777777" w:rsidR="00F67DDB" w:rsidRPr="0070080E" w:rsidRDefault="0094076D">
      <w:pPr>
        <w:pStyle w:val="BodyText"/>
      </w:pPr>
      <w:r w:rsidRPr="0070080E">
        <w:rPr>
          <w:b/>
          <w:bCs/>
        </w:rPr>
        <w:t>Persistence score and horizon buckets.</w:t>
      </w:r>
      <w:r w:rsidRPr="0070080E">
        <w:t xml:space="preserve"> Persistence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70080E">
        <w:t>) is a quantitative score, developed in this thesis, representing the expected decision-relevance horizon of the event, mapped to buckets following practitioner conventions (intraday, multi-day, multi-week):</w:t>
      </w:r>
    </w:p>
    <w:p w14:paraId="3CB10204"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HorizonBucket</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Intraday</m:t>
                    </m:r>
                  </m:e>
                  <m:e>
                    <m:r>
                      <m:rPr>
                        <m:nor/>
                      </m:rPr>
                      <m:t xml:space="preserve">if </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mr>
                <m:mr>
                  <m:e>
                    <m:r>
                      <m:rPr>
                        <m:nor/>
                      </m:rPr>
                      <m:t>Several days</m:t>
                    </m:r>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mr>
                <m:mr>
                  <m:e>
                    <m:r>
                      <m:rPr>
                        <m:nor/>
                      </m:rPr>
                      <m:t>Several weeks</m:t>
                    </m:r>
                  </m:e>
                  <m:e>
                    <m:r>
                      <m:rPr>
                        <m:nor/>
                      </m:rPr>
                      <m:t xml:space="preserve">if </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3CB10205" w14:textId="77777777" w:rsidR="00F67DDB" w:rsidRPr="0070080E" w:rsidRDefault="0094076D">
      <w:pPr>
        <w:pStyle w:val="FirstParagraph"/>
      </w:pPr>
      <w:r w:rsidRPr="0070080E">
        <w:t xml:space="preserve">Cutoffs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70080E">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70080E">
        <w:t xml:space="preserve"> and the computation of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70080E">
        <w:t xml:space="preserve"> are specified ex ante in the scenario manifest.</w:t>
      </w:r>
    </w:p>
    <w:p w14:paraId="3CB10206" w14:textId="1B88CCB5" w:rsidR="00F67DDB" w:rsidRPr="0070080E" w:rsidRDefault="0094076D">
      <w:pPr>
        <w:pStyle w:val="BodyText"/>
      </w:pPr>
      <w:r w:rsidRPr="0070080E">
        <w:rPr>
          <w:b/>
          <w:bCs/>
        </w:rPr>
        <w:t>Rules-based pre-commitment trigger (Protocol).</w:t>
      </w:r>
      <w:r w:rsidRPr="0070080E">
        <w:t xml:space="preserve"> A predefined action rule activated by shock intensity, designed for this thesis drawing on the pre-commitment and nudge frameworks of Shefrin (200</w:t>
      </w:r>
      <w:r w:rsidR="009A5DBD">
        <w:t>7</w:t>
      </w:r>
      <w:r w:rsidRPr="0070080E">
        <w:t xml:space="preserve">) and Thaler </w:t>
      </w:r>
      <w:r w:rsidR="00352772">
        <w:t>and</w:t>
      </w:r>
      <w:r w:rsidRPr="0070080E">
        <w:t xml:space="preserve"> Sunstein (2008). Let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70080E">
        <w:t xml:space="preserve"> be an intensity trigger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or a monotone transformation thereof):</w:t>
      </w:r>
    </w:p>
    <w:p w14:paraId="3CB10207"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Protocol</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Standard process</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e>
                </m:mr>
                <m:mr>
                  <m:e>
                    <m:r>
                      <m:rPr>
                        <m:nor/>
                      </m:rPr>
                      <m:t>Enhanced review</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e>
                </m:mr>
                <m:mr>
                  <m:e>
                    <m:r>
                      <m:rPr>
                        <m:nor/>
                      </m:rPr>
                      <m:t>Cooling-off and second review</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mr>
              </m:m>
            </m:e>
          </m:d>
        </m:oMath>
      </m:oMathPara>
    </w:p>
    <w:p w14:paraId="3CB10208" w14:textId="77777777" w:rsidR="00F67DDB" w:rsidRPr="0070080E" w:rsidRDefault="0094076D">
      <w:pPr>
        <w:pStyle w:val="FirstParagraph"/>
      </w:pPr>
      <w:r w:rsidRPr="0070080E">
        <w:t xml:space="preserve">Thresholds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70080E">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70080E">
        <w:t xml:space="preserve"> and the operational meaning of each protocol step are specified ex ante in the scenario manifest.</w:t>
      </w:r>
    </w:p>
    <w:p w14:paraId="3CB10209" w14:textId="77777777" w:rsidR="00F67DDB" w:rsidRPr="0070080E" w:rsidRDefault="0094076D">
      <w:pPr>
        <w:pStyle w:val="Heading2"/>
      </w:pPr>
      <w:bookmarkStart w:id="123" w:name="_Toc231913455"/>
      <w:bookmarkStart w:id="124" w:name="design-of-the-survey"/>
      <w:bookmarkEnd w:id="116"/>
      <w:bookmarkEnd w:id="122"/>
      <w:r w:rsidRPr="0070080E">
        <w:t>4.4 Design of the Survey</w:t>
      </w:r>
      <w:bookmarkEnd w:id="123"/>
    </w:p>
    <w:p w14:paraId="3CB1020A" w14:textId="77777777" w:rsidR="00F67DDB" w:rsidRPr="0070080E" w:rsidRDefault="0094076D">
      <w:pPr>
        <w:pStyle w:val="Heading3"/>
      </w:pPr>
      <w:bookmarkStart w:id="125" w:name="overall-survey-structure"/>
      <w:r w:rsidRPr="0070080E">
        <w:t>4.4.1 Overall Survey Structure</w:t>
      </w:r>
    </w:p>
    <w:p w14:paraId="3CB1020B" w14:textId="77777777" w:rsidR="00F67DDB" w:rsidRPr="0070080E" w:rsidRDefault="0094076D">
      <w:pPr>
        <w:pStyle w:val="FirstParagraph"/>
      </w:pPr>
      <w:r w:rsidRPr="0070080E">
        <w:t>The survey consists of four sequential sections.</w:t>
      </w:r>
    </w:p>
    <w:p w14:paraId="3CB1020C" w14:textId="77777777" w:rsidR="00F67DDB" w:rsidRPr="0070080E" w:rsidRDefault="0094076D">
      <w:pPr>
        <w:pStyle w:val="BodyText"/>
      </w:pPr>
      <w:r w:rsidRPr="0070080E">
        <w:t>Section 1 (Demographics and Professional Profile) collects regression controls: years of portfolio management experience, AUM range, institution type, mandate type, geographic focus, discretionary authority (three-level ordinal: full / partial-committee / advisory), and professional certifications.</w:t>
      </w:r>
    </w:p>
    <w:p w14:paraId="3CB1020D" w14:textId="32ED02C5" w:rsidR="00F67DDB" w:rsidRPr="0070080E" w:rsidRDefault="0094076D">
      <w:pPr>
        <w:pStyle w:val="BodyText"/>
      </w:pPr>
      <w:r w:rsidRPr="0070080E">
        <w:t>Section 2 (Scenario Responses</w:t>
      </w:r>
      <w:r w:rsidR="000A66AA">
        <w:t>—</w:t>
      </w:r>
      <w:r w:rsidRPr="0070080E">
        <w:t>Experimental Core) presents the eight information shock scenarios. The scenario format is described in Section 4.4.2; treatment scenarios include the dashboard (Section 4.3.6), control scenarios do not. The manager records the NRS response (Section 4.4.5) after each scenario.</w:t>
      </w:r>
    </w:p>
    <w:p w14:paraId="3CB1020E" w14:textId="77777777" w:rsidR="00F67DDB" w:rsidRPr="0070080E" w:rsidRDefault="0094076D">
      <w:pPr>
        <w:pStyle w:val="BodyText"/>
      </w:pPr>
      <w:r w:rsidRPr="0070080E">
        <w:t>Section 3 (Post-Experiment Questions) administers two items after all eight scenarios. A manipulation check (“Did the Shock Score dashboard influence your decision…?”; Yes/No/Unsure) verifies that treatment-condition respondents noticed and processed the dashboard. A perceived-usefulness item (5-point scale) informs the Chapter 6 recommendations but is not used in hypothesis testing.</w:t>
      </w:r>
    </w:p>
    <w:p w14:paraId="3CB1020F" w14:textId="77777777" w:rsidR="00F67DDB" w:rsidRPr="0070080E" w:rsidRDefault="0094076D">
      <w:pPr>
        <w:pStyle w:val="BodyText"/>
      </w:pPr>
      <w:r w:rsidRPr="0070080E">
        <w:t>Section 4 (Closing) contains consent confirmation, an optional open-text feedback field, and contact information for follow-up research.</w:t>
      </w:r>
    </w:p>
    <w:p w14:paraId="3CB10210" w14:textId="77777777" w:rsidR="00F67DDB" w:rsidRPr="0070080E" w:rsidRDefault="0094076D">
      <w:pPr>
        <w:pStyle w:val="BodyText"/>
      </w:pPr>
      <w:r w:rsidRPr="0070080E">
        <w:t>The instrument is implemented in Google Forms. Because conditional display is unsupported within a single form, treatment manipulation is achieved through six distinct forms (3 blocks × 2 versions), each pre-assigning scenarios to treatment or control (Section 4.4.4). Charts and dashboards are embedded as PNG images.</w:t>
      </w:r>
    </w:p>
    <w:p w14:paraId="3CB10211" w14:textId="77777777" w:rsidR="00F67DDB" w:rsidRPr="0070080E" w:rsidRDefault="0094076D">
      <w:pPr>
        <w:pStyle w:val="Heading3"/>
      </w:pPr>
      <w:bookmarkStart w:id="126" w:name="scenario-presentation-format"/>
      <w:bookmarkEnd w:id="125"/>
      <w:r w:rsidRPr="0070080E">
        <w:t>4.4.2 Scenario Presentation Format</w:t>
      </w:r>
    </w:p>
    <w:p w14:paraId="3CB10212" w14:textId="77777777" w:rsidR="00F67DDB" w:rsidRPr="0070080E" w:rsidRDefault="0094076D">
      <w:pPr>
        <w:pStyle w:val="FirstParagraph"/>
      </w:pPr>
      <w:r w:rsidRPr="0070080E">
        <w:t>Each scenario places the manager at a decision point shortly after the shock but before the day’s price resolution. Showing the full day would convert the task from decision-under-uncertainty into outcome evaluation; the Shock Score’s value is greatest when news has hit but the market has not yet fully digested it.</w:t>
      </w:r>
    </w:p>
    <w:p w14:paraId="3CB10213" w14:textId="77777777" w:rsidR="00F67DDB" w:rsidRPr="0070080E" w:rsidRDefault="0094076D">
      <w:pPr>
        <w:pStyle w:val="BodyText"/>
      </w:pPr>
      <w:r w:rsidRPr="0070080E">
        <w:t>Each scenario presents:</w:t>
      </w:r>
    </w:p>
    <w:p w14:paraId="3CB10214" w14:textId="77777777" w:rsidR="00F67DDB" w:rsidRPr="0070080E" w:rsidRDefault="0094076D">
      <w:pPr>
        <w:numPr>
          <w:ilvl w:val="0"/>
          <w:numId w:val="8"/>
        </w:numPr>
      </w:pPr>
      <w:r w:rsidRPr="0070080E">
        <w:t>Stock identification header: company name, ticker, GICS sector, and shock-bar percentage change, formatted in a style modeled on financial data platforms.</w:t>
      </w:r>
    </w:p>
    <w:p w14:paraId="3CB10215" w14:textId="39566F01" w:rsidR="00F67DDB" w:rsidRPr="0070080E" w:rsidRDefault="0094076D">
      <w:pPr>
        <w:numPr>
          <w:ilvl w:val="0"/>
          <w:numId w:val="8"/>
        </w:numPr>
      </w:pPr>
      <w:r w:rsidRPr="0070080E">
        <w:t>Intraday price chart: a Bloomberg-style dark-theme chart of 30-minute bars over two trading days</w:t>
      </w:r>
      <w:r w:rsidR="000A66AA">
        <w:t>—</w:t>
      </w:r>
      <w:r w:rsidRPr="0070080E">
        <w:t>the full preceding day and the event day through two bars after the shock. The line is colored by the 2-hour post-event reaction (green positive, red negative); volume bars are gray, with the shock bar retaining the directional color. Embedded as PNG.</w:t>
      </w:r>
    </w:p>
    <w:p w14:paraId="3CB10216" w14:textId="77777777" w:rsidR="00F67DDB" w:rsidRPr="0070080E" w:rsidRDefault="0094076D">
      <w:pPr>
        <w:numPr>
          <w:ilvl w:val="0"/>
          <w:numId w:val="8"/>
        </w:numPr>
      </w:pPr>
      <w:r w:rsidRPr="0070080E">
        <w:t>News event: headline and a 2-to-3-sentence summary. High-</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scenarios (clusters of six or more articles) include a brief cluster summary noting coverage breadth alongside the most prominent headline.</w:t>
      </w:r>
    </w:p>
    <w:p w14:paraId="3CB10217" w14:textId="77777777" w:rsidR="00F67DDB" w:rsidRPr="0070080E" w:rsidRDefault="0094076D">
      <w:pPr>
        <w:numPr>
          <w:ilvl w:val="0"/>
          <w:numId w:val="8"/>
        </w:numPr>
      </w:pPr>
      <w:r w:rsidRPr="0070080E">
        <w:t>Treatment condition only (ShowSC = 1): the four-signal dashboard (Sentiment Direction, Shock Severity, Persistence Horizon, Protocol), color-coded by category.</w:t>
      </w:r>
    </w:p>
    <w:p w14:paraId="3CB10218" w14:textId="77777777" w:rsidR="00F67DDB" w:rsidRPr="0070080E" w:rsidRDefault="0094076D">
      <w:pPr>
        <w:numPr>
          <w:ilvl w:val="0"/>
          <w:numId w:val="8"/>
        </w:numPr>
      </w:pPr>
      <w:r w:rsidRPr="0070080E">
        <w:t>NRS response item: the seven-point scale (Section 4.4.5).</w:t>
      </w:r>
    </w:p>
    <w:p w14:paraId="5BEA0E53" w14:textId="77777777" w:rsidR="00E80316" w:rsidRPr="0070080E" w:rsidRDefault="00E80316">
      <w:pPr>
        <w:spacing w:after="200" w:line="240" w:lineRule="auto"/>
        <w:ind w:firstLine="0"/>
        <w:rPr>
          <w:b/>
          <w:bCs/>
        </w:rPr>
      </w:pPr>
      <w:r w:rsidRPr="0070080E">
        <w:rPr>
          <w:b/>
          <w:bCs/>
        </w:rPr>
        <w:br w:type="page"/>
      </w:r>
    </w:p>
    <w:p w14:paraId="3CB10219" w14:textId="4F71CD9E" w:rsidR="00F67DDB" w:rsidRPr="0070080E" w:rsidRDefault="0094076D" w:rsidP="00E10AFC">
      <w:pPr>
        <w:pStyle w:val="Tableid"/>
      </w:pPr>
      <w:r w:rsidRPr="0070080E">
        <w:t>Figure 4.3</w:t>
      </w:r>
    </w:p>
    <w:p w14:paraId="3CB1021A" w14:textId="6574D84F" w:rsidR="00F67DDB" w:rsidRPr="0070080E" w:rsidRDefault="0094076D" w:rsidP="00E10AFC">
      <w:pPr>
        <w:pStyle w:val="TableCaption"/>
      </w:pPr>
      <w:r w:rsidRPr="0070080E">
        <w:t xml:space="preserve">Example Scenario Presentation in the </w:t>
      </w:r>
      <w:commentRangeStart w:id="127"/>
      <w:commentRangeStart w:id="128"/>
      <w:r w:rsidRPr="0070080E">
        <w:t>Treatment Condition</w:t>
      </w:r>
      <w:commentRangeEnd w:id="127"/>
      <w:r w:rsidR="00F94C43" w:rsidRPr="0070080E">
        <w:rPr>
          <w:rStyle w:val="CommentReference"/>
          <w:sz w:val="22"/>
          <w:szCs w:val="24"/>
        </w:rPr>
        <w:commentReference w:id="127"/>
      </w:r>
      <w:commentRangeEnd w:id="128"/>
      <w:r w:rsidR="00976D65">
        <w:rPr>
          <w:rStyle w:val="CommentReference"/>
          <w:i w:val="0"/>
        </w:rPr>
        <w:commentReference w:id="128"/>
      </w:r>
    </w:p>
    <w:p w14:paraId="3CB1021B" w14:textId="77777777" w:rsidR="00F67DDB" w:rsidRPr="0070080E" w:rsidRDefault="0094076D" w:rsidP="00E10AFC">
      <w:pPr>
        <w:pStyle w:val="Compact"/>
      </w:pPr>
      <w:r w:rsidRPr="0070080E">
        <w:rPr>
          <w:noProof/>
        </w:rPr>
        <w:drawing>
          <wp:inline distT="0" distB="0" distL="0" distR="0" wp14:anchorId="3CB1081F" wp14:editId="0BE3383F">
            <wp:extent cx="4038600" cy="7301797"/>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images/scenario_presentation_format.png"/>
                    <pic:cNvPicPr>
                      <a:picLocks noChangeAspect="1" noChangeArrowheads="1"/>
                    </pic:cNvPicPr>
                  </pic:nvPicPr>
                  <pic:blipFill>
                    <a:blip r:embed="rId334"/>
                    <a:stretch>
                      <a:fillRect/>
                    </a:stretch>
                  </pic:blipFill>
                  <pic:spPr bwMode="auto">
                    <a:xfrm>
                      <a:off x="0" y="0"/>
                      <a:ext cx="4038600" cy="7301797"/>
                    </a:xfrm>
                    <a:prstGeom prst="rect">
                      <a:avLst/>
                    </a:prstGeom>
                    <a:noFill/>
                    <a:ln w="9525">
                      <a:noFill/>
                      <a:headEnd/>
                      <a:tailEnd/>
                    </a:ln>
                  </pic:spPr>
                </pic:pic>
              </a:graphicData>
            </a:graphic>
          </wp:inline>
        </w:drawing>
      </w:r>
    </w:p>
    <w:p w14:paraId="3CB1021C" w14:textId="5D7F253D" w:rsidR="00F67DDB" w:rsidRPr="0070080E" w:rsidRDefault="0094076D">
      <w:pPr>
        <w:pStyle w:val="BodyText"/>
      </w:pPr>
      <w:r w:rsidRPr="0070080E">
        <w:rPr>
          <w:i/>
          <w:iCs/>
        </w:rPr>
        <w:t>Note.</w:t>
      </w:r>
      <w:r w:rsidRPr="0070080E">
        <w:t xml:space="preserve"> The figure displays a complete scenario as seen by a respondent in the ShowSC = 1 condition, including the stock identification header, intraday price chart, news summary, Shock Score dashboard, and NRS response item.</w:t>
      </w:r>
      <w:r w:rsidR="00F1188A">
        <w:t xml:space="preserve"> </w:t>
      </w:r>
      <w:r w:rsidR="00F1188A" w:rsidRPr="00AC7AD7">
        <w:t>Original figure created for this study (2026).</w:t>
      </w:r>
    </w:p>
    <w:p w14:paraId="3CB1021D" w14:textId="77777777" w:rsidR="00F67DDB" w:rsidRPr="0070080E" w:rsidRDefault="0094076D">
      <w:pPr>
        <w:pStyle w:val="BodyText"/>
      </w:pPr>
      <w:r w:rsidRPr="0070080E">
        <w:t>All prices are presented as percentage returns, eliminating anchoring on absolute price levels (Tversky &amp; Kahneman, 1974) and matching professional convention (basis points, percentage moves). The portfolio context statement appears once in the survey introduction: “You manage a diversified equity portfolio with equal weights across 24 stocks. The following events have occurred for individual holdings in your portfolio.” See Appendix 4 for survey questionnaire examples.</w:t>
      </w:r>
    </w:p>
    <w:p w14:paraId="3CB1021E" w14:textId="77777777" w:rsidR="00F67DDB" w:rsidRPr="0070080E" w:rsidRDefault="0094076D">
      <w:pPr>
        <w:pStyle w:val="Heading3"/>
      </w:pPr>
      <w:bookmarkStart w:id="129" w:name="treatment-implementation"/>
      <w:bookmarkEnd w:id="126"/>
      <w:r w:rsidRPr="0070080E">
        <w:t>4.4.3 Treatment Implementation</w:t>
      </w:r>
    </w:p>
    <w:p w14:paraId="3CB1021F" w14:textId="77777777" w:rsidR="00F67DDB" w:rsidRPr="0070080E" w:rsidRDefault="0094076D">
      <w:pPr>
        <w:pStyle w:val="FirstParagraph"/>
      </w:pPr>
      <w:r w:rsidRPr="0070080E">
        <w:t>Each manager responds to four control scenarios (ShowSC = 0) and four treatment scenarios (ShowSC = 1). The dashboard appears directly below the scenario description in the treatment condition and is absent (without placeholder or reference) in the control condition.</w:t>
      </w:r>
    </w:p>
    <w:p w14:paraId="3CB10220" w14:textId="77777777" w:rsidR="00F67DDB" w:rsidRPr="0070080E" w:rsidRDefault="0094076D">
      <w:pPr>
        <w:pStyle w:val="BodyText"/>
      </w:pPr>
      <w:r w:rsidRPr="0070080E">
        <w:t>Treatment and control scenarios are interleaved within each respondent’s sequence to prevent condition clustering and confounding with learning or fatigue effects. The interleaving pattern follows the counterbalancing strategy in Section 4.4.4.</w:t>
      </w:r>
    </w:p>
    <w:p w14:paraId="3CB10221" w14:textId="77777777" w:rsidR="00F67DDB" w:rsidRPr="0070080E" w:rsidRDefault="0094076D">
      <w:pPr>
        <w:pStyle w:val="Heading3"/>
      </w:pPr>
      <w:bookmarkStart w:id="130" w:name="counterbalancing-strategy"/>
      <w:bookmarkEnd w:id="129"/>
      <w:r w:rsidRPr="0070080E">
        <w:t>4.4.4 Counterbalancing Strategy</w:t>
      </w:r>
    </w:p>
    <w:p w14:paraId="3CB10222" w14:textId="77777777" w:rsidR="00F67DDB" w:rsidRPr="0070080E" w:rsidRDefault="0094076D">
      <w:pPr>
        <w:pStyle w:val="FirstParagraph"/>
      </w:pPr>
      <w:r w:rsidRPr="0070080E">
        <w:t>A Latin square counterbalanced block design ensures treatment assignment is orthogonal to scenario characteristics and presentation order. Between blocks: the 24 scenarios are distributed across three mutually exclusive blocks of eight (Section 4.3.1). Each respondent is randomly assigned to one block; no stock appears in more than one block.</w:t>
      </w:r>
    </w:p>
    <w:p w14:paraId="3CB10223" w14:textId="77777777" w:rsidR="00F67DDB" w:rsidRPr="0070080E" w:rsidRDefault="0094076D">
      <w:pPr>
        <w:pStyle w:val="BodyText"/>
      </w:pPr>
      <w:r w:rsidRPr="0070080E">
        <w:t>Within blocks: two versions (V1 and V2) split each block’s scenarios into Group A (S1–S4) and Group B (S5–S8). V1 assigns Group A to ShowSC = 1 and Group B to ShowSC = 0; V2 reverses the assignment. Scenarios are interleaved A–B (S1, S5, S2, S6, S3, S7, S4, S8) within each version.</w:t>
      </w:r>
    </w:p>
    <w:p w14:paraId="3CB10224" w14:textId="77777777" w:rsidR="00F67DDB" w:rsidRPr="0070080E" w:rsidRDefault="0094076D">
      <w:pPr>
        <w:pStyle w:val="BodyText"/>
      </w:pPr>
      <w:r w:rsidRPr="0070080E">
        <w:t>This yields six distinct forms (3 × 2). Each scenario serves as treatment for roughly half of its block’s respondents and as control for the other half, ensuring observed treatment effects cannot be attributed to specific scenario characteristics and that scenario position is not confounded with treatment.</w:t>
      </w:r>
    </w:p>
    <w:p w14:paraId="3CB10225" w14:textId="77777777" w:rsidR="00F67DDB" w:rsidRPr="0070080E" w:rsidRDefault="0094076D" w:rsidP="00E10AFC">
      <w:pPr>
        <w:pStyle w:val="Tableid"/>
      </w:pPr>
      <w:r w:rsidRPr="0070080E">
        <w:t>Table 4.6</w:t>
      </w:r>
    </w:p>
    <w:p w14:paraId="3CB10226" w14:textId="77777777" w:rsidR="00F67DDB" w:rsidRPr="0070080E" w:rsidRDefault="0094076D" w:rsidP="00E10AFC">
      <w:pPr>
        <w:pStyle w:val="TableCaption"/>
      </w:pPr>
      <w:r w:rsidRPr="0070080E">
        <w:t>Counterbalancing Design</w:t>
      </w:r>
    </w:p>
    <w:tbl>
      <w:tblPr>
        <w:tblStyle w:val="Table"/>
        <w:tblW w:w="5000" w:type="pct"/>
        <w:tblLayout w:type="fixed"/>
        <w:tblLook w:val="0020" w:firstRow="1" w:lastRow="0" w:firstColumn="0" w:lastColumn="0" w:noHBand="0" w:noVBand="0"/>
      </w:tblPr>
      <w:tblGrid>
        <w:gridCol w:w="950"/>
        <w:gridCol w:w="1221"/>
        <w:gridCol w:w="2306"/>
        <w:gridCol w:w="2306"/>
        <w:gridCol w:w="2577"/>
      </w:tblGrid>
      <w:tr w:rsidR="00F67DDB" w:rsidRPr="0070080E" w14:paraId="3CB1022C"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803" w:type="dxa"/>
          </w:tcPr>
          <w:p w14:paraId="3CB10227" w14:textId="77777777" w:rsidR="00F67DDB" w:rsidRPr="0070080E" w:rsidRDefault="0094076D">
            <w:pPr>
              <w:pStyle w:val="Compact"/>
            </w:pPr>
            <w:r w:rsidRPr="0070080E">
              <w:t>Block</w:t>
            </w:r>
          </w:p>
        </w:tc>
        <w:tc>
          <w:tcPr>
            <w:tcW w:w="1033" w:type="dxa"/>
          </w:tcPr>
          <w:p w14:paraId="3CB10228" w14:textId="77777777" w:rsidR="00F67DDB" w:rsidRPr="0070080E" w:rsidRDefault="0094076D">
            <w:pPr>
              <w:pStyle w:val="Compact"/>
            </w:pPr>
            <w:r w:rsidRPr="0070080E">
              <w:t>Version</w:t>
            </w:r>
          </w:p>
        </w:tc>
        <w:tc>
          <w:tcPr>
            <w:tcW w:w="1951" w:type="dxa"/>
          </w:tcPr>
          <w:p w14:paraId="3CB10229" w14:textId="77777777" w:rsidR="00F67DDB" w:rsidRPr="0070080E" w:rsidRDefault="0094076D">
            <w:pPr>
              <w:pStyle w:val="Compact"/>
            </w:pPr>
            <w:r w:rsidRPr="0070080E">
              <w:t>Group A (S1-S4)</w:t>
            </w:r>
          </w:p>
        </w:tc>
        <w:tc>
          <w:tcPr>
            <w:tcW w:w="1951" w:type="dxa"/>
          </w:tcPr>
          <w:p w14:paraId="3CB1022A" w14:textId="77777777" w:rsidR="00F67DDB" w:rsidRPr="0070080E" w:rsidRDefault="0094076D">
            <w:pPr>
              <w:pStyle w:val="Compact"/>
            </w:pPr>
            <w:r w:rsidRPr="0070080E">
              <w:t>Group B (S5-S8)</w:t>
            </w:r>
          </w:p>
        </w:tc>
        <w:tc>
          <w:tcPr>
            <w:tcW w:w="2180" w:type="dxa"/>
          </w:tcPr>
          <w:p w14:paraId="3CB1022B" w14:textId="77777777" w:rsidR="00F67DDB" w:rsidRPr="0070080E" w:rsidRDefault="0094076D">
            <w:pPr>
              <w:pStyle w:val="Compact"/>
            </w:pPr>
            <w:r w:rsidRPr="0070080E">
              <w:t>Presentation Order</w:t>
            </w:r>
          </w:p>
        </w:tc>
      </w:tr>
      <w:tr w:rsidR="00F67DDB" w:rsidRPr="0070080E" w14:paraId="3CB10232" w14:textId="77777777">
        <w:tc>
          <w:tcPr>
            <w:tcW w:w="803" w:type="dxa"/>
          </w:tcPr>
          <w:p w14:paraId="3CB1022D" w14:textId="77777777" w:rsidR="00F67DDB" w:rsidRPr="0070080E" w:rsidRDefault="0094076D">
            <w:pPr>
              <w:pStyle w:val="Compact"/>
            </w:pPr>
            <w:r w:rsidRPr="0070080E">
              <w:t>1</w:t>
            </w:r>
          </w:p>
        </w:tc>
        <w:tc>
          <w:tcPr>
            <w:tcW w:w="1033" w:type="dxa"/>
          </w:tcPr>
          <w:p w14:paraId="3CB1022E" w14:textId="77777777" w:rsidR="00F67DDB" w:rsidRPr="0070080E" w:rsidRDefault="0094076D">
            <w:pPr>
              <w:pStyle w:val="Compact"/>
            </w:pPr>
            <w:r w:rsidRPr="0070080E">
              <w:t>V1</w:t>
            </w:r>
          </w:p>
        </w:tc>
        <w:tc>
          <w:tcPr>
            <w:tcW w:w="1951" w:type="dxa"/>
          </w:tcPr>
          <w:p w14:paraId="3CB1022F" w14:textId="77777777" w:rsidR="00F67DDB" w:rsidRPr="0070080E" w:rsidRDefault="0094076D">
            <w:pPr>
              <w:pStyle w:val="Compact"/>
            </w:pPr>
            <w:r w:rsidRPr="0070080E">
              <w:t>ShowSC = 1</w:t>
            </w:r>
          </w:p>
        </w:tc>
        <w:tc>
          <w:tcPr>
            <w:tcW w:w="1951" w:type="dxa"/>
          </w:tcPr>
          <w:p w14:paraId="3CB10230" w14:textId="77777777" w:rsidR="00F67DDB" w:rsidRPr="0070080E" w:rsidRDefault="0094076D">
            <w:pPr>
              <w:pStyle w:val="Compact"/>
            </w:pPr>
            <w:r w:rsidRPr="0070080E">
              <w:t>ShowSC = 0</w:t>
            </w:r>
          </w:p>
        </w:tc>
        <w:tc>
          <w:tcPr>
            <w:tcW w:w="2180" w:type="dxa"/>
          </w:tcPr>
          <w:p w14:paraId="3CB10231" w14:textId="77777777" w:rsidR="00F67DDB" w:rsidRPr="0070080E" w:rsidRDefault="0094076D">
            <w:pPr>
              <w:pStyle w:val="Compact"/>
            </w:pPr>
            <w:r w:rsidRPr="0070080E">
              <w:t>S1, S5, S2, S6, S3, S7, S4, S8</w:t>
            </w:r>
          </w:p>
        </w:tc>
      </w:tr>
      <w:tr w:rsidR="00F67DDB" w:rsidRPr="0070080E" w14:paraId="3CB10238" w14:textId="77777777">
        <w:tc>
          <w:tcPr>
            <w:tcW w:w="803" w:type="dxa"/>
          </w:tcPr>
          <w:p w14:paraId="3CB10233" w14:textId="77777777" w:rsidR="00F67DDB" w:rsidRPr="0070080E" w:rsidRDefault="0094076D">
            <w:pPr>
              <w:pStyle w:val="Compact"/>
            </w:pPr>
            <w:r w:rsidRPr="0070080E">
              <w:t>1</w:t>
            </w:r>
          </w:p>
        </w:tc>
        <w:tc>
          <w:tcPr>
            <w:tcW w:w="1033" w:type="dxa"/>
          </w:tcPr>
          <w:p w14:paraId="3CB10234" w14:textId="77777777" w:rsidR="00F67DDB" w:rsidRPr="0070080E" w:rsidRDefault="0094076D">
            <w:pPr>
              <w:pStyle w:val="Compact"/>
            </w:pPr>
            <w:r w:rsidRPr="0070080E">
              <w:t>V2</w:t>
            </w:r>
          </w:p>
        </w:tc>
        <w:tc>
          <w:tcPr>
            <w:tcW w:w="1951" w:type="dxa"/>
          </w:tcPr>
          <w:p w14:paraId="3CB10235" w14:textId="77777777" w:rsidR="00F67DDB" w:rsidRPr="0070080E" w:rsidRDefault="0094076D">
            <w:pPr>
              <w:pStyle w:val="Compact"/>
            </w:pPr>
            <w:r w:rsidRPr="0070080E">
              <w:t>ShowSC = 0</w:t>
            </w:r>
          </w:p>
        </w:tc>
        <w:tc>
          <w:tcPr>
            <w:tcW w:w="1951" w:type="dxa"/>
          </w:tcPr>
          <w:p w14:paraId="3CB10236" w14:textId="77777777" w:rsidR="00F67DDB" w:rsidRPr="0070080E" w:rsidRDefault="0094076D">
            <w:pPr>
              <w:pStyle w:val="Compact"/>
            </w:pPr>
            <w:r w:rsidRPr="0070080E">
              <w:t>ShowSC = 1</w:t>
            </w:r>
          </w:p>
        </w:tc>
        <w:tc>
          <w:tcPr>
            <w:tcW w:w="2180" w:type="dxa"/>
          </w:tcPr>
          <w:p w14:paraId="3CB10237" w14:textId="77777777" w:rsidR="00F67DDB" w:rsidRPr="0070080E" w:rsidRDefault="0094076D">
            <w:pPr>
              <w:pStyle w:val="Compact"/>
            </w:pPr>
            <w:r w:rsidRPr="0070080E">
              <w:t>S1, S5, S2, S6, S3, S7, S4, S8</w:t>
            </w:r>
          </w:p>
        </w:tc>
      </w:tr>
      <w:tr w:rsidR="00F67DDB" w:rsidRPr="0070080E" w14:paraId="3CB1023E" w14:textId="77777777">
        <w:tc>
          <w:tcPr>
            <w:tcW w:w="803" w:type="dxa"/>
          </w:tcPr>
          <w:p w14:paraId="3CB10239" w14:textId="77777777" w:rsidR="00F67DDB" w:rsidRPr="0070080E" w:rsidRDefault="0094076D">
            <w:pPr>
              <w:pStyle w:val="Compact"/>
            </w:pPr>
            <w:r w:rsidRPr="0070080E">
              <w:t>2</w:t>
            </w:r>
          </w:p>
        </w:tc>
        <w:tc>
          <w:tcPr>
            <w:tcW w:w="1033" w:type="dxa"/>
          </w:tcPr>
          <w:p w14:paraId="3CB1023A" w14:textId="77777777" w:rsidR="00F67DDB" w:rsidRPr="0070080E" w:rsidRDefault="0094076D">
            <w:pPr>
              <w:pStyle w:val="Compact"/>
            </w:pPr>
            <w:r w:rsidRPr="0070080E">
              <w:t>V1</w:t>
            </w:r>
          </w:p>
        </w:tc>
        <w:tc>
          <w:tcPr>
            <w:tcW w:w="1951" w:type="dxa"/>
          </w:tcPr>
          <w:p w14:paraId="3CB1023B" w14:textId="77777777" w:rsidR="00F67DDB" w:rsidRPr="0070080E" w:rsidRDefault="0094076D">
            <w:pPr>
              <w:pStyle w:val="Compact"/>
            </w:pPr>
            <w:r w:rsidRPr="0070080E">
              <w:t>ShowSC = 1</w:t>
            </w:r>
          </w:p>
        </w:tc>
        <w:tc>
          <w:tcPr>
            <w:tcW w:w="1951" w:type="dxa"/>
          </w:tcPr>
          <w:p w14:paraId="3CB1023C" w14:textId="77777777" w:rsidR="00F67DDB" w:rsidRPr="0070080E" w:rsidRDefault="0094076D">
            <w:pPr>
              <w:pStyle w:val="Compact"/>
            </w:pPr>
            <w:r w:rsidRPr="0070080E">
              <w:t>ShowSC = 0</w:t>
            </w:r>
          </w:p>
        </w:tc>
        <w:tc>
          <w:tcPr>
            <w:tcW w:w="2180" w:type="dxa"/>
          </w:tcPr>
          <w:p w14:paraId="3CB1023D" w14:textId="77777777" w:rsidR="00F67DDB" w:rsidRPr="0070080E" w:rsidRDefault="0094076D">
            <w:pPr>
              <w:pStyle w:val="Compact"/>
            </w:pPr>
            <w:r w:rsidRPr="0070080E">
              <w:t>S1, S5, S2, S6, S3, S7, S4, S8</w:t>
            </w:r>
          </w:p>
        </w:tc>
      </w:tr>
      <w:tr w:rsidR="00F67DDB" w:rsidRPr="0070080E" w14:paraId="3CB10244" w14:textId="77777777">
        <w:tc>
          <w:tcPr>
            <w:tcW w:w="803" w:type="dxa"/>
          </w:tcPr>
          <w:p w14:paraId="3CB1023F" w14:textId="77777777" w:rsidR="00F67DDB" w:rsidRPr="0070080E" w:rsidRDefault="0094076D">
            <w:pPr>
              <w:pStyle w:val="Compact"/>
            </w:pPr>
            <w:r w:rsidRPr="0070080E">
              <w:t>2</w:t>
            </w:r>
          </w:p>
        </w:tc>
        <w:tc>
          <w:tcPr>
            <w:tcW w:w="1033" w:type="dxa"/>
          </w:tcPr>
          <w:p w14:paraId="3CB10240" w14:textId="77777777" w:rsidR="00F67DDB" w:rsidRPr="0070080E" w:rsidRDefault="0094076D">
            <w:pPr>
              <w:pStyle w:val="Compact"/>
            </w:pPr>
            <w:r w:rsidRPr="0070080E">
              <w:t>V2</w:t>
            </w:r>
          </w:p>
        </w:tc>
        <w:tc>
          <w:tcPr>
            <w:tcW w:w="1951" w:type="dxa"/>
          </w:tcPr>
          <w:p w14:paraId="3CB10241" w14:textId="77777777" w:rsidR="00F67DDB" w:rsidRPr="0070080E" w:rsidRDefault="0094076D">
            <w:pPr>
              <w:pStyle w:val="Compact"/>
            </w:pPr>
            <w:r w:rsidRPr="0070080E">
              <w:t>ShowSC = 0</w:t>
            </w:r>
          </w:p>
        </w:tc>
        <w:tc>
          <w:tcPr>
            <w:tcW w:w="1951" w:type="dxa"/>
          </w:tcPr>
          <w:p w14:paraId="3CB10242" w14:textId="77777777" w:rsidR="00F67DDB" w:rsidRPr="0070080E" w:rsidRDefault="0094076D">
            <w:pPr>
              <w:pStyle w:val="Compact"/>
            </w:pPr>
            <w:r w:rsidRPr="0070080E">
              <w:t>ShowSC = 1</w:t>
            </w:r>
          </w:p>
        </w:tc>
        <w:tc>
          <w:tcPr>
            <w:tcW w:w="2180" w:type="dxa"/>
          </w:tcPr>
          <w:p w14:paraId="3CB10243" w14:textId="77777777" w:rsidR="00F67DDB" w:rsidRPr="0070080E" w:rsidRDefault="0094076D">
            <w:pPr>
              <w:pStyle w:val="Compact"/>
            </w:pPr>
            <w:r w:rsidRPr="0070080E">
              <w:t>S1, S5, S2, S6, S3, S7, S4, S8</w:t>
            </w:r>
          </w:p>
        </w:tc>
      </w:tr>
      <w:tr w:rsidR="00F67DDB" w:rsidRPr="0070080E" w14:paraId="3CB1024A" w14:textId="77777777">
        <w:tc>
          <w:tcPr>
            <w:tcW w:w="803" w:type="dxa"/>
          </w:tcPr>
          <w:p w14:paraId="3CB10245" w14:textId="77777777" w:rsidR="00F67DDB" w:rsidRPr="0070080E" w:rsidRDefault="0094076D">
            <w:pPr>
              <w:pStyle w:val="Compact"/>
            </w:pPr>
            <w:r w:rsidRPr="0070080E">
              <w:t>3</w:t>
            </w:r>
          </w:p>
        </w:tc>
        <w:tc>
          <w:tcPr>
            <w:tcW w:w="1033" w:type="dxa"/>
          </w:tcPr>
          <w:p w14:paraId="3CB10246" w14:textId="77777777" w:rsidR="00F67DDB" w:rsidRPr="0070080E" w:rsidRDefault="0094076D">
            <w:pPr>
              <w:pStyle w:val="Compact"/>
            </w:pPr>
            <w:r w:rsidRPr="0070080E">
              <w:t>V1</w:t>
            </w:r>
          </w:p>
        </w:tc>
        <w:tc>
          <w:tcPr>
            <w:tcW w:w="1951" w:type="dxa"/>
          </w:tcPr>
          <w:p w14:paraId="3CB10247" w14:textId="77777777" w:rsidR="00F67DDB" w:rsidRPr="0070080E" w:rsidRDefault="0094076D">
            <w:pPr>
              <w:pStyle w:val="Compact"/>
            </w:pPr>
            <w:r w:rsidRPr="0070080E">
              <w:t>ShowSC = 1</w:t>
            </w:r>
          </w:p>
        </w:tc>
        <w:tc>
          <w:tcPr>
            <w:tcW w:w="1951" w:type="dxa"/>
          </w:tcPr>
          <w:p w14:paraId="3CB10248" w14:textId="77777777" w:rsidR="00F67DDB" w:rsidRPr="0070080E" w:rsidRDefault="0094076D">
            <w:pPr>
              <w:pStyle w:val="Compact"/>
            </w:pPr>
            <w:r w:rsidRPr="0070080E">
              <w:t>ShowSC = 0</w:t>
            </w:r>
          </w:p>
        </w:tc>
        <w:tc>
          <w:tcPr>
            <w:tcW w:w="2180" w:type="dxa"/>
          </w:tcPr>
          <w:p w14:paraId="3CB10249" w14:textId="77777777" w:rsidR="00F67DDB" w:rsidRPr="0070080E" w:rsidRDefault="0094076D">
            <w:pPr>
              <w:pStyle w:val="Compact"/>
            </w:pPr>
            <w:r w:rsidRPr="0070080E">
              <w:t>S1, S5, S2, S6, S3, S7, S4, S8</w:t>
            </w:r>
          </w:p>
        </w:tc>
      </w:tr>
      <w:tr w:rsidR="00F67DDB" w:rsidRPr="0070080E" w14:paraId="3CB10250" w14:textId="77777777">
        <w:tc>
          <w:tcPr>
            <w:tcW w:w="803" w:type="dxa"/>
          </w:tcPr>
          <w:p w14:paraId="3CB1024B" w14:textId="77777777" w:rsidR="00F67DDB" w:rsidRPr="0070080E" w:rsidRDefault="0094076D">
            <w:pPr>
              <w:pStyle w:val="Compact"/>
            </w:pPr>
            <w:r w:rsidRPr="0070080E">
              <w:t>3</w:t>
            </w:r>
          </w:p>
        </w:tc>
        <w:tc>
          <w:tcPr>
            <w:tcW w:w="1033" w:type="dxa"/>
          </w:tcPr>
          <w:p w14:paraId="3CB1024C" w14:textId="77777777" w:rsidR="00F67DDB" w:rsidRPr="0070080E" w:rsidRDefault="0094076D">
            <w:pPr>
              <w:pStyle w:val="Compact"/>
            </w:pPr>
            <w:r w:rsidRPr="0070080E">
              <w:t>V2</w:t>
            </w:r>
          </w:p>
        </w:tc>
        <w:tc>
          <w:tcPr>
            <w:tcW w:w="1951" w:type="dxa"/>
          </w:tcPr>
          <w:p w14:paraId="3CB1024D" w14:textId="77777777" w:rsidR="00F67DDB" w:rsidRPr="0070080E" w:rsidRDefault="0094076D">
            <w:pPr>
              <w:pStyle w:val="Compact"/>
            </w:pPr>
            <w:r w:rsidRPr="0070080E">
              <w:t>ShowSC = 0</w:t>
            </w:r>
          </w:p>
        </w:tc>
        <w:tc>
          <w:tcPr>
            <w:tcW w:w="1951" w:type="dxa"/>
          </w:tcPr>
          <w:p w14:paraId="3CB1024E" w14:textId="77777777" w:rsidR="00F67DDB" w:rsidRPr="0070080E" w:rsidRDefault="0094076D">
            <w:pPr>
              <w:pStyle w:val="Compact"/>
            </w:pPr>
            <w:r w:rsidRPr="0070080E">
              <w:t>ShowSC = 1</w:t>
            </w:r>
          </w:p>
        </w:tc>
        <w:tc>
          <w:tcPr>
            <w:tcW w:w="2180" w:type="dxa"/>
          </w:tcPr>
          <w:p w14:paraId="3CB1024F" w14:textId="77777777" w:rsidR="00F67DDB" w:rsidRPr="0070080E" w:rsidRDefault="0094076D">
            <w:pPr>
              <w:pStyle w:val="Compact"/>
            </w:pPr>
            <w:r w:rsidRPr="0070080E">
              <w:t>S1, S5, S2, S6, S3, S7, S4, S8</w:t>
            </w:r>
          </w:p>
        </w:tc>
      </w:tr>
    </w:tbl>
    <w:p w14:paraId="3CB10251" w14:textId="77777777" w:rsidR="00F67DDB" w:rsidRPr="0070080E" w:rsidRDefault="0094076D" w:rsidP="00E10AFC">
      <w:pPr>
        <w:pStyle w:val="BodyText"/>
        <w:ind w:firstLine="0"/>
      </w:pPr>
      <w:r w:rsidRPr="0070080E">
        <w:t>Note: respondents are randomly assigned to one of the six forms. Within each form, Group A and Group B scenarios are interleaved to prevent treatment clustering.</w:t>
      </w:r>
    </w:p>
    <w:p w14:paraId="3CB10252" w14:textId="77777777" w:rsidR="00F67DDB" w:rsidRPr="0070080E" w:rsidRDefault="0094076D">
      <w:pPr>
        <w:pStyle w:val="Heading3"/>
      </w:pPr>
      <w:bookmarkStart w:id="131" w:name="net-risk-stance-response-measure"/>
      <w:bookmarkEnd w:id="130"/>
      <w:r w:rsidRPr="0070080E">
        <w:t>4.4.5 Net Risk Stance Response Measure</w:t>
      </w:r>
    </w:p>
    <w:p w14:paraId="3CB10253" w14:textId="77777777" w:rsidR="00F67DDB" w:rsidRPr="0070080E" w:rsidRDefault="0094076D">
      <w:pPr>
        <w:pStyle w:val="FirstParagraph"/>
      </w:pPr>
      <w:r w:rsidRPr="0070080E">
        <w:t>For each scenario, the manager selects a single response on the seven-point Net Risk Stance scale (introduced in Section 2.3.1 and reproduced here for reference):</w:t>
      </w:r>
    </w:p>
    <w:p w14:paraId="3CB10254" w14:textId="77777777" w:rsidR="00F67DDB" w:rsidRPr="0070080E" w:rsidRDefault="0094076D">
      <w:pPr>
        <w:pStyle w:val="Compact"/>
        <w:numPr>
          <w:ilvl w:val="0"/>
          <w:numId w:val="9"/>
        </w:numPr>
      </w:pPr>
      <w:r w:rsidRPr="0070080E">
        <w:t>Strongly reduce exposure</w:t>
      </w:r>
    </w:p>
    <w:p w14:paraId="3CB10255" w14:textId="77777777" w:rsidR="00F67DDB" w:rsidRPr="0070080E" w:rsidRDefault="0094076D">
      <w:pPr>
        <w:pStyle w:val="Compact"/>
        <w:numPr>
          <w:ilvl w:val="0"/>
          <w:numId w:val="9"/>
        </w:numPr>
      </w:pPr>
      <w:r w:rsidRPr="0070080E">
        <w:t>Reduce exposure</w:t>
      </w:r>
    </w:p>
    <w:p w14:paraId="3CB10256" w14:textId="77777777" w:rsidR="00F67DDB" w:rsidRPr="0070080E" w:rsidRDefault="0094076D">
      <w:pPr>
        <w:pStyle w:val="Compact"/>
        <w:numPr>
          <w:ilvl w:val="0"/>
          <w:numId w:val="9"/>
        </w:numPr>
      </w:pPr>
      <w:r w:rsidRPr="0070080E">
        <w:t>Slightly reduce exposure</w:t>
      </w:r>
    </w:p>
    <w:p w14:paraId="3CB10257" w14:textId="77777777" w:rsidR="00F67DDB" w:rsidRPr="0070080E" w:rsidRDefault="0094076D">
      <w:pPr>
        <w:pStyle w:val="Compact"/>
        <w:numPr>
          <w:ilvl w:val="0"/>
          <w:numId w:val="9"/>
        </w:numPr>
      </w:pPr>
      <w:r w:rsidRPr="0070080E">
        <w:t>Maintain current exposure</w:t>
      </w:r>
    </w:p>
    <w:p w14:paraId="3CB10258" w14:textId="77777777" w:rsidR="00F67DDB" w:rsidRPr="0070080E" w:rsidRDefault="0094076D">
      <w:pPr>
        <w:pStyle w:val="Compact"/>
        <w:numPr>
          <w:ilvl w:val="0"/>
          <w:numId w:val="9"/>
        </w:numPr>
      </w:pPr>
      <w:r w:rsidRPr="0070080E">
        <w:t>Slightly increase exposure</w:t>
      </w:r>
    </w:p>
    <w:p w14:paraId="3CB10259" w14:textId="77777777" w:rsidR="00F67DDB" w:rsidRPr="0070080E" w:rsidRDefault="0094076D">
      <w:pPr>
        <w:pStyle w:val="Compact"/>
        <w:numPr>
          <w:ilvl w:val="0"/>
          <w:numId w:val="9"/>
        </w:numPr>
      </w:pPr>
      <w:r w:rsidRPr="0070080E">
        <w:t>Increase exposure</w:t>
      </w:r>
    </w:p>
    <w:p w14:paraId="3CB1025A" w14:textId="77777777" w:rsidR="00F67DDB" w:rsidRPr="0070080E" w:rsidRDefault="0094076D">
      <w:pPr>
        <w:pStyle w:val="Compact"/>
        <w:numPr>
          <w:ilvl w:val="0"/>
          <w:numId w:val="9"/>
        </w:numPr>
      </w:pPr>
      <w:r w:rsidRPr="0070080E">
        <w:t>Strongly increase exposure</w:t>
      </w:r>
    </w:p>
    <w:p w14:paraId="7C2F6344" w14:textId="77777777" w:rsidR="00BD40B9" w:rsidRPr="0070080E" w:rsidRDefault="00BD40B9" w:rsidP="00BD40B9">
      <w:pPr>
        <w:pStyle w:val="Compact"/>
        <w:ind w:left="720"/>
      </w:pPr>
    </w:p>
    <w:p w14:paraId="3CB1025B" w14:textId="60A7088E" w:rsidR="00F67DDB" w:rsidRPr="0070080E" w:rsidRDefault="0094076D">
      <w:pPr>
        <w:pStyle w:val="FirstParagraph"/>
      </w:pPr>
      <w:r w:rsidRPr="0070080E">
        <w:t>The NRS is a single-item measure. Single-item scales are appropriate here because the construct</w:t>
      </w:r>
      <w:r w:rsidR="000A66AA">
        <w:t>—</w:t>
      </w:r>
      <w:r w:rsidRPr="0070080E">
        <w:t>directional portfolio adjustment intention</w:t>
      </w:r>
      <w:r w:rsidR="000A66AA">
        <w:t>—</w:t>
      </w:r>
      <w:r w:rsidRPr="0070080E">
        <w:t>is concrete and unidimensional (unlike abstract psychological constructs requiring multi-item content validity), because managers routinely express positioning as directional calls (reduce / hold / increase), and because eight scenarios make per-scenario brevity essential for completion rates.</w:t>
      </w:r>
    </w:p>
    <w:p w14:paraId="3CB1025C" w14:textId="77777777" w:rsidR="00F67DDB" w:rsidRPr="0070080E" w:rsidRDefault="0094076D">
      <w:pPr>
        <w:pStyle w:val="Heading3"/>
      </w:pPr>
      <w:bookmarkStart w:id="132" w:name="confound-controls"/>
      <w:bookmarkEnd w:id="131"/>
      <w:r w:rsidRPr="0070080E">
        <w:t>4.4.6 Confound Controls</w:t>
      </w:r>
    </w:p>
    <w:p w14:paraId="3CB1025D" w14:textId="36B24706" w:rsidR="00F67DDB" w:rsidRPr="0070080E" w:rsidRDefault="0094076D">
      <w:pPr>
        <w:pStyle w:val="FirstParagraph"/>
      </w:pPr>
      <w:r w:rsidRPr="0070080E">
        <w:t>Several design features minimize confounds. Scenario descriptions use neutral framing without signaling a “correct” response. Instructions do not reveal the hypotheses or the expected direction of the Shock Score’s effect, and the within-subject design is not disclosed</w:t>
      </w:r>
      <w:r w:rsidR="000A66AA">
        <w:t>—</w:t>
      </w:r>
      <w:r w:rsidRPr="0070080E">
        <w:t>managers are told they will respond to a series of scenarios, some of which include additional decision-support information. Completion is untimed to avoid artificial time pressure, though the ~15-minute estimate is communicated in the introduction. Design-level controls include the interleaved presentation order and counterbalancing across versions (Section 4.4.4) and the inclusion of block fixed effects in the regression specification (Section 4.5).</w:t>
      </w:r>
    </w:p>
    <w:p w14:paraId="3CB1025E" w14:textId="77777777" w:rsidR="00F67DDB" w:rsidRPr="0070080E" w:rsidRDefault="0094076D">
      <w:pPr>
        <w:pStyle w:val="Heading3"/>
      </w:pPr>
      <w:bookmarkStart w:id="133" w:name="population-sample-and-recruitment"/>
      <w:bookmarkEnd w:id="132"/>
      <w:r w:rsidRPr="0070080E">
        <w:t>4.4.7 Population, Sample, and Recruitment</w:t>
      </w:r>
    </w:p>
    <w:p w14:paraId="3CB1025F" w14:textId="77777777" w:rsidR="00F67DDB" w:rsidRPr="0070080E" w:rsidRDefault="0094076D">
      <w:pPr>
        <w:pStyle w:val="FirstParagraph"/>
      </w:pPr>
      <w:r w:rsidRPr="0070080E">
        <w:t>The target population consists of active equity portfolio managers with authority to make discretionary or advisory investment decisions, matching the equity focus of the Shock Score and the U.S.-listed portfolio universe (Section 4.3.1). A discretionary mandate authorizes the manager to execute trades on the client’s behalf without prior approval of each transaction, whereas an advisory mandate limits the manager to recommending trades that the client must approve. Inclusion criteria: a current role involving portfolio-level equity decision-making, at least two years of professional portfolio management experience, and English fluency. All discretionary authority levels (full, partial/committee, advisory) are eligible; authority level is recorded as a regression control (Section 4.5).</w:t>
      </w:r>
    </w:p>
    <w:p w14:paraId="3CB10260" w14:textId="033BE422" w:rsidR="00F67DDB" w:rsidRPr="0070080E" w:rsidRDefault="0094076D">
      <w:pPr>
        <w:pStyle w:val="BodyText"/>
      </w:pPr>
      <w:r w:rsidRPr="0070080E">
        <w:t>The target sample size was 50 valid completed questionnaires</w:t>
      </w:r>
      <w:r w:rsidR="000A66AA">
        <w:t>—</w:t>
      </w:r>
      <w:r w:rsidRPr="0070080E">
        <w:t xml:space="preserve">a deliberately realistic aim for a specialized and hard-to-recruit population; at eight scenarios per manager, this corresponds to 400 scenario-level observations. A separate power analysis for the primary H1 specification indicated that 80–100 managers would be required to detect a small-to-medium effect (Cohen’s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0.05</m:t>
        </m:r>
      </m:oMath>
      <w:r w:rsidRPr="0070080E">
        <w:t xml:space="preserve">) at </w:t>
      </w:r>
      <m:oMath>
        <m:r>
          <w:rPr>
            <w:rFonts w:ascii="Cambria Math" w:hAnsi="Cambria Math"/>
          </w:rPr>
          <m:t>α</m:t>
        </m:r>
        <m:r>
          <m:rPr>
            <m:sty m:val="p"/>
          </m:rPr>
          <w:rPr>
            <w:rFonts w:ascii="Cambria Math" w:hAnsi="Cambria Math"/>
          </w:rPr>
          <m:t>=</m:t>
        </m:r>
        <m:r>
          <w:rPr>
            <w:rFonts w:ascii="Cambria Math" w:hAnsi="Cambria Math"/>
          </w:rPr>
          <m:t>0.05</m:t>
        </m:r>
      </m:oMath>
      <w:r w:rsidRPr="0070080E">
        <w:t xml:space="preserve"> with power 0.80, given the repeated-measures structure. The realized sample of 53 respondents and 424 scenario-level observations (Section 5.2.1) met the recruitment target but remained below this power benchmark; the resulting constraint on the power of the H2 test is discussed in Section 5.8.2.</w:t>
      </w:r>
    </w:p>
    <w:p w14:paraId="3CB10261" w14:textId="1ECF3A1B" w:rsidR="00F67DDB" w:rsidRPr="0070080E" w:rsidRDefault="0094076D">
      <w:pPr>
        <w:pStyle w:val="BodyText"/>
      </w:pPr>
      <w:r w:rsidRPr="0070080E">
        <w:t xml:space="preserve">Sampling is purposive with snowball referral, as no comprehensive frame exists for this </w:t>
      </w:r>
      <w:r w:rsidR="00C9234E" w:rsidRPr="0070080E">
        <w:t>specialized</w:t>
      </w:r>
      <w:r w:rsidRPr="0070080E">
        <w:t xml:space="preserve"> population. Recruitment uses direct outreach through a professional network, targeted LinkedIn messaging, CFA and CAIA association channels, and firm-level distribution requests; recruited participants are invited to forward the survey to qualifying colleagues.</w:t>
      </w:r>
    </w:p>
    <w:p w14:paraId="3CB10262" w14:textId="77777777" w:rsidR="00F67DDB" w:rsidRPr="0070080E" w:rsidRDefault="0094076D">
      <w:pPr>
        <w:pStyle w:val="BodyText"/>
      </w:pPr>
      <w:r w:rsidRPr="0070080E">
        <w:t>Non-probability sampling limits generalizability: voluntary participants may over-represent those with interest in behavioral finance or decision-support tools (acknowledged in Section 2.8). Sample representativeness is characterized in Section 5.2.1 against available industry benchmarks.</w:t>
      </w:r>
    </w:p>
    <w:p w14:paraId="3CB10263" w14:textId="77777777" w:rsidR="00F67DDB" w:rsidRPr="0070080E" w:rsidRDefault="0094076D">
      <w:pPr>
        <w:pStyle w:val="Heading3"/>
      </w:pPr>
      <w:bookmarkStart w:id="134" w:name="survey-administration-and-response-rates"/>
      <w:bookmarkEnd w:id="133"/>
      <w:r w:rsidRPr="0070080E">
        <w:t>4.4.8 Survey Administration and Response Rates</w:t>
      </w:r>
    </w:p>
    <w:p w14:paraId="3CB10264" w14:textId="77777777" w:rsidR="00F67DDB" w:rsidRPr="0070080E" w:rsidRDefault="0094076D">
      <w:pPr>
        <w:pStyle w:val="FirstParagraph"/>
      </w:pPr>
      <w:r w:rsidRPr="0070080E">
        <w:t>The survey was deployed in two phases. The pilot ran 3–21 April 2026 using the Block 1 instrument (V1 and V2). The full survey launched on 17 April 2026, overlapping with the final pilot days, and remained open for ongoing recruitment.</w:t>
      </w:r>
    </w:p>
    <w:p w14:paraId="3CB10265" w14:textId="0EF4F0AF" w:rsidR="00F67DDB" w:rsidRPr="0070080E" w:rsidRDefault="0094076D">
      <w:pPr>
        <w:pStyle w:val="BodyText"/>
      </w:pPr>
      <w:r w:rsidRPr="0070080E">
        <w:t>Invitations were distributed through two channels: direct outreach (120</w:t>
      </w:r>
      <w:commentRangeStart w:id="135"/>
      <w:r w:rsidRPr="0070080E">
        <w:t xml:space="preserve">+ </w:t>
      </w:r>
      <w:r w:rsidR="00C9234E" w:rsidRPr="0070080E">
        <w:t>personalized</w:t>
      </w:r>
      <w:r w:rsidRPr="0070080E">
        <w:t xml:space="preserve"> </w:t>
      </w:r>
      <w:commentRangeEnd w:id="135"/>
      <w:r w:rsidR="00F94C43" w:rsidRPr="0070080E">
        <w:rPr>
          <w:rStyle w:val="CommentReference"/>
          <w:sz w:val="22"/>
          <w:szCs w:val="24"/>
        </w:rPr>
        <w:commentReference w:id="135"/>
      </w:r>
      <w:r w:rsidRPr="0070080E">
        <w:t>LinkedIn requests and DMs to eligible managers) and indirect outreach (700+ impressions via LinkedIn posts, plus a research announcement to the local CFA Society’s 3,000+ members via the Society newsletter). The pilot yielded 12 Block 1 completions.</w:t>
      </w:r>
    </w:p>
    <w:p w14:paraId="598A111A" w14:textId="77777777" w:rsidR="00E80316" w:rsidRPr="0070080E" w:rsidRDefault="00E80316">
      <w:pPr>
        <w:spacing w:after="200" w:line="240" w:lineRule="auto"/>
        <w:ind w:firstLine="0"/>
        <w:rPr>
          <w:b/>
          <w:bCs/>
        </w:rPr>
      </w:pPr>
      <w:r w:rsidRPr="0070080E">
        <w:rPr>
          <w:b/>
          <w:bCs/>
        </w:rPr>
        <w:br w:type="page"/>
      </w:r>
    </w:p>
    <w:p w14:paraId="3CB10266" w14:textId="48D61FAD" w:rsidR="00F67DDB" w:rsidRPr="0070080E" w:rsidRDefault="0094076D" w:rsidP="00F411DE">
      <w:pPr>
        <w:pStyle w:val="Tableid"/>
      </w:pPr>
      <w:r w:rsidRPr="0070080E">
        <w:t>Table 4.7</w:t>
      </w:r>
    </w:p>
    <w:p w14:paraId="3CB10267" w14:textId="77777777" w:rsidR="00F67DDB" w:rsidRPr="0070080E" w:rsidRDefault="0094076D" w:rsidP="00F411DE">
      <w:pPr>
        <w:pStyle w:val="TableCaption"/>
      </w:pPr>
      <w:r w:rsidRPr="0070080E">
        <w:t>Survey Response Summary</w:t>
      </w:r>
    </w:p>
    <w:tbl>
      <w:tblPr>
        <w:tblStyle w:val="Table"/>
        <w:tblW w:w="0" w:type="auto"/>
        <w:tblLook w:val="0020" w:firstRow="1" w:lastRow="0" w:firstColumn="0" w:lastColumn="0" w:noHBand="0" w:noVBand="0"/>
      </w:tblPr>
      <w:tblGrid>
        <w:gridCol w:w="3539"/>
        <w:gridCol w:w="706"/>
      </w:tblGrid>
      <w:tr w:rsidR="00F67DDB" w:rsidRPr="0070080E" w14:paraId="3CB1026A"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268" w14:textId="77777777" w:rsidR="00F67DDB" w:rsidRPr="0070080E" w:rsidRDefault="0094076D">
            <w:pPr>
              <w:pStyle w:val="Compact"/>
            </w:pPr>
            <w:r w:rsidRPr="0070080E">
              <w:t>Metric</w:t>
            </w:r>
          </w:p>
        </w:tc>
        <w:tc>
          <w:tcPr>
            <w:tcW w:w="0" w:type="auto"/>
          </w:tcPr>
          <w:p w14:paraId="3CB10269" w14:textId="77777777" w:rsidR="00F67DDB" w:rsidRPr="0070080E" w:rsidRDefault="0094076D">
            <w:pPr>
              <w:pStyle w:val="Compact"/>
            </w:pPr>
            <w:r w:rsidRPr="0070080E">
              <w:t>Count</w:t>
            </w:r>
          </w:p>
        </w:tc>
      </w:tr>
      <w:tr w:rsidR="00F67DDB" w:rsidRPr="0070080E" w14:paraId="3CB1026D" w14:textId="77777777">
        <w:tc>
          <w:tcPr>
            <w:tcW w:w="0" w:type="auto"/>
          </w:tcPr>
          <w:p w14:paraId="3CB1026B" w14:textId="77777777" w:rsidR="00F67DDB" w:rsidRPr="0070080E" w:rsidRDefault="0094076D">
            <w:pPr>
              <w:pStyle w:val="Compact"/>
            </w:pPr>
            <w:r w:rsidRPr="0070080E">
              <w:t>Direct invitations distributed</w:t>
            </w:r>
          </w:p>
        </w:tc>
        <w:tc>
          <w:tcPr>
            <w:tcW w:w="0" w:type="auto"/>
          </w:tcPr>
          <w:p w14:paraId="3CB1026C" w14:textId="77777777" w:rsidR="00F67DDB" w:rsidRPr="0070080E" w:rsidRDefault="0094076D">
            <w:pPr>
              <w:pStyle w:val="Compact"/>
            </w:pPr>
            <w:r w:rsidRPr="0070080E">
              <w:t>120+</w:t>
            </w:r>
          </w:p>
        </w:tc>
      </w:tr>
      <w:tr w:rsidR="00F67DDB" w:rsidRPr="0070080E" w14:paraId="3CB10270" w14:textId="77777777">
        <w:tc>
          <w:tcPr>
            <w:tcW w:w="0" w:type="auto"/>
          </w:tcPr>
          <w:p w14:paraId="3CB1026E" w14:textId="77777777" w:rsidR="00F67DDB" w:rsidRPr="0070080E" w:rsidRDefault="0094076D">
            <w:pPr>
              <w:pStyle w:val="Compact"/>
            </w:pPr>
            <w:r w:rsidRPr="0070080E">
              <w:t>Indirect reach (posts and shares)</w:t>
            </w:r>
          </w:p>
        </w:tc>
        <w:tc>
          <w:tcPr>
            <w:tcW w:w="0" w:type="auto"/>
          </w:tcPr>
          <w:p w14:paraId="3CB1026F" w14:textId="77777777" w:rsidR="00F67DDB" w:rsidRPr="0070080E" w:rsidRDefault="0094076D">
            <w:pPr>
              <w:pStyle w:val="Compact"/>
            </w:pPr>
            <w:r w:rsidRPr="0070080E">
              <w:t>700+</w:t>
            </w:r>
          </w:p>
        </w:tc>
      </w:tr>
      <w:tr w:rsidR="00F67DDB" w:rsidRPr="0070080E" w14:paraId="3CB10273" w14:textId="77777777">
        <w:tc>
          <w:tcPr>
            <w:tcW w:w="0" w:type="auto"/>
          </w:tcPr>
          <w:p w14:paraId="3CB10271" w14:textId="77777777" w:rsidR="00F67DDB" w:rsidRPr="0070080E" w:rsidRDefault="0094076D">
            <w:pPr>
              <w:pStyle w:val="Compact"/>
            </w:pPr>
            <w:r w:rsidRPr="0070080E">
              <w:t>Pilot completions (Block 1)</w:t>
            </w:r>
          </w:p>
        </w:tc>
        <w:tc>
          <w:tcPr>
            <w:tcW w:w="0" w:type="auto"/>
          </w:tcPr>
          <w:p w14:paraId="3CB10272" w14:textId="77777777" w:rsidR="00F67DDB" w:rsidRPr="0070080E" w:rsidRDefault="0094076D">
            <w:pPr>
              <w:pStyle w:val="Compact"/>
            </w:pPr>
            <w:r w:rsidRPr="0070080E">
              <w:t>12</w:t>
            </w:r>
          </w:p>
        </w:tc>
      </w:tr>
      <w:tr w:rsidR="00F67DDB" w:rsidRPr="0070080E" w14:paraId="3CB10276" w14:textId="77777777">
        <w:tc>
          <w:tcPr>
            <w:tcW w:w="0" w:type="auto"/>
          </w:tcPr>
          <w:p w14:paraId="3CB10274" w14:textId="77777777" w:rsidR="00F67DDB" w:rsidRPr="0070080E" w:rsidRDefault="0094076D">
            <w:pPr>
              <w:pStyle w:val="Compact"/>
            </w:pPr>
            <w:r w:rsidRPr="0070080E">
              <w:t>Total valid responses included in analysis</w:t>
            </w:r>
          </w:p>
        </w:tc>
        <w:tc>
          <w:tcPr>
            <w:tcW w:w="0" w:type="auto"/>
          </w:tcPr>
          <w:p w14:paraId="3CB10275" w14:textId="77777777" w:rsidR="00F67DDB" w:rsidRPr="0070080E" w:rsidRDefault="0094076D">
            <w:pPr>
              <w:pStyle w:val="Compact"/>
            </w:pPr>
            <w:r w:rsidRPr="0070080E">
              <w:t>53</w:t>
            </w:r>
          </w:p>
        </w:tc>
      </w:tr>
      <w:tr w:rsidR="00F67DDB" w:rsidRPr="0070080E" w14:paraId="3CB10279" w14:textId="77777777" w:rsidTr="00F411DE">
        <w:trPr>
          <w:trHeight w:val="558"/>
        </w:trPr>
        <w:tc>
          <w:tcPr>
            <w:tcW w:w="0" w:type="auto"/>
          </w:tcPr>
          <w:p w14:paraId="3CB10277" w14:textId="77777777" w:rsidR="00F67DDB" w:rsidRPr="0070080E" w:rsidRDefault="0094076D">
            <w:pPr>
              <w:pStyle w:val="Compact"/>
            </w:pPr>
            <w:r w:rsidRPr="0070080E">
              <w:t>Total scenario-level observations</w:t>
            </w:r>
          </w:p>
        </w:tc>
        <w:tc>
          <w:tcPr>
            <w:tcW w:w="0" w:type="auto"/>
          </w:tcPr>
          <w:p w14:paraId="3CB10278" w14:textId="77777777" w:rsidR="00F67DDB" w:rsidRPr="0070080E" w:rsidRDefault="0094076D">
            <w:pPr>
              <w:pStyle w:val="Compact"/>
            </w:pPr>
            <w:r w:rsidRPr="0070080E">
              <w:t>424</w:t>
            </w:r>
          </w:p>
        </w:tc>
      </w:tr>
    </w:tbl>
    <w:p w14:paraId="3CB1027A" w14:textId="77777777" w:rsidR="00F67DDB" w:rsidRPr="0070080E" w:rsidRDefault="0094076D">
      <w:pPr>
        <w:pStyle w:val="BodyText"/>
      </w:pPr>
      <w:r w:rsidRPr="0070080E">
        <w:t>The Google Forms instrument enforces completion of all eight scenarios, precluding partial submissions. The sole post-hoc exclusion is uniform responding: respondents with identical NRS values across all eight scenarios within a block are excluded as inattentive or acquiescent. The final sample size and observation count are reported in the pipeline-generated rows above.</w:t>
      </w:r>
    </w:p>
    <w:p w14:paraId="3CB1027B" w14:textId="77777777" w:rsidR="00F67DDB" w:rsidRPr="0070080E" w:rsidRDefault="0094076D">
      <w:pPr>
        <w:pStyle w:val="Heading3"/>
      </w:pPr>
      <w:bookmarkStart w:id="136" w:name="pilot-test"/>
      <w:bookmarkEnd w:id="134"/>
      <w:r w:rsidRPr="0070080E">
        <w:t>4.4.9 Pilot Test</w:t>
      </w:r>
    </w:p>
    <w:p w14:paraId="3CB1027C" w14:textId="77777777" w:rsidR="00F67DDB" w:rsidRPr="0070080E" w:rsidRDefault="0094076D">
      <w:pPr>
        <w:pStyle w:val="FirstParagraph"/>
      </w:pPr>
      <w:r w:rsidRPr="0070080E">
        <w:t>The pilot used the Block 1 instrument (V1 and V2) between 3–21 April 2026, yielding 12 completions from eligible managers and senior analysts (Section 4.4.7). Pilot respondents are excluded from the final sample.</w:t>
      </w:r>
    </w:p>
    <w:p w14:paraId="3CB1027D" w14:textId="77777777" w:rsidR="00F67DDB" w:rsidRPr="0070080E" w:rsidRDefault="0094076D">
      <w:pPr>
        <w:pStyle w:val="BodyText"/>
      </w:pPr>
      <w:r w:rsidRPr="0070080E">
        <w:t>The pilot evaluated scenario clarity, completion time against the 15-minute target, technical implementation (counterbalancing assignment and data recording), and respondent feedback on realism and dashboard interpretability via the five appended items (Table 4.8).</w:t>
      </w:r>
    </w:p>
    <w:p w14:paraId="226CE416" w14:textId="77777777" w:rsidR="00F411DE" w:rsidRPr="0070080E" w:rsidRDefault="00F411DE">
      <w:pPr>
        <w:spacing w:after="200" w:line="240" w:lineRule="auto"/>
        <w:ind w:firstLine="0"/>
        <w:rPr>
          <w:b/>
          <w:bCs/>
        </w:rPr>
      </w:pPr>
      <w:r w:rsidRPr="0070080E">
        <w:rPr>
          <w:b/>
          <w:bCs/>
        </w:rPr>
        <w:br w:type="page"/>
      </w:r>
    </w:p>
    <w:p w14:paraId="3CB1027E" w14:textId="5E168EB0" w:rsidR="00F67DDB" w:rsidRPr="0070080E" w:rsidRDefault="0094076D" w:rsidP="00F411DE">
      <w:pPr>
        <w:pStyle w:val="Tableid"/>
      </w:pPr>
      <w:r w:rsidRPr="0070080E">
        <w:t>Table 4.8</w:t>
      </w:r>
    </w:p>
    <w:p w14:paraId="3CB1027F" w14:textId="77777777" w:rsidR="00F67DDB" w:rsidRPr="0070080E" w:rsidRDefault="0094076D" w:rsidP="00F411DE">
      <w:pPr>
        <w:pStyle w:val="TableCaption"/>
      </w:pPr>
      <w:r w:rsidRPr="0070080E">
        <w:t>Pilot Feedback Questions</w:t>
      </w:r>
    </w:p>
    <w:tbl>
      <w:tblPr>
        <w:tblStyle w:val="Table"/>
        <w:tblW w:w="4712" w:type="pct"/>
        <w:tblLayout w:type="fixed"/>
        <w:tblLook w:val="0020" w:firstRow="1" w:lastRow="0" w:firstColumn="0" w:lastColumn="0" w:noHBand="0" w:noVBand="0"/>
      </w:tblPr>
      <w:tblGrid>
        <w:gridCol w:w="911"/>
        <w:gridCol w:w="4386"/>
        <w:gridCol w:w="2416"/>
        <w:gridCol w:w="1108"/>
      </w:tblGrid>
      <w:tr w:rsidR="00F67DDB" w:rsidRPr="0070080E" w14:paraId="3CB10284" w14:textId="77777777" w:rsidTr="00BD40B9">
        <w:trPr>
          <w:cnfStyle w:val="100000000000" w:firstRow="1" w:lastRow="0" w:firstColumn="0" w:lastColumn="0" w:oddVBand="0" w:evenVBand="0" w:oddHBand="0" w:evenHBand="0" w:firstRowFirstColumn="0" w:firstRowLastColumn="0" w:lastRowFirstColumn="0" w:lastRowLastColumn="0"/>
          <w:tblHeader/>
        </w:trPr>
        <w:tc>
          <w:tcPr>
            <w:tcW w:w="910" w:type="dxa"/>
          </w:tcPr>
          <w:p w14:paraId="3CB10280" w14:textId="77777777" w:rsidR="00F67DDB" w:rsidRPr="0070080E" w:rsidRDefault="0094076D">
            <w:pPr>
              <w:pStyle w:val="Compact"/>
            </w:pPr>
            <w:r w:rsidRPr="0070080E">
              <w:t>#</w:t>
            </w:r>
          </w:p>
        </w:tc>
        <w:tc>
          <w:tcPr>
            <w:tcW w:w="4386" w:type="dxa"/>
          </w:tcPr>
          <w:p w14:paraId="3CB10281" w14:textId="77777777" w:rsidR="00F67DDB" w:rsidRPr="0070080E" w:rsidRDefault="0094076D">
            <w:pPr>
              <w:pStyle w:val="Compact"/>
            </w:pPr>
            <w:r w:rsidRPr="0070080E">
              <w:t>Question</w:t>
            </w:r>
          </w:p>
        </w:tc>
        <w:tc>
          <w:tcPr>
            <w:tcW w:w="2416" w:type="dxa"/>
          </w:tcPr>
          <w:p w14:paraId="3CB10282" w14:textId="77777777" w:rsidR="00F67DDB" w:rsidRPr="0070080E" w:rsidRDefault="0094076D">
            <w:pPr>
              <w:pStyle w:val="Compact"/>
            </w:pPr>
            <w:r w:rsidRPr="0070080E">
              <w:t>Format</w:t>
            </w:r>
          </w:p>
        </w:tc>
        <w:tc>
          <w:tcPr>
            <w:tcW w:w="1108" w:type="dxa"/>
          </w:tcPr>
          <w:p w14:paraId="3CB10283" w14:textId="77777777" w:rsidR="00F67DDB" w:rsidRPr="0070080E" w:rsidRDefault="0094076D">
            <w:pPr>
              <w:pStyle w:val="Compact"/>
            </w:pPr>
            <w:r w:rsidRPr="0070080E">
              <w:t>Required</w:t>
            </w:r>
          </w:p>
        </w:tc>
      </w:tr>
      <w:tr w:rsidR="00F67DDB" w:rsidRPr="0070080E" w14:paraId="3CB10289" w14:textId="77777777" w:rsidTr="00BD40B9">
        <w:tc>
          <w:tcPr>
            <w:tcW w:w="910" w:type="dxa"/>
          </w:tcPr>
          <w:p w14:paraId="3CB10285" w14:textId="77777777" w:rsidR="00F67DDB" w:rsidRPr="0070080E" w:rsidRDefault="0094076D">
            <w:pPr>
              <w:pStyle w:val="Compact"/>
            </w:pPr>
            <w:r w:rsidRPr="0070080E">
              <w:t>1</w:t>
            </w:r>
          </w:p>
        </w:tc>
        <w:tc>
          <w:tcPr>
            <w:tcW w:w="4386" w:type="dxa"/>
          </w:tcPr>
          <w:p w14:paraId="3CB10286" w14:textId="77777777" w:rsidR="00F67DDB" w:rsidRPr="0070080E" w:rsidRDefault="0094076D">
            <w:pPr>
              <w:pStyle w:val="Compact"/>
            </w:pPr>
            <w:r w:rsidRPr="0070080E">
              <w:t>How long did it take you to complete the survey?</w:t>
            </w:r>
          </w:p>
        </w:tc>
        <w:tc>
          <w:tcPr>
            <w:tcW w:w="2416" w:type="dxa"/>
          </w:tcPr>
          <w:p w14:paraId="3CB10287" w14:textId="77777777" w:rsidR="00F67DDB" w:rsidRPr="0070080E" w:rsidRDefault="0094076D">
            <w:pPr>
              <w:pStyle w:val="Compact"/>
            </w:pPr>
            <w:r w:rsidRPr="0070080E">
              <w:t>Radio: Less than 15 min / 15–20 min / 20–25 min / More than 25 min</w:t>
            </w:r>
          </w:p>
        </w:tc>
        <w:tc>
          <w:tcPr>
            <w:tcW w:w="1108" w:type="dxa"/>
          </w:tcPr>
          <w:p w14:paraId="3CB10288" w14:textId="77777777" w:rsidR="00F67DDB" w:rsidRPr="0070080E" w:rsidRDefault="0094076D">
            <w:pPr>
              <w:pStyle w:val="Compact"/>
            </w:pPr>
            <w:r w:rsidRPr="0070080E">
              <w:t>Yes</w:t>
            </w:r>
          </w:p>
        </w:tc>
      </w:tr>
      <w:tr w:rsidR="00F67DDB" w:rsidRPr="0070080E" w14:paraId="3CB1028E" w14:textId="77777777" w:rsidTr="00BD40B9">
        <w:trPr>
          <w:trHeight w:val="945"/>
        </w:trPr>
        <w:tc>
          <w:tcPr>
            <w:tcW w:w="910" w:type="dxa"/>
          </w:tcPr>
          <w:p w14:paraId="3CB1028A" w14:textId="77777777" w:rsidR="00F67DDB" w:rsidRPr="0070080E" w:rsidRDefault="0094076D">
            <w:pPr>
              <w:pStyle w:val="Compact"/>
            </w:pPr>
            <w:r w:rsidRPr="0070080E">
              <w:t>2</w:t>
            </w:r>
          </w:p>
        </w:tc>
        <w:tc>
          <w:tcPr>
            <w:tcW w:w="4386" w:type="dxa"/>
          </w:tcPr>
          <w:p w14:paraId="3CB1028B" w14:textId="77777777" w:rsidR="00F67DDB" w:rsidRPr="0070080E" w:rsidRDefault="0094076D">
            <w:pPr>
              <w:pStyle w:val="Compact"/>
            </w:pPr>
            <w:r w:rsidRPr="0070080E">
              <w:t>How clear and understandable were the scenario descriptions, including the news events and portfolio context?</w:t>
            </w:r>
          </w:p>
        </w:tc>
        <w:tc>
          <w:tcPr>
            <w:tcW w:w="2416" w:type="dxa"/>
          </w:tcPr>
          <w:p w14:paraId="3CB1028C" w14:textId="77777777" w:rsidR="00F67DDB" w:rsidRPr="0070080E" w:rsidRDefault="0094076D">
            <w:pPr>
              <w:pStyle w:val="Compact"/>
            </w:pPr>
            <w:r w:rsidRPr="0070080E">
              <w:t>Linear scale 1–5 (Very unclear to Very clear)</w:t>
            </w:r>
          </w:p>
        </w:tc>
        <w:tc>
          <w:tcPr>
            <w:tcW w:w="1108" w:type="dxa"/>
          </w:tcPr>
          <w:p w14:paraId="3CB1028D" w14:textId="77777777" w:rsidR="00F67DDB" w:rsidRPr="0070080E" w:rsidRDefault="0094076D">
            <w:pPr>
              <w:pStyle w:val="Compact"/>
            </w:pPr>
            <w:r w:rsidRPr="0070080E">
              <w:t>Yes</w:t>
            </w:r>
          </w:p>
        </w:tc>
      </w:tr>
      <w:tr w:rsidR="00F67DDB" w:rsidRPr="0070080E" w14:paraId="3CB10293" w14:textId="77777777" w:rsidTr="00BD40B9">
        <w:trPr>
          <w:trHeight w:val="909"/>
        </w:trPr>
        <w:tc>
          <w:tcPr>
            <w:tcW w:w="910" w:type="dxa"/>
          </w:tcPr>
          <w:p w14:paraId="3CB1028F" w14:textId="77777777" w:rsidR="00F67DDB" w:rsidRPr="0070080E" w:rsidRDefault="0094076D">
            <w:pPr>
              <w:pStyle w:val="Compact"/>
            </w:pPr>
            <w:r w:rsidRPr="0070080E">
              <w:t>3</w:t>
            </w:r>
          </w:p>
        </w:tc>
        <w:tc>
          <w:tcPr>
            <w:tcW w:w="4386" w:type="dxa"/>
          </w:tcPr>
          <w:p w14:paraId="3CB10290" w14:textId="77777777" w:rsidR="00F67DDB" w:rsidRPr="0070080E" w:rsidRDefault="0094076D">
            <w:pPr>
              <w:pStyle w:val="Compact"/>
            </w:pPr>
            <w:r w:rsidRPr="0070080E">
              <w:t>For scenarios that included the decision-support dashboard, how easy was it to interpret the information presented?</w:t>
            </w:r>
          </w:p>
        </w:tc>
        <w:tc>
          <w:tcPr>
            <w:tcW w:w="2416" w:type="dxa"/>
          </w:tcPr>
          <w:p w14:paraId="3CB10291" w14:textId="77777777" w:rsidR="00F67DDB" w:rsidRPr="0070080E" w:rsidRDefault="0094076D">
            <w:pPr>
              <w:pStyle w:val="Compact"/>
            </w:pPr>
            <w:r w:rsidRPr="0070080E">
              <w:t>Linear scale 1–5 (Very difficult to Very easy)</w:t>
            </w:r>
          </w:p>
        </w:tc>
        <w:tc>
          <w:tcPr>
            <w:tcW w:w="1108" w:type="dxa"/>
          </w:tcPr>
          <w:p w14:paraId="3CB10292" w14:textId="77777777" w:rsidR="00F67DDB" w:rsidRPr="0070080E" w:rsidRDefault="0094076D">
            <w:pPr>
              <w:pStyle w:val="Compact"/>
            </w:pPr>
            <w:r w:rsidRPr="0070080E">
              <w:t>No</w:t>
            </w:r>
          </w:p>
        </w:tc>
      </w:tr>
      <w:tr w:rsidR="00F67DDB" w:rsidRPr="0070080E" w14:paraId="3CB10298" w14:textId="77777777" w:rsidTr="00BD40B9">
        <w:trPr>
          <w:trHeight w:val="711"/>
        </w:trPr>
        <w:tc>
          <w:tcPr>
            <w:tcW w:w="910" w:type="dxa"/>
          </w:tcPr>
          <w:p w14:paraId="3CB10294" w14:textId="77777777" w:rsidR="00F67DDB" w:rsidRPr="0070080E" w:rsidRDefault="0094076D">
            <w:pPr>
              <w:pStyle w:val="Compact"/>
            </w:pPr>
            <w:r w:rsidRPr="0070080E">
              <w:t>4</w:t>
            </w:r>
          </w:p>
        </w:tc>
        <w:tc>
          <w:tcPr>
            <w:tcW w:w="4386" w:type="dxa"/>
          </w:tcPr>
          <w:p w14:paraId="3CB10295" w14:textId="77777777" w:rsidR="00F67DDB" w:rsidRPr="0070080E" w:rsidRDefault="0094076D">
            <w:pPr>
              <w:pStyle w:val="Compact"/>
            </w:pPr>
            <w:r w:rsidRPr="0070080E">
              <w:t>How realistic did the investment scenarios feel relative to your professional experience?</w:t>
            </w:r>
          </w:p>
        </w:tc>
        <w:tc>
          <w:tcPr>
            <w:tcW w:w="2416" w:type="dxa"/>
          </w:tcPr>
          <w:p w14:paraId="3CB10296" w14:textId="77777777" w:rsidR="00F67DDB" w:rsidRPr="0070080E" w:rsidRDefault="0094076D">
            <w:pPr>
              <w:pStyle w:val="Compact"/>
            </w:pPr>
            <w:r w:rsidRPr="0070080E">
              <w:t>Linear scale 1–5 (Not realistic to Very realistic)</w:t>
            </w:r>
          </w:p>
        </w:tc>
        <w:tc>
          <w:tcPr>
            <w:tcW w:w="1108" w:type="dxa"/>
          </w:tcPr>
          <w:p w14:paraId="3CB10297" w14:textId="77777777" w:rsidR="00F67DDB" w:rsidRPr="0070080E" w:rsidRDefault="0094076D">
            <w:pPr>
              <w:pStyle w:val="Compact"/>
            </w:pPr>
            <w:r w:rsidRPr="0070080E">
              <w:t>Yes</w:t>
            </w:r>
          </w:p>
        </w:tc>
      </w:tr>
      <w:tr w:rsidR="00F67DDB" w:rsidRPr="0070080E" w14:paraId="3CB1029D" w14:textId="77777777" w:rsidTr="00BD40B9">
        <w:trPr>
          <w:trHeight w:val="981"/>
        </w:trPr>
        <w:tc>
          <w:tcPr>
            <w:tcW w:w="910" w:type="dxa"/>
          </w:tcPr>
          <w:p w14:paraId="3CB10299" w14:textId="77777777" w:rsidR="00F67DDB" w:rsidRPr="0070080E" w:rsidRDefault="0094076D">
            <w:pPr>
              <w:pStyle w:val="Compact"/>
            </w:pPr>
            <w:r w:rsidRPr="0070080E">
              <w:t>5</w:t>
            </w:r>
          </w:p>
        </w:tc>
        <w:tc>
          <w:tcPr>
            <w:tcW w:w="4386" w:type="dxa"/>
          </w:tcPr>
          <w:p w14:paraId="3CB1029A" w14:textId="77777777" w:rsidR="00F67DDB" w:rsidRPr="0070080E" w:rsidRDefault="0094076D">
            <w:pPr>
              <w:pStyle w:val="Compact"/>
            </w:pPr>
            <w:r w:rsidRPr="0070080E">
              <w:t>Please share any observations about aspects of the survey that were confusing, unrealistic, or could be improved.</w:t>
            </w:r>
          </w:p>
        </w:tc>
        <w:tc>
          <w:tcPr>
            <w:tcW w:w="2416" w:type="dxa"/>
          </w:tcPr>
          <w:p w14:paraId="3CB1029B" w14:textId="77777777" w:rsidR="00F67DDB" w:rsidRPr="0070080E" w:rsidRDefault="0094076D">
            <w:pPr>
              <w:pStyle w:val="Compact"/>
            </w:pPr>
            <w:r w:rsidRPr="0070080E">
              <w:t>Open text</w:t>
            </w:r>
          </w:p>
        </w:tc>
        <w:tc>
          <w:tcPr>
            <w:tcW w:w="1108" w:type="dxa"/>
          </w:tcPr>
          <w:p w14:paraId="3CB1029C" w14:textId="77777777" w:rsidR="00F67DDB" w:rsidRPr="0070080E" w:rsidRDefault="0094076D">
            <w:pPr>
              <w:pStyle w:val="Compact"/>
            </w:pPr>
            <w:r w:rsidRPr="0070080E">
              <w:t>No</w:t>
            </w:r>
          </w:p>
        </w:tc>
      </w:tr>
    </w:tbl>
    <w:p w14:paraId="3CB1029E" w14:textId="77777777" w:rsidR="00F67DDB" w:rsidRPr="0070080E" w:rsidRDefault="0094076D" w:rsidP="00F411DE">
      <w:pPr>
        <w:pStyle w:val="BodyText"/>
        <w:ind w:firstLine="0"/>
      </w:pPr>
      <w:r w:rsidRPr="0070080E">
        <w:rPr>
          <w:i/>
          <w:iCs/>
        </w:rPr>
        <w:t>Note.</w:t>
      </w:r>
      <w:r w:rsidRPr="0070080E">
        <w:t xml:space="preserve"> Questions 1–5 were appended to the Block 1 survey instrument following the eight scenario items. Questions 2–4 used Likert-type linear scales. Question 5 was optional and generated qualitative data used to inform instrument revisions prior to full deployment.</w:t>
      </w:r>
    </w:p>
    <w:p w14:paraId="3CB1029F" w14:textId="77777777" w:rsidR="00F67DDB" w:rsidRPr="0070080E" w:rsidRDefault="0094076D">
      <w:pPr>
        <w:pStyle w:val="BodyText"/>
      </w:pPr>
      <w:r w:rsidRPr="0070080E">
        <w:t>Pilot feedback motivated four modifications before full deployment: scenario charts were redesigned for clarity; explanatory notes were added to each dashboard signal; the number of scenarios per block was reduced from 12 to 8 to bring completion within the 15-minute target; and the introduction was expanded with detailed orientation to portfolio context and response scale.</w:t>
      </w:r>
    </w:p>
    <w:p w14:paraId="3CB102A0" w14:textId="77777777" w:rsidR="00F67DDB" w:rsidRPr="0070080E" w:rsidRDefault="0094076D">
      <w:pPr>
        <w:pStyle w:val="Heading2"/>
      </w:pPr>
      <w:bookmarkStart w:id="137" w:name="_Toc231913456"/>
      <w:bookmarkStart w:id="138" w:name="analytical-framework"/>
      <w:bookmarkEnd w:id="124"/>
      <w:bookmarkEnd w:id="136"/>
      <w:r w:rsidRPr="0070080E">
        <w:t>4.5 Analytical Framework</w:t>
      </w:r>
      <w:bookmarkEnd w:id="137"/>
    </w:p>
    <w:p w14:paraId="3CB102A1" w14:textId="77777777" w:rsidR="00F67DDB" w:rsidRPr="0070080E" w:rsidRDefault="0094076D">
      <w:pPr>
        <w:pStyle w:val="FirstParagraph"/>
      </w:pPr>
      <w:r w:rsidRPr="0070080E">
        <w:t>Section 4.5.1 records the regression specifications for H1 and H2; Section 4.5.2 specifies the inference and clustering procedures.</w:t>
      </w:r>
    </w:p>
    <w:p w14:paraId="3CB102A2" w14:textId="77777777" w:rsidR="00F67DDB" w:rsidRPr="0070080E" w:rsidRDefault="0094076D">
      <w:pPr>
        <w:pStyle w:val="Heading3"/>
      </w:pPr>
      <w:bookmarkStart w:id="139" w:name="regression-specifications"/>
      <w:r w:rsidRPr="0070080E">
        <w:t>4.5.1 Regression Specifications</w:t>
      </w:r>
    </w:p>
    <w:p w14:paraId="3CB102A3" w14:textId="77777777" w:rsidR="00F67DDB" w:rsidRPr="0070080E" w:rsidRDefault="0094076D">
      <w:pPr>
        <w:pStyle w:val="FirstParagraph"/>
      </w:pPr>
      <w:r w:rsidRPr="0070080E">
        <w:t>Specifications are pre-registered to ensure transparency and reproducibility.</w:t>
      </w:r>
    </w:p>
    <w:p w14:paraId="3CB102A4" w14:textId="77777777" w:rsidR="00F67DDB" w:rsidRPr="0070080E" w:rsidRDefault="0094076D">
      <w:pPr>
        <w:pStyle w:val="BodyText"/>
      </w:pPr>
      <w:r w:rsidRPr="0070080E">
        <w:rPr>
          <w:b/>
          <w:bCs/>
        </w:rPr>
        <w:t>Primary specification for H1 (survey responses).</w:t>
      </w:r>
      <w:r w:rsidRPr="0070080E">
        <w:t xml:space="preserve"> Let </w:t>
      </w: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denote Net Risk Stance of manager </w:t>
      </w:r>
      <m:oMath>
        <m:r>
          <w:rPr>
            <w:rFonts w:ascii="Cambria Math" w:hAnsi="Cambria Math"/>
          </w:rPr>
          <m:t>i</m:t>
        </m:r>
      </m:oMath>
      <w:r w:rsidRPr="0070080E">
        <w:t xml:space="preserve"> for event </w:t>
      </w:r>
      <m:oMath>
        <m:r>
          <w:rPr>
            <w:rFonts w:ascii="Cambria Math" w:hAnsi="Cambria Math"/>
          </w:rPr>
          <m:t>e</m:t>
        </m:r>
      </m:oMath>
      <w:r w:rsidRPr="0070080E">
        <w:t xml:space="preserve"> (seven-point scale). Let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oMath>
      <w:r w:rsidRPr="0070080E">
        <w:t xml:space="preserve"> denote the event-level composite Shock Score (Section 4.3.5). Let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denote a vector of controls. The baseline model is:</w:t>
      </w:r>
    </w:p>
    <w:p w14:paraId="3CB102A5"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m:oMathPara>
    </w:p>
    <w:p w14:paraId="3CB102A6" w14:textId="77777777" w:rsidR="00F67DDB" w:rsidRPr="0070080E" w:rsidRDefault="0094076D">
      <w:pPr>
        <w:pStyle w:val="FirstParagraph"/>
      </w:pPr>
      <w:r w:rsidRPr="0070080E">
        <w:t xml:space="preserve">where </w:t>
      </w: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is the Net Risk Stance of manager </w:t>
      </w:r>
      <m:oMath>
        <m:r>
          <w:rPr>
            <w:rFonts w:ascii="Cambria Math" w:hAnsi="Cambria Math"/>
          </w:rPr>
          <m:t>i</m:t>
        </m:r>
      </m:oMath>
      <w:r w:rsidRPr="0070080E">
        <w:t xml:space="preserve"> on event </w:t>
      </w:r>
      <m:oMath>
        <m:r>
          <w:rPr>
            <w:rFonts w:ascii="Cambria Math" w:hAnsi="Cambria Math"/>
          </w:rPr>
          <m:t>e</m:t>
        </m:r>
      </m:oMath>
      <w:r w:rsidRPr="0070080E">
        <w:t xml:space="preserve">; </w:t>
      </w:r>
      <m:oMath>
        <m:r>
          <w:rPr>
            <w:rFonts w:ascii="Cambria Math" w:hAnsi="Cambria Math"/>
          </w:rPr>
          <m:t>α</m:t>
        </m:r>
      </m:oMath>
      <w:r w:rsidRPr="0070080E">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70080E">
        <w:t xml:space="preserve"> is the coefficient of interest, measuring the marginal effect of shock intensity on Net Risk Stance;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oMath>
      <w:r w:rsidRPr="0070080E">
        <w:t xml:space="preserve"> is the event-level Shock Score; </w:t>
      </w:r>
      <m:oMath>
        <m:r>
          <m:rPr>
            <m:sty m:val="bi"/>
          </m:rPr>
          <w:rPr>
            <w:rFonts w:ascii="Cambria Math" w:hAnsi="Cambria Math"/>
          </w:rPr>
          <m:t>γ</m:t>
        </m:r>
      </m:oMath>
      <w:r w:rsidRPr="0070080E">
        <w:t xml:space="preserve"> is the vector of coefficients on the control variables;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is the control vector (described below); and </w:t>
      </w:r>
      <m:oMath>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is the idiosyncratic error term.</w:t>
      </w:r>
    </w:p>
    <w:p w14:paraId="3CB102A7" w14:textId="77777777" w:rsidR="00F67DDB" w:rsidRPr="0070080E" w:rsidRDefault="0094076D">
      <w:pPr>
        <w:pStyle w:val="BodyText"/>
      </w:pPr>
      <w:r w:rsidRPr="0070080E">
        <w:t xml:space="preserve">The control vector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rsidRPr="0070080E">
        <w:t xml:space="preserve"> includes respondent-level covariates (professional experience, portfolio mandate type), scenario-level covariates (event type, market context), and experimental design controls (scenario sequence position, counterbalancing block assignment).</w:t>
      </w:r>
    </w:p>
    <w:p w14:paraId="3CB102A8" w14:textId="74F239A0" w:rsidR="00F67DDB" w:rsidRPr="0070080E" w:rsidRDefault="0094076D">
      <w:pPr>
        <w:pStyle w:val="BodyText"/>
      </w:pPr>
      <w:r w:rsidRPr="0070080E">
        <w:rPr>
          <w:b/>
          <w:bCs/>
        </w:rPr>
        <w:t>Primary specification for H2 (portfolio outcomes).</w:t>
      </w:r>
      <w:r w:rsidRPr="0070080E">
        <w:t xml:space="preserve"> Let </w:t>
      </w:r>
      <m:oMath>
        <m:sSub>
          <m:sSubPr>
            <m:ctrlPr>
              <w:rPr>
                <w:rFonts w:ascii="Cambria Math" w:hAnsi="Cambria Math"/>
              </w:rPr>
            </m:ctrlPr>
          </m:sSubPr>
          <m:e>
            <m:r>
              <m:rPr>
                <m:nor/>
              </m:rPr>
              <m:t>Return</m:t>
            </m:r>
          </m:e>
          <m:sub>
            <m:r>
              <w:rPr>
                <w:rFonts w:ascii="Cambria Math" w:hAnsi="Cambria Math"/>
              </w:rPr>
              <m:t>j</m:t>
            </m:r>
          </m:sub>
        </m:sSub>
      </m:oMath>
      <w:r w:rsidRPr="0070080E">
        <w:t xml:space="preserve"> denote a portfolio </w:t>
      </w:r>
      <w:r w:rsidR="00400BE9">
        <w:t>risk–return</w:t>
      </w:r>
      <w:r w:rsidRPr="0070080E">
        <w:t xml:space="preserve"> metric for simulation run or decision condition </w:t>
      </w:r>
      <m:oMath>
        <m:r>
          <w:rPr>
            <w:rFonts w:ascii="Cambria Math" w:hAnsi="Cambria Math"/>
          </w:rPr>
          <m:t>j</m:t>
        </m:r>
      </m:oMath>
      <w:r w:rsidRPr="0070080E">
        <w:t xml:space="preserve">. Let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oMath>
      <w:r w:rsidRPr="0070080E">
        <w:t xml:space="preserve"> denote the treatment indicator. Let </w:t>
      </w:r>
      <m:oMath>
        <m:sSub>
          <m:sSubPr>
            <m:ctrlPr>
              <w:rPr>
                <w:rFonts w:ascii="Cambria Math" w:hAnsi="Cambria Math"/>
              </w:rPr>
            </m:ctrlPr>
          </m:sSubPr>
          <m:e>
            <m:r>
              <m:rPr>
                <m:sty m:val="bi"/>
              </m:rPr>
              <w:rPr>
                <w:rFonts w:ascii="Cambria Math" w:hAnsi="Cambria Math"/>
              </w:rPr>
              <m:t>Z</m:t>
            </m:r>
          </m:e>
          <m:sub>
            <m:r>
              <w:rPr>
                <w:rFonts w:ascii="Cambria Math" w:hAnsi="Cambria Math"/>
              </w:rPr>
              <m:t>j</m:t>
            </m:r>
          </m:sub>
        </m:sSub>
      </m:oMath>
      <w:r w:rsidRPr="0070080E">
        <w:t xml:space="preserve"> denote optional controls. The baseline model is:</w:t>
      </w:r>
    </w:p>
    <w:p w14:paraId="3CB102A9"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Return</m:t>
              </m:r>
            </m:e>
            <m:sub>
              <m:r>
                <w:rPr>
                  <w:rFonts w:ascii="Cambria Math" w:hAnsi="Cambria Math"/>
                </w:rPr>
                <m:t>j</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CB102AA" w14:textId="221BB8F0" w:rsidR="00F67DDB" w:rsidRPr="0070080E" w:rsidRDefault="0094076D">
      <w:pPr>
        <w:pStyle w:val="FirstParagraph"/>
      </w:pPr>
      <w:r w:rsidRPr="0070080E">
        <w:t xml:space="preserve">where </w:t>
      </w:r>
      <m:oMath>
        <m:sSub>
          <m:sSubPr>
            <m:ctrlPr>
              <w:rPr>
                <w:rFonts w:ascii="Cambria Math" w:hAnsi="Cambria Math"/>
              </w:rPr>
            </m:ctrlPr>
          </m:sSubPr>
          <m:e>
            <m:r>
              <m:rPr>
                <m:nor/>
              </m:rPr>
              <m:t>Return</m:t>
            </m:r>
          </m:e>
          <m:sub>
            <m:r>
              <w:rPr>
                <w:rFonts w:ascii="Cambria Math" w:hAnsi="Cambria Math"/>
              </w:rPr>
              <m:t>j</m:t>
            </m:r>
          </m:sub>
        </m:sSub>
      </m:oMath>
      <w:r w:rsidRPr="0070080E">
        <w:t xml:space="preserve"> is the portfolio </w:t>
      </w:r>
      <w:r w:rsidR="00400BE9">
        <w:t>risk–return</w:t>
      </w:r>
      <w:r w:rsidRPr="0070080E">
        <w:t xml:space="preserve"> metric for condition </w:t>
      </w:r>
      <m:oMath>
        <m:r>
          <w:rPr>
            <w:rFonts w:ascii="Cambria Math" w:hAnsi="Cambria Math"/>
          </w:rPr>
          <m:t>j</m:t>
        </m:r>
      </m:oMath>
      <w:r w:rsidRPr="0070080E">
        <w:t xml:space="preserve">; </w:t>
      </w:r>
      <m:oMath>
        <m:r>
          <w:rPr>
            <w:rFonts w:ascii="Cambria Math" w:hAnsi="Cambria Math"/>
          </w:rPr>
          <m:t>α</m:t>
        </m:r>
      </m:oMath>
      <w:r w:rsidRPr="0070080E">
        <w:t xml:space="preserve"> is the intercept; </w:t>
      </w:r>
      <m:oMath>
        <m:r>
          <w:rPr>
            <w:rFonts w:ascii="Cambria Math" w:hAnsi="Cambria Math"/>
          </w:rPr>
          <m:t>τ</m:t>
        </m:r>
      </m:oMath>
      <w:r w:rsidRPr="0070080E">
        <w:t xml:space="preserve"> is the treatment effect of dashboard exposure on the portfolio outcome;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oMath>
      <w:r w:rsidRPr="0070080E">
        <w:t xml:space="preserve"> is the binary treatment indicator (equal to 1 when the dashboard is shown and 0 when it is withheld); </w:t>
      </w:r>
      <m:oMath>
        <m:r>
          <m:rPr>
            <m:sty m:val="bi"/>
          </m:rPr>
          <w:rPr>
            <w:rFonts w:ascii="Cambria Math" w:hAnsi="Cambria Math"/>
          </w:rPr>
          <m:t>δ</m:t>
        </m:r>
      </m:oMath>
      <w:r w:rsidRPr="0070080E">
        <w:t xml:space="preserve"> is the vector of coefficients on the optional controls; </w:t>
      </w:r>
      <m:oMath>
        <m:sSub>
          <m:sSubPr>
            <m:ctrlPr>
              <w:rPr>
                <w:rFonts w:ascii="Cambria Math" w:hAnsi="Cambria Math"/>
              </w:rPr>
            </m:ctrlPr>
          </m:sSubPr>
          <m:e>
            <m:r>
              <m:rPr>
                <m:sty m:val="bi"/>
              </m:rPr>
              <w:rPr>
                <w:rFonts w:ascii="Cambria Math" w:hAnsi="Cambria Math"/>
              </w:rPr>
              <m:t>Z</m:t>
            </m:r>
          </m:e>
          <m:sub>
            <m:r>
              <w:rPr>
                <w:rFonts w:ascii="Cambria Math" w:hAnsi="Cambria Math"/>
              </w:rPr>
              <m:t>j</m:t>
            </m:r>
          </m:sub>
        </m:sSub>
      </m:oMath>
      <w:r w:rsidRPr="0070080E">
        <w:t xml:space="preserve"> is the control vector;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70080E">
        <w:t xml:space="preserve"> is the error term.</w:t>
      </w:r>
    </w:p>
    <w:p w14:paraId="3CB102AB" w14:textId="71E5DC46" w:rsidR="00F67DDB" w:rsidRPr="0070080E" w:rsidRDefault="0094076D">
      <w:pPr>
        <w:pStyle w:val="BodyText"/>
      </w:pPr>
      <w:r w:rsidRPr="0070080E">
        <w:rPr>
          <w:b/>
          <w:bCs/>
        </w:rPr>
        <w:t>Robustness specification 3</w:t>
      </w:r>
      <w:r w:rsidR="000A66AA">
        <w:rPr>
          <w:b/>
          <w:bCs/>
        </w:rPr>
        <w:t>—</w:t>
      </w:r>
      <w:r w:rsidRPr="0070080E">
        <w:rPr>
          <w:b/>
          <w:bCs/>
        </w:rPr>
        <w:t>Heterogeneity by shock intensity (optional interaction).</w:t>
      </w:r>
      <w:r w:rsidRPr="0070080E">
        <w:t xml:space="preserve"> This specification tests whether the treatment effect of the Shock Score dashboard varies with shock intensity. It is an extension of the H2 baseline, not a separate hypothesis:</w:t>
      </w:r>
    </w:p>
    <w:p w14:paraId="3CB102AC"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Return</m:t>
              </m:r>
            </m:e>
            <m:sub>
              <m:r>
                <w:rPr>
                  <w:rFonts w:ascii="Cambria Math" w:hAnsi="Cambria Math"/>
                </w:rPr>
                <m:t>j</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CB102AD" w14:textId="77777777" w:rsidR="00F67DDB" w:rsidRPr="0070080E" w:rsidRDefault="0094076D">
      <w:pPr>
        <w:pStyle w:val="FirstParagraph"/>
      </w:pPr>
      <w:r w:rsidRPr="0070080E">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70080E">
        <w:t xml:space="preserve"> is the coefficient on shock intensity, the interaction term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oMath>
      <w:r w:rsidRPr="0070080E">
        <w:t xml:space="preserve"> tests whether the treatment effect depends on shock intensity, and the remaining terms are as defined for the H2 baseline. The coefficient </w:t>
      </w:r>
      <m:oMath>
        <m:r>
          <w:rPr>
            <w:rFonts w:ascii="Cambria Math" w:hAnsi="Cambria Math"/>
          </w:rPr>
          <m:t>ϕ</m:t>
        </m:r>
      </m:oMath>
      <w:r w:rsidRPr="0070080E">
        <w:t xml:space="preserve"> captures whether decision support is more effective under higher shock intensity.</w:t>
      </w:r>
    </w:p>
    <w:p w14:paraId="3CB102AE" w14:textId="329D2EFC" w:rsidR="00F67DDB" w:rsidRPr="0070080E" w:rsidRDefault="0094076D">
      <w:pPr>
        <w:pStyle w:val="BodyText"/>
      </w:pPr>
      <w:r w:rsidRPr="0070080E">
        <w:rPr>
          <w:b/>
          <w:bCs/>
        </w:rPr>
        <w:t>Robustness specification 4</w:t>
      </w:r>
      <w:r w:rsidR="000A66AA">
        <w:rPr>
          <w:b/>
          <w:bCs/>
        </w:rPr>
        <w:t>—</w:t>
      </w:r>
      <w:r w:rsidRPr="0070080E">
        <w:rPr>
          <w:b/>
          <w:bCs/>
        </w:rPr>
        <w:t>Manager fixed effects (optional within-subject specification).</w:t>
      </w:r>
      <w:r w:rsidRPr="0070080E">
        <w:t xml:space="preserve"> Because each manager is exposed to both treatment conditions, the H1 dataset may support specifications with manager fixed effects to absorb stable individual differences:</w:t>
      </w:r>
    </w:p>
    <w:p w14:paraId="3CB102AF" w14:textId="77777777" w:rsidR="00F67DDB" w:rsidRPr="0070080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m:oMathPara>
    </w:p>
    <w:p w14:paraId="3CB102B0" w14:textId="77777777" w:rsidR="00F67DDB" w:rsidRPr="0070080E" w:rsidRDefault="0094076D">
      <w:pPr>
        <w:pStyle w:val="FirstParagraph"/>
      </w:pPr>
      <w:r w:rsidRPr="0070080E">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70080E">
        <w:t xml:space="preserve"> is a manager-specific intercept. This specification is an alternative estimator for the same H1 hypothesis, not a separate test. It is applied if the final data structure supports it.</w:t>
      </w:r>
    </w:p>
    <w:p w14:paraId="3CB102B1" w14:textId="77777777" w:rsidR="00F67DDB" w:rsidRPr="0070080E" w:rsidRDefault="0094076D">
      <w:pPr>
        <w:pStyle w:val="BodyText"/>
      </w:pPr>
      <w:r w:rsidRPr="0070080E">
        <w:rPr>
          <w:b/>
          <w:bCs/>
        </w:rPr>
        <w:t>Horizon-matched portfolio simulation for H2.</w:t>
      </w:r>
      <w:r w:rsidRPr="0070080E">
        <w:t xml:space="preserve"> Portfolio returns are constructed using holding periods matched to each scenario’s horizon bucket (Intraday, Several Days, Several Weeks), derived from post-event return decay. For each respondent-condition pair, the portfolio return is the NRS-weighted sum of horizon-matched event returns across the four scenarios assigned to that condition, ensuring the simulated return reflects the economically relevant window for each shock.</w:t>
      </w:r>
    </w:p>
    <w:p w14:paraId="3CB102B2" w14:textId="77777777" w:rsidR="00F67DDB" w:rsidRPr="0070080E" w:rsidRDefault="0094076D">
      <w:pPr>
        <w:pStyle w:val="BodyText"/>
      </w:pPr>
      <w:r w:rsidRPr="0070080E">
        <w:t>Option B (individual-portfolio regression) is the primary inferential approach: per respondent, one portfolio return is computed under ShowSC = 0 and one under ShowSC = 1, and τ is estimated by regressing the individual outcome on ShowSC. Option A (collective portfolio) aggregates NRS responses across respondents per condition; as both portfolios draw from the same pool, non-independence precludes causal inference, so Option A is descriptive only.</w:t>
      </w:r>
    </w:p>
    <w:p w14:paraId="3CB102B3" w14:textId="65C21900" w:rsidR="00F67DDB" w:rsidRPr="0070080E" w:rsidRDefault="0094076D">
      <w:pPr>
        <w:pStyle w:val="BodyText"/>
      </w:pPr>
      <w:r w:rsidRPr="0070080E">
        <w:t xml:space="preserve">A two-asset allocation is assumed (scenario stock plus risk-free cash). The neutral allocation is 50/50. NRS maps linearly to the stock weight: 0% at NRS = 1 to 100% at NRS = 7, with NRS = 4 anchoring 50%. Cash earns the </w:t>
      </w:r>
      <w:r w:rsidR="00C9234E" w:rsidRPr="0070080E">
        <w:t>annualized</w:t>
      </w:r>
      <w:r w:rsidRPr="0070080E">
        <w:t xml:space="preserve"> risk-free rate (RF = 1.35%, proxied by the 3-month U.S. Treasury bill as of May 2026), scaled to the scenario horizon on a 252-day calendar. The two-asset simplification reflects the within-scenario position-sizing focus of the decision task; it slightly understates the opportunity cost of defensive positioning relative to a diversified equity benchmark, but this conservatism is symmetric across conditions and does not bias the H2 comparison.</w:t>
      </w:r>
    </w:p>
    <w:p w14:paraId="3CB102B4" w14:textId="77777777" w:rsidR="00F67DDB" w:rsidRPr="0070080E" w:rsidRDefault="0094076D">
      <w:pPr>
        <w:pStyle w:val="Heading3"/>
      </w:pPr>
      <w:bookmarkStart w:id="140" w:name="inference-and-clustering"/>
      <w:bookmarkEnd w:id="139"/>
      <w:r w:rsidRPr="0070080E">
        <w:t>4.5.2 Inference and Clustering</w:t>
      </w:r>
    </w:p>
    <w:p w14:paraId="3CB102B5" w14:textId="09105ED2" w:rsidR="00F67DDB" w:rsidRPr="0070080E" w:rsidRDefault="0094076D">
      <w:pPr>
        <w:pStyle w:val="FirstParagraph"/>
      </w:pPr>
      <w:r w:rsidRPr="0070080E">
        <w:t>Observations are clustered by manager and by event. Two-way clustering by manager and event is the preferred approach (</w:t>
      </w:r>
      <w:hyperlink r:id="rId335">
        <w:r w:rsidRPr="0070080E">
          <w:rPr>
            <w:rStyle w:val="Hyperlink"/>
          </w:rPr>
          <w:t>Cameron</w:t>
        </w:r>
        <w:r w:rsidR="00E169DA">
          <w:rPr>
            <w:rStyle w:val="Hyperlink"/>
          </w:rPr>
          <w:t xml:space="preserve"> et al.</w:t>
        </w:r>
        <w:r w:rsidRPr="0070080E">
          <w:rPr>
            <w:rStyle w:val="Hyperlink"/>
          </w:rPr>
          <w:t>, 2011</w:t>
        </w:r>
      </w:hyperlink>
      <w:r w:rsidRPr="0070080E">
        <w:t xml:space="preserve">; </w:t>
      </w:r>
      <w:hyperlink r:id="rId336">
        <w:r w:rsidRPr="0070080E">
          <w:rPr>
            <w:rStyle w:val="Hyperlink"/>
          </w:rPr>
          <w:t>Petersen, 2009</w:t>
        </w:r>
      </w:hyperlink>
      <w:r w:rsidRPr="0070080E">
        <w:t>), simultaneously addressing cross-sectional correlation (multiple managers per event) and serial correlation (multiple events per manager). Two-way cluster-robust standard errors are applied as the primary inference approach; HC3 heteroskedasticity-robust standard errors, which offer a finite-sample improvement over HC1/HC2 for small-to-medium samples (</w:t>
      </w:r>
      <w:hyperlink r:id="rId337">
        <w:r w:rsidRPr="0070080E">
          <w:rPr>
            <w:rStyle w:val="Hyperlink"/>
          </w:rPr>
          <w:t>MacKinnon &amp; White, 1985</w:t>
        </w:r>
      </w:hyperlink>
      <w:r w:rsidRPr="0070080E">
        <w:t>), are retained as a robustness specification. Block fixed effects (block_2, block_3 dummies relative to block_1) absorb between-block heterogeneity in scenario difficulty and respondent composition.</w:t>
      </w:r>
    </w:p>
    <w:p w14:paraId="3CB102B6" w14:textId="77777777" w:rsidR="00F67DDB" w:rsidRPr="0070080E" w:rsidRDefault="0094076D">
      <w:pPr>
        <w:pStyle w:val="Heading2"/>
      </w:pPr>
      <w:bookmarkStart w:id="141" w:name="_Toc231913457"/>
      <w:bookmarkStart w:id="142" w:name="chapter-conclusion-2"/>
      <w:bookmarkEnd w:id="138"/>
      <w:bookmarkEnd w:id="140"/>
      <w:r w:rsidRPr="0070080E">
        <w:t>4.6 Chapter Conclusion</w:t>
      </w:r>
      <w:bookmarkEnd w:id="141"/>
    </w:p>
    <w:p w14:paraId="3CB102B7" w14:textId="173D9065" w:rsidR="00F67DDB" w:rsidRPr="0070080E" w:rsidRDefault="0094076D">
      <w:pPr>
        <w:pStyle w:val="FirstParagraph"/>
      </w:pPr>
      <w:r w:rsidRPr="0070080E">
        <w:t>This chapter documented the research data, instrument design, and primary data collection process. The positivist, quasi-experimental, within-subject design (Section 4.2) links information shocks, decision-support treatment, and portfolio outcomes. The market and events data (Section 4.3) draw on 24 U.S. equities from the S&amp;P 500 across three blocks, with intraday prices and news from Interactive Brokers and Benzinga covering January 2025</w:t>
      </w:r>
      <w:r w:rsidR="000A66AA">
        <w:t>—</w:t>
      </w:r>
      <w:r w:rsidRPr="0070080E">
        <w:t xml:space="preserve">April 2026; a three-stage screening algorithm produces candidate events that meet balance constraints on intensity, directionality, event type, and market regime, and the four standardized components are 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via PCA. The survey instrument (Section 4.4) is a four-section Google Forms questionnaire with eight scenarios per respondent under a Latin square counterbalanced design (six distinct forms), measuring NRS on the seven-point scale, with a target of 50 valid completions and a realized sample of 53 (Section 5.2.1). The analytical framework (Section 4.5) specifies the H1 and H2 regressions and the inference approach, with two-way cluster-robust standard errors as primary and HC3 retained for robustness. Chapter 5 applies these specifications to the survey data, testing H1 and H2 alongside descriptive, normality, and reliability assessments.</w:t>
      </w:r>
    </w:p>
    <w:p w14:paraId="3CB102B8" w14:textId="77777777" w:rsidR="00F67DDB" w:rsidRPr="0070080E" w:rsidRDefault="0094076D">
      <w:pPr>
        <w:pStyle w:val="BodyText"/>
      </w:pPr>
      <w:r w:rsidRPr="0070080E">
        <w:t>Note on placement of descriptive statistics: the SBS handbook template (section 3.6.1) locates descriptive statistics within Chapter 4. In this thesis they appear in Chapter 5 (Section 5.2) to allow contextual juxtaposition with the hypothesis testing results, consistent with the analytical role descriptives play in within-subject regression designs.</w:t>
      </w:r>
    </w:p>
    <w:p w14:paraId="3CB102B9" w14:textId="77777777" w:rsidR="00F67DDB" w:rsidRPr="0070080E" w:rsidRDefault="0094076D">
      <w:pPr>
        <w:pStyle w:val="Heading1"/>
      </w:pPr>
      <w:bookmarkStart w:id="143" w:name="_Toc231913458"/>
      <w:bookmarkStart w:id="144" w:name="chapter-5.-analysis-and-conclusions"/>
      <w:bookmarkEnd w:id="106"/>
      <w:bookmarkEnd w:id="142"/>
      <w:r w:rsidRPr="0070080E">
        <w:t>Chapter 5. Analysis and Conclusions</w:t>
      </w:r>
      <w:bookmarkEnd w:id="143"/>
    </w:p>
    <w:p w14:paraId="3CB102BA" w14:textId="77777777" w:rsidR="00F67DDB" w:rsidRPr="0070080E" w:rsidRDefault="0094076D">
      <w:pPr>
        <w:pStyle w:val="Heading2"/>
      </w:pPr>
      <w:bookmarkStart w:id="145" w:name="_Toc231913459"/>
      <w:bookmarkStart w:id="146" w:name="chapter-introduction-2"/>
      <w:r w:rsidRPr="0070080E">
        <w:t>5.1 Chapter Introduction</w:t>
      </w:r>
      <w:bookmarkEnd w:id="145"/>
    </w:p>
    <w:p w14:paraId="3CB102BB" w14:textId="77777777" w:rsidR="00F67DDB" w:rsidRPr="0070080E" w:rsidRDefault="0094076D">
      <w:pPr>
        <w:pStyle w:val="FirstParagraph"/>
      </w:pPr>
      <w:r w:rsidRPr="0070080E">
        <w:t>This chapter presents the empirical analysis and findings of the study. The chapter is organized as follows. Section 5.2 reports descriptive statistics for both the respondent sample and the collected data, including distributional assessments that inform the choice of inferential methods. Section 5.3 presents the scenario selection outcomes. Section 5.4 reports tests for normality and reliability. Section 5.5 conducts the hypothesis tests specified in Section 4.5. Section 5.6 interprets the results. Section 5.7 presents interim conclusions. Section 5.8 concludes the chapter and provides a transition to Chapter 6.</w:t>
      </w:r>
    </w:p>
    <w:p w14:paraId="3CB102BC" w14:textId="77777777" w:rsidR="00F67DDB" w:rsidRPr="0070080E" w:rsidRDefault="0094076D">
      <w:pPr>
        <w:pStyle w:val="Heading2"/>
      </w:pPr>
      <w:bookmarkStart w:id="147" w:name="_Toc231913460"/>
      <w:bookmarkStart w:id="148" w:name="descriptive-statistics"/>
      <w:bookmarkEnd w:id="146"/>
      <w:r w:rsidRPr="0070080E">
        <w:t>5.2 Descriptive Statistics</w:t>
      </w:r>
      <w:bookmarkEnd w:id="147"/>
    </w:p>
    <w:p w14:paraId="3CB102BD" w14:textId="77777777" w:rsidR="00F67DDB" w:rsidRPr="0070080E" w:rsidRDefault="0094076D">
      <w:pPr>
        <w:pStyle w:val="Heading3"/>
      </w:pPr>
      <w:bookmarkStart w:id="149" w:name="respondent-descriptive-statistics"/>
      <w:r w:rsidRPr="0070080E">
        <w:t>5.2.1 Respondent Descriptive Statistics</w:t>
      </w:r>
    </w:p>
    <w:p w14:paraId="3CB102BE" w14:textId="77777777" w:rsidR="00F67DDB" w:rsidRPr="0070080E" w:rsidRDefault="0094076D">
      <w:pPr>
        <w:pStyle w:val="FirstParagraph"/>
      </w:pPr>
      <w:r w:rsidRPr="0070080E">
        <w:t>The final analysis sample comprises 53 respondents yielding 424 scenario-level observations across three blocks. Table 5.1 presents the demographic profile of the achieved sample. Experience is recorded as ordinal bands rather than a continuous count: most respondents report 11–20 years of experience (35; 66.04%), followed by 6–10 years (12; 22.64%), with the remaining six respondents distributed across the More than 20 (4; 7.55%), Less than 2 (1; 1.89%), and 2–5 (1; 1.89%) bands.</w:t>
      </w:r>
    </w:p>
    <w:p w14:paraId="289DC9ED" w14:textId="77777777" w:rsidR="00F411DE" w:rsidRPr="0070080E" w:rsidRDefault="00F411DE">
      <w:pPr>
        <w:spacing w:after="200" w:line="240" w:lineRule="auto"/>
        <w:ind w:firstLine="0"/>
        <w:rPr>
          <w:b/>
          <w:bCs/>
        </w:rPr>
      </w:pPr>
      <w:r w:rsidRPr="0070080E">
        <w:rPr>
          <w:b/>
          <w:bCs/>
        </w:rPr>
        <w:br w:type="page"/>
      </w:r>
    </w:p>
    <w:p w14:paraId="3CB102BF" w14:textId="027A4B0C" w:rsidR="00F67DDB" w:rsidRPr="0070080E" w:rsidRDefault="0094076D" w:rsidP="00F411DE">
      <w:pPr>
        <w:pStyle w:val="Tableid"/>
      </w:pPr>
      <w:r w:rsidRPr="0070080E">
        <w:t>Table 5.1</w:t>
      </w:r>
    </w:p>
    <w:p w14:paraId="3CB102C0" w14:textId="77777777" w:rsidR="00F67DDB" w:rsidRPr="0070080E" w:rsidRDefault="0094076D" w:rsidP="00F411DE">
      <w:pPr>
        <w:pStyle w:val="TableCaption"/>
      </w:pPr>
      <w:r w:rsidRPr="0070080E">
        <w:t>Respondent Demographics</w:t>
      </w:r>
    </w:p>
    <w:tbl>
      <w:tblPr>
        <w:tblStyle w:val="Table"/>
        <w:tblW w:w="0" w:type="auto"/>
        <w:tblLook w:val="0020" w:firstRow="1" w:lastRow="0" w:firstColumn="0" w:lastColumn="0" w:noHBand="0" w:noVBand="0"/>
      </w:tblPr>
      <w:tblGrid>
        <w:gridCol w:w="1809"/>
        <w:gridCol w:w="2347"/>
        <w:gridCol w:w="1185"/>
      </w:tblGrid>
      <w:tr w:rsidR="00F67DDB" w:rsidRPr="0070080E" w14:paraId="3CB102C4"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2C1" w14:textId="77777777" w:rsidR="00F67DDB" w:rsidRPr="0070080E" w:rsidRDefault="0094076D">
            <w:pPr>
              <w:pStyle w:val="Compact"/>
            </w:pPr>
            <w:r w:rsidRPr="0070080E">
              <w:t>Characteristic</w:t>
            </w:r>
          </w:p>
        </w:tc>
        <w:tc>
          <w:tcPr>
            <w:tcW w:w="0" w:type="auto"/>
          </w:tcPr>
          <w:p w14:paraId="3CB102C2" w14:textId="77777777" w:rsidR="00F67DDB" w:rsidRPr="0070080E" w:rsidRDefault="0094076D">
            <w:pPr>
              <w:pStyle w:val="Compact"/>
            </w:pPr>
            <w:r w:rsidRPr="0070080E">
              <w:t>Metric</w:t>
            </w:r>
          </w:p>
        </w:tc>
        <w:tc>
          <w:tcPr>
            <w:tcW w:w="0" w:type="auto"/>
          </w:tcPr>
          <w:p w14:paraId="3CB102C3" w14:textId="77777777" w:rsidR="00F67DDB" w:rsidRPr="0070080E" w:rsidRDefault="0094076D">
            <w:pPr>
              <w:pStyle w:val="Compact"/>
            </w:pPr>
            <w:r w:rsidRPr="0070080E">
              <w:t>Value</w:t>
            </w:r>
          </w:p>
        </w:tc>
      </w:tr>
      <w:tr w:rsidR="00F67DDB" w:rsidRPr="0070080E" w14:paraId="3CB102C8" w14:textId="77777777">
        <w:tc>
          <w:tcPr>
            <w:tcW w:w="0" w:type="auto"/>
          </w:tcPr>
          <w:p w14:paraId="3CB102C5" w14:textId="77777777" w:rsidR="00F67DDB" w:rsidRPr="0070080E" w:rsidRDefault="0094076D">
            <w:pPr>
              <w:pStyle w:val="Compact"/>
            </w:pPr>
            <w:r w:rsidRPr="0070080E">
              <w:t>Years of experience</w:t>
            </w:r>
          </w:p>
        </w:tc>
        <w:tc>
          <w:tcPr>
            <w:tcW w:w="0" w:type="auto"/>
          </w:tcPr>
          <w:p w14:paraId="3CB102C6" w14:textId="77777777" w:rsidR="00F67DDB" w:rsidRPr="0070080E" w:rsidRDefault="0094076D">
            <w:pPr>
              <w:pStyle w:val="Compact"/>
            </w:pPr>
            <w:r w:rsidRPr="0070080E">
              <w:t>Less than 2</w:t>
            </w:r>
          </w:p>
        </w:tc>
        <w:tc>
          <w:tcPr>
            <w:tcW w:w="0" w:type="auto"/>
          </w:tcPr>
          <w:p w14:paraId="3CB102C7" w14:textId="77777777" w:rsidR="00F67DDB" w:rsidRPr="0070080E" w:rsidRDefault="0094076D">
            <w:pPr>
              <w:pStyle w:val="Compact"/>
            </w:pPr>
            <w:r w:rsidRPr="0070080E">
              <w:t>1 (1.89%)</w:t>
            </w:r>
          </w:p>
        </w:tc>
      </w:tr>
      <w:tr w:rsidR="00F67DDB" w:rsidRPr="0070080E" w14:paraId="3CB102CC" w14:textId="77777777">
        <w:tc>
          <w:tcPr>
            <w:tcW w:w="0" w:type="auto"/>
          </w:tcPr>
          <w:p w14:paraId="3CB102C9" w14:textId="77777777" w:rsidR="00F67DDB" w:rsidRPr="0070080E" w:rsidRDefault="0094076D">
            <w:pPr>
              <w:pStyle w:val="Compact"/>
            </w:pPr>
            <w:r w:rsidRPr="0070080E">
              <w:t>Years of experience</w:t>
            </w:r>
          </w:p>
        </w:tc>
        <w:tc>
          <w:tcPr>
            <w:tcW w:w="0" w:type="auto"/>
          </w:tcPr>
          <w:p w14:paraId="3CB102CA" w14:textId="77777777" w:rsidR="00F67DDB" w:rsidRPr="0070080E" w:rsidRDefault="0094076D">
            <w:pPr>
              <w:pStyle w:val="Compact"/>
            </w:pPr>
            <w:r w:rsidRPr="0070080E">
              <w:t>2–5</w:t>
            </w:r>
          </w:p>
        </w:tc>
        <w:tc>
          <w:tcPr>
            <w:tcW w:w="0" w:type="auto"/>
          </w:tcPr>
          <w:p w14:paraId="3CB102CB" w14:textId="77777777" w:rsidR="00F67DDB" w:rsidRPr="0070080E" w:rsidRDefault="0094076D">
            <w:pPr>
              <w:pStyle w:val="Compact"/>
            </w:pPr>
            <w:r w:rsidRPr="0070080E">
              <w:t>1 (1.89%)</w:t>
            </w:r>
          </w:p>
        </w:tc>
      </w:tr>
      <w:tr w:rsidR="00F67DDB" w:rsidRPr="0070080E" w14:paraId="3CB102D0" w14:textId="77777777">
        <w:tc>
          <w:tcPr>
            <w:tcW w:w="0" w:type="auto"/>
          </w:tcPr>
          <w:p w14:paraId="3CB102CD" w14:textId="77777777" w:rsidR="00F67DDB" w:rsidRPr="0070080E" w:rsidRDefault="0094076D">
            <w:pPr>
              <w:pStyle w:val="Compact"/>
            </w:pPr>
            <w:r w:rsidRPr="0070080E">
              <w:t>Years of experience</w:t>
            </w:r>
          </w:p>
        </w:tc>
        <w:tc>
          <w:tcPr>
            <w:tcW w:w="0" w:type="auto"/>
          </w:tcPr>
          <w:p w14:paraId="3CB102CE" w14:textId="77777777" w:rsidR="00F67DDB" w:rsidRPr="0070080E" w:rsidRDefault="0094076D">
            <w:pPr>
              <w:pStyle w:val="Compact"/>
            </w:pPr>
            <w:r w:rsidRPr="0070080E">
              <w:t>6–10</w:t>
            </w:r>
          </w:p>
        </w:tc>
        <w:tc>
          <w:tcPr>
            <w:tcW w:w="0" w:type="auto"/>
          </w:tcPr>
          <w:p w14:paraId="3CB102CF" w14:textId="77777777" w:rsidR="00F67DDB" w:rsidRPr="0070080E" w:rsidRDefault="0094076D">
            <w:pPr>
              <w:pStyle w:val="Compact"/>
            </w:pPr>
            <w:r w:rsidRPr="0070080E">
              <w:t>12 (22.64%)</w:t>
            </w:r>
          </w:p>
        </w:tc>
      </w:tr>
      <w:tr w:rsidR="00F67DDB" w:rsidRPr="0070080E" w14:paraId="3CB102D4" w14:textId="77777777">
        <w:tc>
          <w:tcPr>
            <w:tcW w:w="0" w:type="auto"/>
          </w:tcPr>
          <w:p w14:paraId="3CB102D1" w14:textId="77777777" w:rsidR="00F67DDB" w:rsidRPr="0070080E" w:rsidRDefault="0094076D">
            <w:pPr>
              <w:pStyle w:val="Compact"/>
            </w:pPr>
            <w:r w:rsidRPr="0070080E">
              <w:t>Years of experience</w:t>
            </w:r>
          </w:p>
        </w:tc>
        <w:tc>
          <w:tcPr>
            <w:tcW w:w="0" w:type="auto"/>
          </w:tcPr>
          <w:p w14:paraId="3CB102D2" w14:textId="77777777" w:rsidR="00F67DDB" w:rsidRPr="0070080E" w:rsidRDefault="0094076D">
            <w:pPr>
              <w:pStyle w:val="Compact"/>
            </w:pPr>
            <w:r w:rsidRPr="0070080E">
              <w:t>11–20</w:t>
            </w:r>
          </w:p>
        </w:tc>
        <w:tc>
          <w:tcPr>
            <w:tcW w:w="0" w:type="auto"/>
          </w:tcPr>
          <w:p w14:paraId="3CB102D3" w14:textId="77777777" w:rsidR="00F67DDB" w:rsidRPr="0070080E" w:rsidRDefault="0094076D">
            <w:pPr>
              <w:pStyle w:val="Compact"/>
            </w:pPr>
            <w:r w:rsidRPr="0070080E">
              <w:t>35 (66.04%)</w:t>
            </w:r>
          </w:p>
        </w:tc>
      </w:tr>
      <w:tr w:rsidR="00F67DDB" w:rsidRPr="0070080E" w14:paraId="3CB102D8" w14:textId="77777777">
        <w:tc>
          <w:tcPr>
            <w:tcW w:w="0" w:type="auto"/>
          </w:tcPr>
          <w:p w14:paraId="3CB102D5" w14:textId="77777777" w:rsidR="00F67DDB" w:rsidRPr="0070080E" w:rsidRDefault="0094076D">
            <w:pPr>
              <w:pStyle w:val="Compact"/>
            </w:pPr>
            <w:r w:rsidRPr="0070080E">
              <w:t>Years of experience</w:t>
            </w:r>
          </w:p>
        </w:tc>
        <w:tc>
          <w:tcPr>
            <w:tcW w:w="0" w:type="auto"/>
          </w:tcPr>
          <w:p w14:paraId="3CB102D6" w14:textId="77777777" w:rsidR="00F67DDB" w:rsidRPr="0070080E" w:rsidRDefault="0094076D">
            <w:pPr>
              <w:pStyle w:val="Compact"/>
            </w:pPr>
            <w:r w:rsidRPr="0070080E">
              <w:t>More than 20</w:t>
            </w:r>
          </w:p>
        </w:tc>
        <w:tc>
          <w:tcPr>
            <w:tcW w:w="0" w:type="auto"/>
          </w:tcPr>
          <w:p w14:paraId="3CB102D7" w14:textId="77777777" w:rsidR="00F67DDB" w:rsidRPr="0070080E" w:rsidRDefault="0094076D">
            <w:pPr>
              <w:pStyle w:val="Compact"/>
            </w:pPr>
            <w:r w:rsidRPr="0070080E">
              <w:t>4 (7.55%)</w:t>
            </w:r>
          </w:p>
        </w:tc>
      </w:tr>
      <w:tr w:rsidR="00F67DDB" w:rsidRPr="0070080E" w14:paraId="3CB102DC" w14:textId="77777777">
        <w:tc>
          <w:tcPr>
            <w:tcW w:w="0" w:type="auto"/>
          </w:tcPr>
          <w:p w14:paraId="3CB102D9" w14:textId="77777777" w:rsidR="00F67DDB" w:rsidRPr="0070080E" w:rsidRDefault="0094076D">
            <w:pPr>
              <w:pStyle w:val="Compact"/>
            </w:pPr>
            <w:r w:rsidRPr="0070080E">
              <w:t>Institution type</w:t>
            </w:r>
          </w:p>
        </w:tc>
        <w:tc>
          <w:tcPr>
            <w:tcW w:w="0" w:type="auto"/>
          </w:tcPr>
          <w:p w14:paraId="3CB102DA" w14:textId="77777777" w:rsidR="00F67DDB" w:rsidRPr="0070080E" w:rsidRDefault="0094076D">
            <w:pPr>
              <w:pStyle w:val="Compact"/>
            </w:pPr>
            <w:r w:rsidRPr="0070080E">
              <w:t>Asset manager</w:t>
            </w:r>
          </w:p>
        </w:tc>
        <w:tc>
          <w:tcPr>
            <w:tcW w:w="0" w:type="auto"/>
          </w:tcPr>
          <w:p w14:paraId="3CB102DB" w14:textId="77777777" w:rsidR="00F67DDB" w:rsidRPr="0070080E" w:rsidRDefault="0094076D">
            <w:pPr>
              <w:pStyle w:val="Compact"/>
            </w:pPr>
            <w:r w:rsidRPr="0070080E">
              <w:t>31 (58.49%)</w:t>
            </w:r>
          </w:p>
        </w:tc>
      </w:tr>
      <w:tr w:rsidR="00F67DDB" w:rsidRPr="0070080E" w14:paraId="3CB102E0" w14:textId="77777777">
        <w:tc>
          <w:tcPr>
            <w:tcW w:w="0" w:type="auto"/>
          </w:tcPr>
          <w:p w14:paraId="3CB102DD" w14:textId="77777777" w:rsidR="00F67DDB" w:rsidRPr="0070080E" w:rsidRDefault="0094076D">
            <w:pPr>
              <w:pStyle w:val="Compact"/>
            </w:pPr>
            <w:r w:rsidRPr="0070080E">
              <w:t>Institution type</w:t>
            </w:r>
          </w:p>
        </w:tc>
        <w:tc>
          <w:tcPr>
            <w:tcW w:w="0" w:type="auto"/>
          </w:tcPr>
          <w:p w14:paraId="3CB102DE" w14:textId="77777777" w:rsidR="00F67DDB" w:rsidRPr="0070080E" w:rsidRDefault="0094076D">
            <w:pPr>
              <w:pStyle w:val="Compact"/>
            </w:pPr>
            <w:r w:rsidRPr="0070080E">
              <w:t>Family office</w:t>
            </w:r>
          </w:p>
        </w:tc>
        <w:tc>
          <w:tcPr>
            <w:tcW w:w="0" w:type="auto"/>
          </w:tcPr>
          <w:p w14:paraId="3CB102DF" w14:textId="77777777" w:rsidR="00F67DDB" w:rsidRPr="0070080E" w:rsidRDefault="0094076D">
            <w:pPr>
              <w:pStyle w:val="Compact"/>
            </w:pPr>
            <w:r w:rsidRPr="0070080E">
              <w:t>6 (11.32%)</w:t>
            </w:r>
          </w:p>
        </w:tc>
      </w:tr>
      <w:tr w:rsidR="00F67DDB" w:rsidRPr="0070080E" w14:paraId="3CB102E4" w14:textId="77777777">
        <w:tc>
          <w:tcPr>
            <w:tcW w:w="0" w:type="auto"/>
          </w:tcPr>
          <w:p w14:paraId="3CB102E1" w14:textId="77777777" w:rsidR="00F67DDB" w:rsidRPr="0070080E" w:rsidRDefault="0094076D">
            <w:pPr>
              <w:pStyle w:val="Compact"/>
            </w:pPr>
            <w:r w:rsidRPr="0070080E">
              <w:t>Institution type</w:t>
            </w:r>
          </w:p>
        </w:tc>
        <w:tc>
          <w:tcPr>
            <w:tcW w:w="0" w:type="auto"/>
          </w:tcPr>
          <w:p w14:paraId="3CB102E2" w14:textId="77777777" w:rsidR="00F67DDB" w:rsidRPr="0070080E" w:rsidRDefault="0094076D">
            <w:pPr>
              <w:pStyle w:val="Compact"/>
            </w:pPr>
            <w:r w:rsidRPr="0070080E">
              <w:t>Other</w:t>
            </w:r>
          </w:p>
        </w:tc>
        <w:tc>
          <w:tcPr>
            <w:tcW w:w="0" w:type="auto"/>
          </w:tcPr>
          <w:p w14:paraId="3CB102E3" w14:textId="77777777" w:rsidR="00F67DDB" w:rsidRPr="0070080E" w:rsidRDefault="0094076D">
            <w:pPr>
              <w:pStyle w:val="Compact"/>
            </w:pPr>
            <w:r w:rsidRPr="0070080E">
              <w:t>5 (9.43%)</w:t>
            </w:r>
          </w:p>
        </w:tc>
      </w:tr>
      <w:tr w:rsidR="00F67DDB" w:rsidRPr="0070080E" w14:paraId="3CB102E8" w14:textId="77777777">
        <w:tc>
          <w:tcPr>
            <w:tcW w:w="0" w:type="auto"/>
          </w:tcPr>
          <w:p w14:paraId="3CB102E5" w14:textId="77777777" w:rsidR="00F67DDB" w:rsidRPr="0070080E" w:rsidRDefault="0094076D">
            <w:pPr>
              <w:pStyle w:val="Compact"/>
            </w:pPr>
            <w:r w:rsidRPr="0070080E">
              <w:t>Institution type</w:t>
            </w:r>
          </w:p>
        </w:tc>
        <w:tc>
          <w:tcPr>
            <w:tcW w:w="0" w:type="auto"/>
          </w:tcPr>
          <w:p w14:paraId="3CB102E6" w14:textId="77777777" w:rsidR="00F67DDB" w:rsidRPr="0070080E" w:rsidRDefault="0094076D">
            <w:pPr>
              <w:pStyle w:val="Compact"/>
            </w:pPr>
            <w:r w:rsidRPr="0070080E">
              <w:t>Bank/private bank</w:t>
            </w:r>
          </w:p>
        </w:tc>
        <w:tc>
          <w:tcPr>
            <w:tcW w:w="0" w:type="auto"/>
          </w:tcPr>
          <w:p w14:paraId="3CB102E7" w14:textId="77777777" w:rsidR="00F67DDB" w:rsidRPr="0070080E" w:rsidRDefault="0094076D">
            <w:pPr>
              <w:pStyle w:val="Compact"/>
            </w:pPr>
            <w:r w:rsidRPr="0070080E">
              <w:t>4 (7.55%)</w:t>
            </w:r>
          </w:p>
        </w:tc>
      </w:tr>
      <w:tr w:rsidR="00F67DDB" w:rsidRPr="0070080E" w14:paraId="3CB102EC" w14:textId="77777777">
        <w:tc>
          <w:tcPr>
            <w:tcW w:w="0" w:type="auto"/>
          </w:tcPr>
          <w:p w14:paraId="3CB102E9" w14:textId="77777777" w:rsidR="00F67DDB" w:rsidRPr="0070080E" w:rsidRDefault="0094076D">
            <w:pPr>
              <w:pStyle w:val="Compact"/>
            </w:pPr>
            <w:r w:rsidRPr="0070080E">
              <w:t>Institution type</w:t>
            </w:r>
          </w:p>
        </w:tc>
        <w:tc>
          <w:tcPr>
            <w:tcW w:w="0" w:type="auto"/>
          </w:tcPr>
          <w:p w14:paraId="3CB102EA" w14:textId="77777777" w:rsidR="00F67DDB" w:rsidRPr="0070080E" w:rsidRDefault="0094076D">
            <w:pPr>
              <w:pStyle w:val="Compact"/>
            </w:pPr>
            <w:r w:rsidRPr="0070080E">
              <w:t>Hedge fund</w:t>
            </w:r>
          </w:p>
        </w:tc>
        <w:tc>
          <w:tcPr>
            <w:tcW w:w="0" w:type="auto"/>
          </w:tcPr>
          <w:p w14:paraId="3CB102EB" w14:textId="77777777" w:rsidR="00F67DDB" w:rsidRPr="0070080E" w:rsidRDefault="0094076D">
            <w:pPr>
              <w:pStyle w:val="Compact"/>
            </w:pPr>
            <w:r w:rsidRPr="0070080E">
              <w:t>4 (7.55%)</w:t>
            </w:r>
          </w:p>
        </w:tc>
      </w:tr>
      <w:tr w:rsidR="00F67DDB" w:rsidRPr="0070080E" w14:paraId="3CB102F0" w14:textId="77777777">
        <w:tc>
          <w:tcPr>
            <w:tcW w:w="0" w:type="auto"/>
          </w:tcPr>
          <w:p w14:paraId="3CB102ED" w14:textId="77777777" w:rsidR="00F67DDB" w:rsidRPr="0070080E" w:rsidRDefault="0094076D">
            <w:pPr>
              <w:pStyle w:val="Compact"/>
            </w:pPr>
            <w:r w:rsidRPr="0070080E">
              <w:t>Institution type</w:t>
            </w:r>
          </w:p>
        </w:tc>
        <w:tc>
          <w:tcPr>
            <w:tcW w:w="0" w:type="auto"/>
          </w:tcPr>
          <w:p w14:paraId="3CB102EE" w14:textId="77777777" w:rsidR="00F67DDB" w:rsidRPr="0070080E" w:rsidRDefault="0094076D">
            <w:pPr>
              <w:pStyle w:val="Compact"/>
            </w:pPr>
            <w:r w:rsidRPr="0070080E">
              <w:t>Independent/RIA</w:t>
            </w:r>
          </w:p>
        </w:tc>
        <w:tc>
          <w:tcPr>
            <w:tcW w:w="0" w:type="auto"/>
          </w:tcPr>
          <w:p w14:paraId="3CB102EF" w14:textId="77777777" w:rsidR="00F67DDB" w:rsidRPr="0070080E" w:rsidRDefault="0094076D">
            <w:pPr>
              <w:pStyle w:val="Compact"/>
            </w:pPr>
            <w:r w:rsidRPr="0070080E">
              <w:t>2 (3.77%)</w:t>
            </w:r>
          </w:p>
        </w:tc>
      </w:tr>
      <w:tr w:rsidR="00F67DDB" w:rsidRPr="0070080E" w14:paraId="3CB102F4" w14:textId="77777777">
        <w:tc>
          <w:tcPr>
            <w:tcW w:w="0" w:type="auto"/>
          </w:tcPr>
          <w:p w14:paraId="3CB102F1" w14:textId="77777777" w:rsidR="00F67DDB" w:rsidRPr="0070080E" w:rsidRDefault="0094076D">
            <w:pPr>
              <w:pStyle w:val="Compact"/>
            </w:pPr>
            <w:r w:rsidRPr="0070080E">
              <w:t>Institution type</w:t>
            </w:r>
          </w:p>
        </w:tc>
        <w:tc>
          <w:tcPr>
            <w:tcW w:w="0" w:type="auto"/>
          </w:tcPr>
          <w:p w14:paraId="3CB102F2" w14:textId="77777777" w:rsidR="00F67DDB" w:rsidRPr="0070080E" w:rsidRDefault="0094076D">
            <w:pPr>
              <w:pStyle w:val="Compact"/>
            </w:pPr>
            <w:r w:rsidRPr="0070080E">
              <w:t>Pension/endowment fund</w:t>
            </w:r>
          </w:p>
        </w:tc>
        <w:tc>
          <w:tcPr>
            <w:tcW w:w="0" w:type="auto"/>
          </w:tcPr>
          <w:p w14:paraId="3CB102F3" w14:textId="77777777" w:rsidR="00F67DDB" w:rsidRPr="0070080E" w:rsidRDefault="0094076D">
            <w:pPr>
              <w:pStyle w:val="Compact"/>
            </w:pPr>
            <w:r w:rsidRPr="0070080E">
              <w:t>1 (1.89%)</w:t>
            </w:r>
          </w:p>
        </w:tc>
      </w:tr>
      <w:tr w:rsidR="00F67DDB" w:rsidRPr="0070080E" w14:paraId="3CB102F8" w14:textId="77777777">
        <w:tc>
          <w:tcPr>
            <w:tcW w:w="0" w:type="auto"/>
          </w:tcPr>
          <w:p w14:paraId="3CB102F5" w14:textId="77777777" w:rsidR="00F67DDB" w:rsidRPr="0070080E" w:rsidRDefault="0094076D">
            <w:pPr>
              <w:pStyle w:val="Compact"/>
            </w:pPr>
            <w:r w:rsidRPr="0070080E">
              <w:t>AUM category</w:t>
            </w:r>
          </w:p>
        </w:tc>
        <w:tc>
          <w:tcPr>
            <w:tcW w:w="0" w:type="auto"/>
          </w:tcPr>
          <w:p w14:paraId="3CB102F6" w14:textId="62461460" w:rsidR="00F67DDB" w:rsidRPr="0070080E" w:rsidRDefault="0094076D">
            <w:pPr>
              <w:pStyle w:val="Compact"/>
            </w:pPr>
            <w:r w:rsidRPr="0070080E">
              <w:t>$2B</w:t>
            </w:r>
            <w:r w:rsidR="002661BD">
              <w:t xml:space="preserve"> </w:t>
            </w:r>
            <w:r w:rsidR="002661BD" w:rsidRPr="002661BD">
              <w:t>to under $10B</w:t>
            </w:r>
          </w:p>
        </w:tc>
        <w:tc>
          <w:tcPr>
            <w:tcW w:w="0" w:type="auto"/>
          </w:tcPr>
          <w:p w14:paraId="3CB102F7" w14:textId="77777777" w:rsidR="00F67DDB" w:rsidRPr="0070080E" w:rsidRDefault="0094076D">
            <w:pPr>
              <w:pStyle w:val="Compact"/>
            </w:pPr>
            <w:r w:rsidRPr="0070080E">
              <w:t>22 (41.51%)</w:t>
            </w:r>
          </w:p>
        </w:tc>
      </w:tr>
      <w:tr w:rsidR="00F67DDB" w:rsidRPr="0070080E" w14:paraId="3CB102FC" w14:textId="77777777">
        <w:tc>
          <w:tcPr>
            <w:tcW w:w="0" w:type="auto"/>
          </w:tcPr>
          <w:p w14:paraId="3CB102F9" w14:textId="77777777" w:rsidR="00F67DDB" w:rsidRPr="0070080E" w:rsidRDefault="0094076D">
            <w:pPr>
              <w:pStyle w:val="Compact"/>
            </w:pPr>
            <w:r w:rsidRPr="0070080E">
              <w:t>AUM category</w:t>
            </w:r>
          </w:p>
        </w:tc>
        <w:tc>
          <w:tcPr>
            <w:tcW w:w="0" w:type="auto"/>
          </w:tcPr>
          <w:p w14:paraId="3CB102FA" w14:textId="35889EFC" w:rsidR="00F67DDB" w:rsidRPr="0070080E" w:rsidRDefault="004269FF">
            <w:pPr>
              <w:pStyle w:val="Compact"/>
            </w:pPr>
            <w:r w:rsidRPr="004269FF">
              <w:t>$500M to under $2B</w:t>
            </w:r>
          </w:p>
        </w:tc>
        <w:tc>
          <w:tcPr>
            <w:tcW w:w="0" w:type="auto"/>
          </w:tcPr>
          <w:p w14:paraId="3CB102FB" w14:textId="77777777" w:rsidR="00F67DDB" w:rsidRPr="0070080E" w:rsidRDefault="0094076D">
            <w:pPr>
              <w:pStyle w:val="Compact"/>
            </w:pPr>
            <w:r w:rsidRPr="0070080E">
              <w:t>20 (37.74%)</w:t>
            </w:r>
          </w:p>
        </w:tc>
      </w:tr>
      <w:tr w:rsidR="00F67DDB" w:rsidRPr="0070080E" w14:paraId="3CB10300" w14:textId="77777777">
        <w:tc>
          <w:tcPr>
            <w:tcW w:w="0" w:type="auto"/>
          </w:tcPr>
          <w:p w14:paraId="3CB102FD" w14:textId="77777777" w:rsidR="00F67DDB" w:rsidRPr="0070080E" w:rsidRDefault="0094076D">
            <w:pPr>
              <w:pStyle w:val="Compact"/>
            </w:pPr>
            <w:r w:rsidRPr="0070080E">
              <w:t>AUM category</w:t>
            </w:r>
          </w:p>
        </w:tc>
        <w:tc>
          <w:tcPr>
            <w:tcW w:w="0" w:type="auto"/>
          </w:tcPr>
          <w:p w14:paraId="3CB102FE" w14:textId="554809E7" w:rsidR="00F67DDB" w:rsidRPr="0070080E" w:rsidRDefault="0094076D">
            <w:pPr>
              <w:pStyle w:val="Compact"/>
            </w:pPr>
            <w:r w:rsidRPr="0070080E">
              <w:t>$10B</w:t>
            </w:r>
            <w:r w:rsidR="009C2FD8">
              <w:t xml:space="preserve"> or more</w:t>
            </w:r>
          </w:p>
        </w:tc>
        <w:tc>
          <w:tcPr>
            <w:tcW w:w="0" w:type="auto"/>
          </w:tcPr>
          <w:p w14:paraId="3CB102FF" w14:textId="77777777" w:rsidR="00F67DDB" w:rsidRPr="0070080E" w:rsidRDefault="0094076D">
            <w:pPr>
              <w:pStyle w:val="Compact"/>
            </w:pPr>
            <w:r w:rsidRPr="0070080E">
              <w:t>6 (11.32%)</w:t>
            </w:r>
          </w:p>
        </w:tc>
      </w:tr>
      <w:tr w:rsidR="00F67DDB" w:rsidRPr="0070080E" w14:paraId="3CB10304" w14:textId="77777777">
        <w:tc>
          <w:tcPr>
            <w:tcW w:w="0" w:type="auto"/>
          </w:tcPr>
          <w:p w14:paraId="3CB10301" w14:textId="77777777" w:rsidR="00F67DDB" w:rsidRPr="0070080E" w:rsidRDefault="0094076D">
            <w:pPr>
              <w:pStyle w:val="Compact"/>
            </w:pPr>
            <w:r w:rsidRPr="0070080E">
              <w:t>AUM category</w:t>
            </w:r>
          </w:p>
        </w:tc>
        <w:tc>
          <w:tcPr>
            <w:tcW w:w="0" w:type="auto"/>
          </w:tcPr>
          <w:p w14:paraId="3CB10302" w14:textId="77777777" w:rsidR="00F67DDB" w:rsidRPr="0070080E" w:rsidRDefault="0094076D">
            <w:pPr>
              <w:pStyle w:val="Compact"/>
            </w:pPr>
            <w:r w:rsidRPr="0070080E">
              <w:t>Less than $50M</w:t>
            </w:r>
          </w:p>
        </w:tc>
        <w:tc>
          <w:tcPr>
            <w:tcW w:w="0" w:type="auto"/>
          </w:tcPr>
          <w:p w14:paraId="3CB10303" w14:textId="77777777" w:rsidR="00F67DDB" w:rsidRPr="0070080E" w:rsidRDefault="0094076D">
            <w:pPr>
              <w:pStyle w:val="Compact"/>
            </w:pPr>
            <w:r w:rsidRPr="0070080E">
              <w:t>3 (5.66%)</w:t>
            </w:r>
          </w:p>
        </w:tc>
      </w:tr>
      <w:tr w:rsidR="00F67DDB" w:rsidRPr="0070080E" w14:paraId="3CB10308" w14:textId="77777777">
        <w:tc>
          <w:tcPr>
            <w:tcW w:w="0" w:type="auto"/>
          </w:tcPr>
          <w:p w14:paraId="3CB10305" w14:textId="77777777" w:rsidR="00F67DDB" w:rsidRPr="0070080E" w:rsidRDefault="0094076D">
            <w:pPr>
              <w:pStyle w:val="Compact"/>
            </w:pPr>
            <w:r w:rsidRPr="0070080E">
              <w:t>AUM category</w:t>
            </w:r>
          </w:p>
        </w:tc>
        <w:tc>
          <w:tcPr>
            <w:tcW w:w="0" w:type="auto"/>
          </w:tcPr>
          <w:p w14:paraId="3CB10306" w14:textId="47B0D363" w:rsidR="00F67DDB" w:rsidRPr="0070080E" w:rsidRDefault="0081651C">
            <w:pPr>
              <w:pStyle w:val="Compact"/>
            </w:pPr>
            <w:r w:rsidRPr="0081651C">
              <w:t>$50M to under $500M</w:t>
            </w:r>
          </w:p>
        </w:tc>
        <w:tc>
          <w:tcPr>
            <w:tcW w:w="0" w:type="auto"/>
          </w:tcPr>
          <w:p w14:paraId="3CB10307" w14:textId="77777777" w:rsidR="00F67DDB" w:rsidRPr="0070080E" w:rsidRDefault="0094076D">
            <w:pPr>
              <w:pStyle w:val="Compact"/>
            </w:pPr>
            <w:r w:rsidRPr="0070080E">
              <w:t>2 (3.77%)</w:t>
            </w:r>
          </w:p>
        </w:tc>
      </w:tr>
    </w:tbl>
    <w:p w14:paraId="3CB10309" w14:textId="77777777" w:rsidR="00F67DDB" w:rsidRPr="0070080E" w:rsidRDefault="0094076D" w:rsidP="00F411DE">
      <w:pPr>
        <w:pStyle w:val="BodyText"/>
        <w:ind w:firstLine="0"/>
      </w:pPr>
      <w:r w:rsidRPr="0070080E">
        <w:rPr>
          <w:i/>
          <w:iCs/>
        </w:rPr>
        <w:t>Note.</w:t>
      </w:r>
      <w:r w:rsidRPr="0070080E">
        <w:t xml:space="preserve"> N = 53 respondents.</w:t>
      </w:r>
    </w:p>
    <w:p w14:paraId="3CB1030A" w14:textId="77777777" w:rsidR="00F67DDB" w:rsidRPr="0070080E" w:rsidRDefault="0094076D" w:rsidP="00F411DE">
      <w:pPr>
        <w:pStyle w:val="Tableid"/>
      </w:pPr>
      <w:r w:rsidRPr="0070080E">
        <w:t>Figure 5.1</w:t>
      </w:r>
    </w:p>
    <w:p w14:paraId="3CB1030B" w14:textId="77777777" w:rsidR="00F67DDB" w:rsidRPr="0070080E" w:rsidRDefault="0094076D" w:rsidP="00F411DE">
      <w:pPr>
        <w:pStyle w:val="TableCaption"/>
      </w:pPr>
      <w:r w:rsidRPr="0070080E">
        <w:t>Sample Composition by Institution Type and AUM Category</w:t>
      </w:r>
    </w:p>
    <w:p w14:paraId="3CB1030C" w14:textId="77777777" w:rsidR="00F67DDB" w:rsidRPr="0070080E" w:rsidRDefault="0094076D" w:rsidP="00F411DE">
      <w:pPr>
        <w:pStyle w:val="Compact"/>
      </w:pPr>
      <w:r w:rsidRPr="0070080E">
        <w:rPr>
          <w:noProof/>
        </w:rPr>
        <w:drawing>
          <wp:inline distT="0" distB="0" distL="0" distR="0" wp14:anchorId="3CB10821" wp14:editId="3CB10822">
            <wp:extent cx="5943600" cy="243541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results/figures/fig_demographics.png"/>
                    <pic:cNvPicPr>
                      <a:picLocks noChangeAspect="1" noChangeArrowheads="1"/>
                    </pic:cNvPicPr>
                  </pic:nvPicPr>
                  <pic:blipFill>
                    <a:blip r:embed="rId338"/>
                    <a:stretch>
                      <a:fillRect/>
                    </a:stretch>
                  </pic:blipFill>
                  <pic:spPr bwMode="auto">
                    <a:xfrm>
                      <a:off x="0" y="0"/>
                      <a:ext cx="5943600" cy="2435410"/>
                    </a:xfrm>
                    <a:prstGeom prst="rect">
                      <a:avLst/>
                    </a:prstGeom>
                    <a:noFill/>
                    <a:ln w="9525">
                      <a:noFill/>
                      <a:headEnd/>
                      <a:tailEnd/>
                    </a:ln>
                  </pic:spPr>
                </pic:pic>
              </a:graphicData>
            </a:graphic>
          </wp:inline>
        </w:drawing>
      </w:r>
    </w:p>
    <w:p w14:paraId="3CB1030D" w14:textId="273F1E62" w:rsidR="00F67DDB" w:rsidRPr="0070080E" w:rsidRDefault="0094076D" w:rsidP="00F411DE">
      <w:pPr>
        <w:pStyle w:val="BodyText"/>
        <w:ind w:firstLine="0"/>
      </w:pPr>
      <w:r w:rsidRPr="0070080E">
        <w:rPr>
          <w:i/>
          <w:iCs/>
        </w:rPr>
        <w:t>Note.</w:t>
      </w:r>
      <w:r w:rsidRPr="0070080E">
        <w:t xml:space="preserve"> N = 53 respondents. Original figure created for this study</w:t>
      </w:r>
      <w:r w:rsidR="00F1188A">
        <w:t xml:space="preserve"> (2026)</w:t>
      </w:r>
      <w:r w:rsidRPr="0070080E">
        <w:t>.</w:t>
      </w:r>
    </w:p>
    <w:p w14:paraId="3CB1030E" w14:textId="77777777" w:rsidR="00F67DDB" w:rsidRPr="0070080E" w:rsidRDefault="0094076D">
      <w:pPr>
        <w:pStyle w:val="Heading3"/>
      </w:pPr>
      <w:bookmarkStart w:id="150" w:name="descriptive-analysis-of-data"/>
      <w:bookmarkEnd w:id="149"/>
      <w:r w:rsidRPr="0070080E">
        <w:t>5.2.2 Descriptive Analysis of Data</w:t>
      </w:r>
    </w:p>
    <w:p w14:paraId="3CB1030F" w14:textId="77777777" w:rsidR="00F67DDB" w:rsidRPr="0070080E" w:rsidRDefault="0094076D">
      <w:pPr>
        <w:pStyle w:val="FirstParagraph"/>
      </w:pPr>
      <w:r w:rsidRPr="0070080E">
        <w:t>Across all 424 observations, the mean NRS is 4.0519 (median = 4.0000, SD = 1.3845, range = 1–7). In the control condition (ShowSC = 0), the mean NRS is 4.0849 (SD = 1.3569, n = 212). In the treatment condition (ShowSC = 1), the mean NRS is 4.0189 (SD = 1.4141, n = 212). The mean NRS difference (ShowSC=1 minus ShowSC=0) is -0.0660.</w:t>
      </w:r>
    </w:p>
    <w:p w14:paraId="3CB10310" w14:textId="77777777" w:rsidR="00F67DDB" w:rsidRPr="0070080E" w:rsidRDefault="00000000">
      <w:pPr>
        <w:pStyle w:val="BodyText"/>
      </w:p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0094076D" w:rsidRPr="0070080E">
        <w:t xml:space="preserve"> is a standardized PCA composite score (first principal component of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0094076D" w:rsidRPr="0070080E">
        <w:t xml:space="preserv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sidR="0094076D" w:rsidRPr="0070080E">
        <w:t xml:space="preserv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0094076D" w:rsidRPr="0070080E">
        <w:t xml:space="preserve">, and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0094076D" w:rsidRPr="0070080E">
        <w:t>). By construction, the sample mean is approximately zero. The meaningful descriptive statistics are the range (min = -2.1832, max = 4.7132) and standard deviation (SD = 1.4501), which characterize the spread of shock intensity across the twenty-four scenarios. Manipulation check responses: Yes: 53. For ShowSC = 1 respondents, the mean usefulness rating is 3.1509 (median = 3.0000, SD = 0.7695).</w:t>
      </w:r>
    </w:p>
    <w:p w14:paraId="347F5C6E" w14:textId="77777777" w:rsidR="00E80316" w:rsidRPr="0070080E" w:rsidRDefault="00E80316">
      <w:pPr>
        <w:spacing w:after="200" w:line="240" w:lineRule="auto"/>
        <w:ind w:firstLine="0"/>
        <w:rPr>
          <w:b/>
          <w:bCs/>
        </w:rPr>
      </w:pPr>
      <w:r w:rsidRPr="0070080E">
        <w:rPr>
          <w:b/>
          <w:bCs/>
        </w:rPr>
        <w:br w:type="page"/>
      </w:r>
    </w:p>
    <w:p w14:paraId="3CB10311" w14:textId="334D388E" w:rsidR="00F67DDB" w:rsidRPr="0070080E" w:rsidRDefault="0094076D" w:rsidP="00F411DE">
      <w:pPr>
        <w:pStyle w:val="Tableid"/>
      </w:pPr>
      <w:r w:rsidRPr="0070080E">
        <w:t>Figure 5.2</w:t>
      </w:r>
    </w:p>
    <w:p w14:paraId="3CB10312" w14:textId="77777777" w:rsidR="00F67DDB" w:rsidRPr="0070080E" w:rsidRDefault="0094076D" w:rsidP="00F411DE">
      <w:pPr>
        <w:pStyle w:val="TableCaption"/>
      </w:pPr>
      <w:r w:rsidRPr="0070080E">
        <w:t>Distribution of Net Risk Stance Responses</w:t>
      </w:r>
    </w:p>
    <w:p w14:paraId="3CB10313" w14:textId="77777777" w:rsidR="00F67DDB" w:rsidRPr="0070080E" w:rsidRDefault="0094076D" w:rsidP="00F411DE">
      <w:pPr>
        <w:pStyle w:val="Compact"/>
      </w:pPr>
      <w:r w:rsidRPr="0070080E">
        <w:rPr>
          <w:noProof/>
        </w:rPr>
        <w:drawing>
          <wp:inline distT="0" distB="0" distL="0" distR="0" wp14:anchorId="3CB10823" wp14:editId="030824CC">
            <wp:extent cx="4583723" cy="27432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results/figures/fig_nrs_distribution.png"/>
                    <pic:cNvPicPr>
                      <a:picLocks noChangeAspect="1" noChangeArrowheads="1"/>
                    </pic:cNvPicPr>
                  </pic:nvPicPr>
                  <pic:blipFill>
                    <a:blip r:embed="rId339"/>
                    <a:stretch>
                      <a:fillRect/>
                    </a:stretch>
                  </pic:blipFill>
                  <pic:spPr bwMode="auto">
                    <a:xfrm>
                      <a:off x="0" y="0"/>
                      <a:ext cx="4587774" cy="2745625"/>
                    </a:xfrm>
                    <a:prstGeom prst="rect">
                      <a:avLst/>
                    </a:prstGeom>
                    <a:noFill/>
                    <a:ln w="9525">
                      <a:noFill/>
                      <a:headEnd/>
                      <a:tailEnd/>
                    </a:ln>
                  </pic:spPr>
                </pic:pic>
              </a:graphicData>
            </a:graphic>
          </wp:inline>
        </w:drawing>
      </w:r>
    </w:p>
    <w:p w14:paraId="3CB10314" w14:textId="5A1AA096" w:rsidR="00F67DDB" w:rsidRPr="0070080E" w:rsidRDefault="0094076D" w:rsidP="00F411DE">
      <w:pPr>
        <w:pStyle w:val="BodyText"/>
        <w:ind w:firstLine="0"/>
      </w:pPr>
      <w:r w:rsidRPr="0070080E">
        <w:rPr>
          <w:i/>
          <w:iCs/>
        </w:rPr>
        <w:t>Note.</w:t>
      </w:r>
      <w:r w:rsidRPr="0070080E">
        <w:t xml:space="preserve"> N = 424 scenario-level observations. Original figure created for this study</w:t>
      </w:r>
      <w:r w:rsidR="00F1188A">
        <w:t xml:space="preserve"> (2026)</w:t>
      </w:r>
      <w:r w:rsidRPr="0070080E">
        <w:t>.</w:t>
      </w:r>
    </w:p>
    <w:p w14:paraId="3CB10315" w14:textId="77777777" w:rsidR="00F67DDB" w:rsidRPr="0070080E" w:rsidRDefault="0094076D" w:rsidP="00F411DE">
      <w:pPr>
        <w:pStyle w:val="Tableid"/>
      </w:pPr>
      <w:r w:rsidRPr="0070080E">
        <w:t>Figure 5.3</w:t>
      </w:r>
    </w:p>
    <w:p w14:paraId="3CB10316" w14:textId="77777777" w:rsidR="00F67DDB" w:rsidRPr="0070080E" w:rsidRDefault="0094076D" w:rsidP="00F411DE">
      <w:pPr>
        <w:pStyle w:val="TableCaption"/>
      </w:pPr>
      <w:r w:rsidRPr="0070080E">
        <w:t>Net Risk Stance Distribution by Experimental Condition</w:t>
      </w:r>
    </w:p>
    <w:p w14:paraId="3CB10317" w14:textId="77777777" w:rsidR="00F67DDB" w:rsidRPr="0070080E" w:rsidRDefault="0094076D" w:rsidP="00F411DE">
      <w:pPr>
        <w:pStyle w:val="Compact"/>
      </w:pPr>
      <w:r w:rsidRPr="0070080E">
        <w:rPr>
          <w:noProof/>
        </w:rPr>
        <w:drawing>
          <wp:inline distT="0" distB="0" distL="0" distR="0" wp14:anchorId="3CB10825" wp14:editId="2BA9FC9F">
            <wp:extent cx="4267200" cy="2919046"/>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results/figures/fig_nrs_by_condition.png"/>
                    <pic:cNvPicPr>
                      <a:picLocks noChangeAspect="1" noChangeArrowheads="1"/>
                    </pic:cNvPicPr>
                  </pic:nvPicPr>
                  <pic:blipFill>
                    <a:blip r:embed="rId340"/>
                    <a:stretch>
                      <a:fillRect/>
                    </a:stretch>
                  </pic:blipFill>
                  <pic:spPr bwMode="auto">
                    <a:xfrm>
                      <a:off x="0" y="0"/>
                      <a:ext cx="4274723" cy="2924192"/>
                    </a:xfrm>
                    <a:prstGeom prst="rect">
                      <a:avLst/>
                    </a:prstGeom>
                    <a:noFill/>
                    <a:ln w="9525">
                      <a:noFill/>
                      <a:headEnd/>
                      <a:tailEnd/>
                    </a:ln>
                  </pic:spPr>
                </pic:pic>
              </a:graphicData>
            </a:graphic>
          </wp:inline>
        </w:drawing>
      </w:r>
    </w:p>
    <w:p w14:paraId="3CB10318" w14:textId="093C1A0A" w:rsidR="00F67DDB" w:rsidRPr="0070080E" w:rsidRDefault="0094076D" w:rsidP="00F411DE">
      <w:pPr>
        <w:pStyle w:val="BodyText"/>
        <w:ind w:firstLine="0"/>
      </w:pPr>
      <w:r w:rsidRPr="0070080E">
        <w:rPr>
          <w:i/>
          <w:iCs/>
        </w:rPr>
        <w:t>Note.</w:t>
      </w:r>
      <w:r w:rsidRPr="0070080E">
        <w:t xml:space="preserve"> Control (ShowSC = 0) versus treatment (ShowSC = 1) conditions. Original figure created for this study</w:t>
      </w:r>
      <w:r w:rsidR="00F1188A">
        <w:t xml:space="preserve"> (2026)</w:t>
      </w:r>
      <w:r w:rsidRPr="0070080E">
        <w:t>.</w:t>
      </w:r>
    </w:p>
    <w:p w14:paraId="3CB10319" w14:textId="20BF09CF" w:rsidR="00F67DDB" w:rsidRPr="0070080E" w:rsidRDefault="0094076D" w:rsidP="00F411DE">
      <w:pPr>
        <w:pStyle w:val="Tableid"/>
      </w:pPr>
      <w:r w:rsidRPr="0070080E">
        <w:t>Figure 5.4</w:t>
      </w:r>
    </w:p>
    <w:p w14:paraId="3CB1031A" w14:textId="77777777" w:rsidR="00F67DDB" w:rsidRPr="0070080E" w:rsidRDefault="0094076D" w:rsidP="00F411DE">
      <w:pPr>
        <w:pStyle w:val="TableCaption"/>
      </w:pPr>
      <w:r w:rsidRPr="0070080E">
        <w:t>Distribution of the Composite Shock Score</w:t>
      </w:r>
    </w:p>
    <w:p w14:paraId="3CB1031B" w14:textId="77777777" w:rsidR="00F67DDB" w:rsidRPr="0070080E" w:rsidRDefault="0094076D" w:rsidP="00F411DE">
      <w:pPr>
        <w:pStyle w:val="Compact"/>
      </w:pPr>
      <w:r w:rsidRPr="0070080E">
        <w:rPr>
          <w:noProof/>
        </w:rPr>
        <w:drawing>
          <wp:inline distT="0" distB="0" distL="0" distR="0" wp14:anchorId="3CB10827" wp14:editId="490CFC95">
            <wp:extent cx="5745192" cy="3864633"/>
            <wp:effectExtent l="0" t="0" r="8255" b="254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results/figures/fig_sc_distribution.png"/>
                    <pic:cNvPicPr>
                      <a:picLocks noChangeAspect="1" noChangeArrowheads="1"/>
                    </pic:cNvPicPr>
                  </pic:nvPicPr>
                  <pic:blipFill>
                    <a:blip r:embed="rId341"/>
                    <a:stretch>
                      <a:fillRect/>
                    </a:stretch>
                  </pic:blipFill>
                  <pic:spPr bwMode="auto">
                    <a:xfrm>
                      <a:off x="0" y="0"/>
                      <a:ext cx="5747984" cy="3866511"/>
                    </a:xfrm>
                    <a:prstGeom prst="rect">
                      <a:avLst/>
                    </a:prstGeom>
                    <a:noFill/>
                    <a:ln w="9525">
                      <a:noFill/>
                      <a:headEnd/>
                      <a:tailEnd/>
                    </a:ln>
                  </pic:spPr>
                </pic:pic>
              </a:graphicData>
            </a:graphic>
          </wp:inline>
        </w:drawing>
      </w:r>
    </w:p>
    <w:p w14:paraId="3CB1031C" w14:textId="610B7DBE" w:rsidR="00F67DDB" w:rsidRPr="0070080E" w:rsidRDefault="0094076D" w:rsidP="00F411DE">
      <w:pPr>
        <w:pStyle w:val="BodyText"/>
        <w:ind w:firstLine="0"/>
      </w:pPr>
      <w:r w:rsidRPr="0070080E">
        <w:rPr>
          <w:i/>
          <w:iCs/>
        </w:rPr>
        <w:t>Note.</w:t>
      </w:r>
      <w:r w:rsidRPr="0070080E">
        <w:t xml:space="preserve"> The Shock Score is the first principal component of the four standardized components. Original figure created for this study</w:t>
      </w:r>
      <w:r w:rsidR="00683655">
        <w:t xml:space="preserve"> (2026)</w:t>
      </w:r>
      <w:r w:rsidRPr="0070080E">
        <w:t>.</w:t>
      </w:r>
    </w:p>
    <w:p w14:paraId="3CB1031D" w14:textId="77777777" w:rsidR="00F67DDB" w:rsidRPr="0070080E" w:rsidRDefault="0094076D">
      <w:pPr>
        <w:pStyle w:val="Heading3"/>
      </w:pPr>
      <w:bookmarkStart w:id="151" w:name="shock-score-construct-pca-diagnostics"/>
      <w:bookmarkEnd w:id="150"/>
      <w:r w:rsidRPr="0070080E">
        <w:t>5.2.3 Shock Score Construct: PCA Diagnostics</w:t>
      </w:r>
    </w:p>
    <w:p w14:paraId="3CB1031E" w14:textId="77777777" w:rsidR="00F67DDB" w:rsidRPr="0070080E" w:rsidRDefault="0094076D">
      <w:pPr>
        <w:pStyle w:val="FirstParagraph"/>
      </w:pPr>
      <w:r w:rsidRPr="0070080E">
        <w:t xml:space="preserve">The validity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as a composite measure depends on whether the four components share sufficient common variation to condense into a coherent single dimension. Table 5.2 reports the PCA diagnostics for the first principal component used to construct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the eigenvalue, the proportion of total variance explained, and the component loadings for each of the four inputs. An eigenvalue measures how much of the variance in the four standardized components a principal component captures, expressed in units of single-component variance. Under the Kaiser criterion, a component is retained as a substantive composite dimension only when its eigenvalue exceeds 1.0, that is, only when it explains more variance than any single standardized input would on its own. A fi</w:t>
      </w:r>
      <w:proofErr w:type="spellStart"/>
      <w:r w:rsidRPr="0070080E">
        <w:t>rst</w:t>
      </w:r>
      <w:proofErr w:type="spellEnd"/>
      <w:r w:rsidRPr="0070080E">
        <w:t xml:space="preserve">-component eigenvalue above this threshold therefore indicates that the four components share enough common variation to justify condensing them into the single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index.</w:t>
      </w:r>
    </w:p>
    <w:p w14:paraId="3CB1031F" w14:textId="77777777" w:rsidR="00F67DDB" w:rsidRPr="0070080E" w:rsidRDefault="0094076D" w:rsidP="00465F21">
      <w:pPr>
        <w:pStyle w:val="Tableid"/>
      </w:pPr>
      <w:r w:rsidRPr="0070080E">
        <w:t>Table 5.2</w:t>
      </w:r>
    </w:p>
    <w:p w14:paraId="3CB10320" w14:textId="38BF6F9D" w:rsidR="00F67DDB" w:rsidRPr="0070080E" w:rsidRDefault="0094076D" w:rsidP="00465F21">
      <w:pPr>
        <w:pStyle w:val="TableCaption"/>
      </w:pPr>
      <w:r w:rsidRPr="0070080E">
        <w:t>Shock Score PCA Diagnostics</w:t>
      </w:r>
      <w:r w:rsidR="000A66AA">
        <w:t>—</w:t>
      </w:r>
      <w:r w:rsidRPr="0070080E">
        <w:t>First Principal Component</w:t>
      </w:r>
    </w:p>
    <w:tbl>
      <w:tblPr>
        <w:tblStyle w:val="Table"/>
        <w:tblW w:w="0" w:type="auto"/>
        <w:tblLook w:val="0020" w:firstRow="1" w:lastRow="0" w:firstColumn="0" w:lastColumn="0" w:noHBand="0" w:noVBand="0"/>
      </w:tblPr>
      <w:tblGrid>
        <w:gridCol w:w="2703"/>
        <w:gridCol w:w="815"/>
      </w:tblGrid>
      <w:tr w:rsidR="00F67DDB" w:rsidRPr="0070080E" w14:paraId="3CB10323"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321" w14:textId="77777777" w:rsidR="00F67DDB" w:rsidRPr="0070080E" w:rsidRDefault="0094076D">
            <w:pPr>
              <w:pStyle w:val="Compact"/>
            </w:pPr>
            <w:r w:rsidRPr="0070080E">
              <w:t>Metric</w:t>
            </w:r>
          </w:p>
        </w:tc>
        <w:tc>
          <w:tcPr>
            <w:tcW w:w="0" w:type="auto"/>
          </w:tcPr>
          <w:p w14:paraId="3CB10322" w14:textId="77777777" w:rsidR="00F67DDB" w:rsidRPr="0070080E" w:rsidRDefault="0094076D">
            <w:pPr>
              <w:pStyle w:val="Compact"/>
            </w:pPr>
            <w:r w:rsidRPr="0070080E">
              <w:t>Value</w:t>
            </w:r>
          </w:p>
        </w:tc>
      </w:tr>
      <w:tr w:rsidR="00F67DDB" w:rsidRPr="0070080E" w14:paraId="3CB10326" w14:textId="77777777">
        <w:tc>
          <w:tcPr>
            <w:tcW w:w="0" w:type="auto"/>
          </w:tcPr>
          <w:p w14:paraId="3CB10324" w14:textId="77777777" w:rsidR="00F67DDB" w:rsidRPr="0070080E" w:rsidRDefault="0094076D">
            <w:pPr>
              <w:pStyle w:val="Compact"/>
            </w:pPr>
            <w:r w:rsidRPr="0070080E">
              <w:t>Eigenvalue (PC1)</w:t>
            </w:r>
          </w:p>
        </w:tc>
        <w:tc>
          <w:tcPr>
            <w:tcW w:w="0" w:type="auto"/>
          </w:tcPr>
          <w:p w14:paraId="3CB10325" w14:textId="77777777" w:rsidR="00F67DDB" w:rsidRPr="0070080E" w:rsidRDefault="0094076D">
            <w:pPr>
              <w:pStyle w:val="Compact"/>
            </w:pPr>
            <w:r w:rsidRPr="0070080E">
              <w:t>2.1027</w:t>
            </w:r>
          </w:p>
        </w:tc>
      </w:tr>
      <w:tr w:rsidR="00F67DDB" w:rsidRPr="0070080E" w14:paraId="3CB10329" w14:textId="77777777">
        <w:tc>
          <w:tcPr>
            <w:tcW w:w="0" w:type="auto"/>
          </w:tcPr>
          <w:p w14:paraId="3CB10327" w14:textId="77777777" w:rsidR="00F67DDB" w:rsidRPr="0070080E" w:rsidRDefault="0094076D">
            <w:pPr>
              <w:pStyle w:val="Compact"/>
            </w:pPr>
            <w:r w:rsidRPr="0070080E">
              <w:t>Variance explained</w:t>
            </w:r>
          </w:p>
        </w:tc>
        <w:tc>
          <w:tcPr>
            <w:tcW w:w="0" w:type="auto"/>
          </w:tcPr>
          <w:p w14:paraId="3CB10328" w14:textId="77777777" w:rsidR="00F67DDB" w:rsidRPr="0070080E" w:rsidRDefault="0094076D">
            <w:pPr>
              <w:pStyle w:val="Compact"/>
            </w:pPr>
            <w:r w:rsidRPr="0070080E">
              <w:t>50.38%</w:t>
            </w:r>
          </w:p>
        </w:tc>
      </w:tr>
      <w:tr w:rsidR="00F67DDB" w:rsidRPr="0070080E" w14:paraId="3CB1032C" w14:textId="77777777">
        <w:tc>
          <w:tcPr>
            <w:tcW w:w="0" w:type="auto"/>
          </w:tcPr>
          <w:p w14:paraId="3CB1032A" w14:textId="0F8DA514" w:rsidR="00F67DDB" w:rsidRPr="0070080E" w:rsidRDefault="0094076D">
            <w:pPr>
              <w:pStyle w:val="Compact"/>
            </w:pPr>
            <w:r w:rsidRPr="0070080E">
              <w:t>Loading</w:t>
            </w:r>
            <w:r w:rsidR="000A66AA">
              <w:t>—</w:t>
            </w:r>
            <w:r w:rsidRPr="0070080E">
              <w:t>Article Count</w:t>
            </w:r>
          </w:p>
        </w:tc>
        <w:tc>
          <w:tcPr>
            <w:tcW w:w="0" w:type="auto"/>
          </w:tcPr>
          <w:p w14:paraId="3CB1032B" w14:textId="77777777" w:rsidR="00F67DDB" w:rsidRPr="0070080E" w:rsidRDefault="0094076D">
            <w:pPr>
              <w:pStyle w:val="Compact"/>
            </w:pPr>
            <w:r w:rsidRPr="0070080E">
              <w:t>0.6120</w:t>
            </w:r>
          </w:p>
        </w:tc>
      </w:tr>
      <w:tr w:rsidR="00F67DDB" w:rsidRPr="0070080E" w14:paraId="3CB1032F" w14:textId="77777777">
        <w:tc>
          <w:tcPr>
            <w:tcW w:w="0" w:type="auto"/>
          </w:tcPr>
          <w:p w14:paraId="3CB1032D" w14:textId="2AD74499" w:rsidR="00F67DDB" w:rsidRPr="0070080E" w:rsidRDefault="0094076D">
            <w:pPr>
              <w:pStyle w:val="Compact"/>
            </w:pPr>
            <w:r w:rsidRPr="0070080E">
              <w:t>Loading</w:t>
            </w:r>
            <w:r w:rsidR="000A66AA">
              <w:t>—</w:t>
            </w:r>
            <w:r w:rsidRPr="0070080E">
              <w:t>Sentiment Extremity</w:t>
            </w:r>
          </w:p>
        </w:tc>
        <w:tc>
          <w:tcPr>
            <w:tcW w:w="0" w:type="auto"/>
          </w:tcPr>
          <w:p w14:paraId="3CB1032E" w14:textId="77777777" w:rsidR="00F67DDB" w:rsidRPr="0070080E" w:rsidRDefault="0094076D">
            <w:pPr>
              <w:pStyle w:val="Compact"/>
            </w:pPr>
            <w:r w:rsidRPr="0070080E">
              <w:t>0.3990</w:t>
            </w:r>
          </w:p>
        </w:tc>
      </w:tr>
      <w:tr w:rsidR="00F67DDB" w:rsidRPr="0070080E" w14:paraId="3CB10332" w14:textId="77777777">
        <w:tc>
          <w:tcPr>
            <w:tcW w:w="0" w:type="auto"/>
          </w:tcPr>
          <w:p w14:paraId="3CB10330" w14:textId="11D35BF0" w:rsidR="00F67DDB" w:rsidRPr="0070080E" w:rsidRDefault="0094076D">
            <w:pPr>
              <w:pStyle w:val="Compact"/>
            </w:pPr>
            <w:r w:rsidRPr="0070080E">
              <w:t>Loading</w:t>
            </w:r>
            <w:r w:rsidR="000A66AA">
              <w:t>—</w:t>
            </w:r>
            <w:r w:rsidRPr="0070080E">
              <w:t>Attention Intensity</w:t>
            </w:r>
          </w:p>
        </w:tc>
        <w:tc>
          <w:tcPr>
            <w:tcW w:w="0" w:type="auto"/>
          </w:tcPr>
          <w:p w14:paraId="3CB10331" w14:textId="77777777" w:rsidR="00F67DDB" w:rsidRPr="0070080E" w:rsidRDefault="0094076D">
            <w:pPr>
              <w:pStyle w:val="Compact"/>
            </w:pPr>
            <w:r w:rsidRPr="0070080E">
              <w:t>0.6161</w:t>
            </w:r>
          </w:p>
        </w:tc>
      </w:tr>
      <w:tr w:rsidR="00F67DDB" w:rsidRPr="0070080E" w14:paraId="3CB10335" w14:textId="77777777">
        <w:tc>
          <w:tcPr>
            <w:tcW w:w="0" w:type="auto"/>
          </w:tcPr>
          <w:p w14:paraId="3CB10333" w14:textId="2311E1DB" w:rsidR="00F67DDB" w:rsidRPr="0070080E" w:rsidRDefault="0094076D">
            <w:pPr>
              <w:pStyle w:val="Compact"/>
            </w:pPr>
            <w:r w:rsidRPr="0070080E">
              <w:t>Loading</w:t>
            </w:r>
            <w:r w:rsidR="000A66AA">
              <w:t>—</w:t>
            </w:r>
            <w:r w:rsidRPr="0070080E">
              <w:t>Event-Type Severity</w:t>
            </w:r>
          </w:p>
        </w:tc>
        <w:tc>
          <w:tcPr>
            <w:tcW w:w="0" w:type="auto"/>
          </w:tcPr>
          <w:p w14:paraId="3CB10334" w14:textId="77777777" w:rsidR="00F67DDB" w:rsidRPr="0070080E" w:rsidRDefault="0094076D">
            <w:pPr>
              <w:pStyle w:val="Compact"/>
            </w:pPr>
            <w:r w:rsidRPr="0070080E">
              <w:t>0.2944</w:t>
            </w:r>
          </w:p>
        </w:tc>
      </w:tr>
      <w:tr w:rsidR="00F67DDB" w:rsidRPr="0070080E" w14:paraId="3CB10338" w14:textId="77777777" w:rsidTr="00465F21">
        <w:trPr>
          <w:trHeight w:val="549"/>
        </w:trPr>
        <w:tc>
          <w:tcPr>
            <w:tcW w:w="0" w:type="auto"/>
          </w:tcPr>
          <w:p w14:paraId="3CB10336" w14:textId="77777777" w:rsidR="00F67DDB" w:rsidRPr="0070080E" w:rsidRDefault="0094076D">
            <w:pPr>
              <w:pStyle w:val="Compact"/>
            </w:pPr>
            <w:r w:rsidRPr="0070080E">
              <w:t>Scenarios used</w:t>
            </w:r>
          </w:p>
        </w:tc>
        <w:tc>
          <w:tcPr>
            <w:tcW w:w="0" w:type="auto"/>
          </w:tcPr>
          <w:p w14:paraId="3CB10337" w14:textId="77777777" w:rsidR="00F67DDB" w:rsidRPr="0070080E" w:rsidRDefault="0094076D">
            <w:pPr>
              <w:pStyle w:val="Compact"/>
            </w:pPr>
            <w:r w:rsidRPr="0070080E">
              <w:t>24</w:t>
            </w:r>
          </w:p>
        </w:tc>
      </w:tr>
    </w:tbl>
    <w:p w14:paraId="3CB10339" w14:textId="77777777" w:rsidR="00F67DDB" w:rsidRPr="0070080E" w:rsidRDefault="0094076D" w:rsidP="00465F21">
      <w:pPr>
        <w:pStyle w:val="BodyText"/>
        <w:ind w:firstLine="0"/>
      </w:pPr>
      <w:r w:rsidRPr="0070080E">
        <w:rPr>
          <w:i/>
          <w:iCs/>
        </w:rPr>
        <w:t>Note.</w:t>
      </w:r>
      <w:r w:rsidRPr="0070080E">
        <w:t xml:space="preserve"> PC1 = first principal component of the four standardized Shock Score components.</w:t>
      </w:r>
    </w:p>
    <w:p w14:paraId="3CB1033A" w14:textId="77777777" w:rsidR="00F67DDB" w:rsidRPr="0070080E" w:rsidRDefault="0094076D">
      <w:pPr>
        <w:pStyle w:val="BodyText"/>
      </w:pPr>
      <w:r w:rsidRPr="0070080E">
        <w:t>The eigenvalue of 2.1027 exceeds 1.0, satisfying the Kaiser criterion (</w:t>
      </w:r>
      <w:hyperlink r:id="rId342">
        <w:r w:rsidRPr="0070080E">
          <w:rPr>
            <w:rStyle w:val="Hyperlink"/>
          </w:rPr>
          <w:t>Jolliffe &amp; Cadima, 2016</w:t>
        </w:r>
      </w:hyperlink>
      <w:r w:rsidRPr="0070080E">
        <w:t>). The first principal component explains 50.38% of the total variance across the four inputs. All four components load positively on PC1, confirming that the composite represents a common factor of shock intensity rather than a contrast between components.</w:t>
      </w:r>
    </w:p>
    <w:p w14:paraId="3CB1033B" w14:textId="77777777" w:rsidR="00F67DDB" w:rsidRPr="0070080E" w:rsidRDefault="0094076D">
      <w:pPr>
        <w:pStyle w:val="Heading2"/>
      </w:pPr>
      <w:bookmarkStart w:id="152" w:name="_Toc231913461"/>
      <w:bookmarkStart w:id="153" w:name="scenario-selection-outcomes"/>
      <w:bookmarkEnd w:id="148"/>
      <w:bookmarkEnd w:id="151"/>
      <w:r w:rsidRPr="0070080E">
        <w:t>5.3 Scenario Selection Outcomes</w:t>
      </w:r>
      <w:bookmarkEnd w:id="152"/>
    </w:p>
    <w:p w14:paraId="3CB1033C" w14:textId="77777777" w:rsidR="00F67DDB" w:rsidRPr="0070080E" w:rsidRDefault="0094076D">
      <w:pPr>
        <w:pStyle w:val="FirstParagraph"/>
      </w:pPr>
      <w:r w:rsidRPr="0070080E">
        <w:t>Table 5.3 documents the final scenario selection across the three survey blocks.</w:t>
      </w:r>
    </w:p>
    <w:p w14:paraId="04A536CD" w14:textId="77777777" w:rsidR="00465F21" w:rsidRPr="0070080E" w:rsidRDefault="00465F21">
      <w:pPr>
        <w:spacing w:after="200" w:line="240" w:lineRule="auto"/>
        <w:ind w:firstLine="0"/>
        <w:rPr>
          <w:b/>
          <w:bCs/>
        </w:rPr>
      </w:pPr>
      <w:r w:rsidRPr="0070080E">
        <w:br w:type="page"/>
      </w:r>
    </w:p>
    <w:p w14:paraId="3CB1033D" w14:textId="512B493B" w:rsidR="00F67DDB" w:rsidRPr="0070080E" w:rsidRDefault="0094076D" w:rsidP="00465F21">
      <w:pPr>
        <w:pStyle w:val="Tableid"/>
      </w:pPr>
      <w:r w:rsidRPr="0070080E">
        <w:t>Table 5.3</w:t>
      </w:r>
    </w:p>
    <w:p w14:paraId="3CB1033E" w14:textId="77777777" w:rsidR="00F67DDB" w:rsidRPr="0070080E" w:rsidRDefault="0094076D" w:rsidP="00465F21">
      <w:pPr>
        <w:pStyle w:val="TableCaption"/>
      </w:pPr>
      <w:r w:rsidRPr="0070080E">
        <w:t>Final Scenario Selection Across Survey Blocks</w:t>
      </w:r>
    </w:p>
    <w:tbl>
      <w:tblPr>
        <w:tblStyle w:val="Table"/>
        <w:tblW w:w="5689" w:type="pct"/>
        <w:tblInd w:w="-432" w:type="dxa"/>
        <w:tblLayout w:type="fixed"/>
        <w:tblLook w:val="0020" w:firstRow="1" w:lastRow="0" w:firstColumn="0" w:lastColumn="0" w:noHBand="0" w:noVBand="0"/>
      </w:tblPr>
      <w:tblGrid>
        <w:gridCol w:w="793"/>
        <w:gridCol w:w="576"/>
        <w:gridCol w:w="734"/>
        <w:gridCol w:w="1669"/>
        <w:gridCol w:w="1405"/>
        <w:gridCol w:w="1143"/>
        <w:gridCol w:w="1133"/>
        <w:gridCol w:w="937"/>
        <w:gridCol w:w="937"/>
        <w:gridCol w:w="1323"/>
      </w:tblGrid>
      <w:tr w:rsidR="00F67DDB" w:rsidRPr="0070080E" w14:paraId="3CB10349" w14:textId="77777777" w:rsidTr="00BD40B9">
        <w:trPr>
          <w:cnfStyle w:val="100000000000" w:firstRow="1" w:lastRow="0" w:firstColumn="0" w:lastColumn="0" w:oddVBand="0" w:evenVBand="0" w:oddHBand="0" w:evenHBand="0" w:firstRowFirstColumn="0" w:firstRowLastColumn="0" w:lastRowFirstColumn="0" w:lastRowLastColumn="0"/>
          <w:tblHeader/>
        </w:trPr>
        <w:tc>
          <w:tcPr>
            <w:tcW w:w="792" w:type="dxa"/>
          </w:tcPr>
          <w:p w14:paraId="3CB1033F" w14:textId="235B0FC8" w:rsidR="00F67DDB" w:rsidRPr="0070080E" w:rsidRDefault="00BD40B9">
            <w:pPr>
              <w:pStyle w:val="Compact"/>
              <w:rPr>
                <w:sz w:val="16"/>
                <w:szCs w:val="16"/>
              </w:rPr>
            </w:pPr>
            <w:r w:rsidRPr="0070080E">
              <w:rPr>
                <w:sz w:val="16"/>
                <w:szCs w:val="16"/>
              </w:rPr>
              <w:t>S</w:t>
            </w:r>
            <w:r w:rsidR="0094076D" w:rsidRPr="0070080E">
              <w:rPr>
                <w:sz w:val="16"/>
                <w:szCs w:val="16"/>
              </w:rPr>
              <w:t>cenario</w:t>
            </w:r>
          </w:p>
        </w:tc>
        <w:tc>
          <w:tcPr>
            <w:tcW w:w="576" w:type="dxa"/>
          </w:tcPr>
          <w:p w14:paraId="3CB10340" w14:textId="0F7D578F" w:rsidR="00F67DDB" w:rsidRPr="0070080E" w:rsidRDefault="00BD40B9">
            <w:pPr>
              <w:pStyle w:val="Compact"/>
              <w:rPr>
                <w:sz w:val="16"/>
                <w:szCs w:val="16"/>
              </w:rPr>
            </w:pPr>
            <w:r w:rsidRPr="0070080E">
              <w:rPr>
                <w:sz w:val="16"/>
                <w:szCs w:val="16"/>
              </w:rPr>
              <w:t>B</w:t>
            </w:r>
            <w:r w:rsidR="0094076D" w:rsidRPr="0070080E">
              <w:rPr>
                <w:sz w:val="16"/>
                <w:szCs w:val="16"/>
              </w:rPr>
              <w:t>loc</w:t>
            </w:r>
            <w:r w:rsidR="00465F21" w:rsidRPr="0070080E">
              <w:rPr>
                <w:sz w:val="16"/>
                <w:szCs w:val="16"/>
              </w:rPr>
              <w:t>k</w:t>
            </w:r>
          </w:p>
        </w:tc>
        <w:tc>
          <w:tcPr>
            <w:tcW w:w="734" w:type="dxa"/>
          </w:tcPr>
          <w:p w14:paraId="3CB10341" w14:textId="77777777" w:rsidR="00F67DDB" w:rsidRPr="0070080E" w:rsidRDefault="0094076D">
            <w:pPr>
              <w:pStyle w:val="Compact"/>
              <w:rPr>
                <w:sz w:val="16"/>
                <w:szCs w:val="16"/>
              </w:rPr>
            </w:pPr>
            <w:r w:rsidRPr="0070080E">
              <w:rPr>
                <w:sz w:val="16"/>
                <w:szCs w:val="16"/>
              </w:rPr>
              <w:t>ticker</w:t>
            </w:r>
          </w:p>
        </w:tc>
        <w:tc>
          <w:tcPr>
            <w:tcW w:w="1669" w:type="dxa"/>
          </w:tcPr>
          <w:p w14:paraId="3CB10342" w14:textId="0A12C64E" w:rsidR="00F67DDB" w:rsidRPr="0070080E" w:rsidRDefault="00BD40B9">
            <w:pPr>
              <w:pStyle w:val="Compact"/>
              <w:rPr>
                <w:sz w:val="16"/>
                <w:szCs w:val="16"/>
              </w:rPr>
            </w:pPr>
            <w:r w:rsidRPr="0070080E">
              <w:rPr>
                <w:sz w:val="16"/>
                <w:szCs w:val="16"/>
              </w:rPr>
              <w:t>C</w:t>
            </w:r>
            <w:r w:rsidR="0094076D" w:rsidRPr="0070080E">
              <w:rPr>
                <w:sz w:val="16"/>
                <w:szCs w:val="16"/>
              </w:rPr>
              <w:t>ompany</w:t>
            </w:r>
          </w:p>
        </w:tc>
        <w:tc>
          <w:tcPr>
            <w:tcW w:w="1405" w:type="dxa"/>
          </w:tcPr>
          <w:p w14:paraId="3CB10343" w14:textId="6F7A6B99" w:rsidR="00F67DDB" w:rsidRPr="0070080E" w:rsidRDefault="00BD40B9">
            <w:pPr>
              <w:pStyle w:val="Compact"/>
              <w:rPr>
                <w:sz w:val="16"/>
                <w:szCs w:val="16"/>
              </w:rPr>
            </w:pPr>
            <w:r w:rsidRPr="0070080E">
              <w:rPr>
                <w:sz w:val="16"/>
                <w:szCs w:val="16"/>
              </w:rPr>
              <w:t>GICS</w:t>
            </w:r>
          </w:p>
        </w:tc>
        <w:tc>
          <w:tcPr>
            <w:tcW w:w="1143" w:type="dxa"/>
          </w:tcPr>
          <w:p w14:paraId="3CB10344" w14:textId="676EFADF" w:rsidR="00F67DDB" w:rsidRPr="0070080E" w:rsidRDefault="0094076D">
            <w:pPr>
              <w:pStyle w:val="Compact"/>
              <w:rPr>
                <w:sz w:val="16"/>
                <w:szCs w:val="16"/>
              </w:rPr>
            </w:pPr>
            <w:r w:rsidRPr="0070080E">
              <w:rPr>
                <w:sz w:val="16"/>
                <w:szCs w:val="16"/>
              </w:rPr>
              <w:t>date</w:t>
            </w:r>
          </w:p>
        </w:tc>
        <w:tc>
          <w:tcPr>
            <w:tcW w:w="1133" w:type="dxa"/>
          </w:tcPr>
          <w:p w14:paraId="3CB10345" w14:textId="1C69D595" w:rsidR="00F67DDB" w:rsidRPr="0070080E" w:rsidRDefault="00465F21">
            <w:pPr>
              <w:pStyle w:val="Compact"/>
              <w:rPr>
                <w:sz w:val="16"/>
                <w:szCs w:val="16"/>
              </w:rPr>
            </w:pPr>
            <w:r w:rsidRPr="0070080E">
              <w:rPr>
                <w:sz w:val="16"/>
                <w:szCs w:val="16"/>
              </w:rPr>
              <w:t>E</w:t>
            </w:r>
            <w:r w:rsidR="0094076D" w:rsidRPr="0070080E">
              <w:rPr>
                <w:sz w:val="16"/>
                <w:szCs w:val="16"/>
              </w:rPr>
              <w:t>vent</w:t>
            </w:r>
            <w:r w:rsidRPr="0070080E">
              <w:rPr>
                <w:sz w:val="16"/>
                <w:szCs w:val="16"/>
              </w:rPr>
              <w:t xml:space="preserve"> </w:t>
            </w:r>
            <w:r w:rsidR="0094076D" w:rsidRPr="0070080E">
              <w:rPr>
                <w:sz w:val="16"/>
                <w:szCs w:val="16"/>
              </w:rPr>
              <w:t>type</w:t>
            </w:r>
          </w:p>
        </w:tc>
        <w:tc>
          <w:tcPr>
            <w:tcW w:w="937" w:type="dxa"/>
          </w:tcPr>
          <w:p w14:paraId="3CB10346" w14:textId="47D20532" w:rsidR="00F67DDB" w:rsidRPr="0070080E" w:rsidRDefault="00BD40B9">
            <w:pPr>
              <w:pStyle w:val="Compact"/>
              <w:rPr>
                <w:sz w:val="16"/>
                <w:szCs w:val="16"/>
              </w:rPr>
            </w:pPr>
            <w:r w:rsidRPr="0070080E">
              <w:rPr>
                <w:sz w:val="16"/>
                <w:szCs w:val="16"/>
              </w:rPr>
              <w:t xml:space="preserve">SC </w:t>
            </w:r>
            <w:r w:rsidR="0094076D" w:rsidRPr="0070080E">
              <w:rPr>
                <w:sz w:val="16"/>
                <w:szCs w:val="16"/>
              </w:rPr>
              <w:t>total</w:t>
            </w:r>
          </w:p>
        </w:tc>
        <w:tc>
          <w:tcPr>
            <w:tcW w:w="937" w:type="dxa"/>
          </w:tcPr>
          <w:p w14:paraId="3CB10347" w14:textId="0F18E90F" w:rsidR="00F67DDB" w:rsidRPr="0070080E" w:rsidRDefault="0094076D">
            <w:pPr>
              <w:pStyle w:val="Compact"/>
              <w:rPr>
                <w:sz w:val="16"/>
                <w:szCs w:val="16"/>
              </w:rPr>
            </w:pPr>
            <w:r w:rsidRPr="0070080E">
              <w:rPr>
                <w:sz w:val="16"/>
                <w:szCs w:val="16"/>
              </w:rPr>
              <w:t>horizon</w:t>
            </w:r>
          </w:p>
        </w:tc>
        <w:tc>
          <w:tcPr>
            <w:tcW w:w="1323" w:type="dxa"/>
          </w:tcPr>
          <w:p w14:paraId="3CB10348" w14:textId="26BEDCF8" w:rsidR="00F67DDB" w:rsidRPr="0070080E" w:rsidRDefault="00BD40B9">
            <w:pPr>
              <w:pStyle w:val="Compact"/>
              <w:rPr>
                <w:sz w:val="16"/>
                <w:szCs w:val="16"/>
              </w:rPr>
            </w:pPr>
            <w:r w:rsidRPr="0070080E">
              <w:rPr>
                <w:sz w:val="16"/>
                <w:szCs w:val="16"/>
              </w:rPr>
              <w:t>S</w:t>
            </w:r>
            <w:r w:rsidR="0094076D" w:rsidRPr="0070080E">
              <w:rPr>
                <w:sz w:val="16"/>
                <w:szCs w:val="16"/>
              </w:rPr>
              <w:t>entiment</w:t>
            </w:r>
            <w:r w:rsidRPr="0070080E">
              <w:rPr>
                <w:sz w:val="16"/>
                <w:szCs w:val="16"/>
              </w:rPr>
              <w:t xml:space="preserve"> </w:t>
            </w:r>
            <w:r w:rsidR="0094076D" w:rsidRPr="0070080E">
              <w:rPr>
                <w:sz w:val="16"/>
                <w:szCs w:val="16"/>
              </w:rPr>
              <w:t>direction</w:t>
            </w:r>
          </w:p>
        </w:tc>
      </w:tr>
      <w:tr w:rsidR="00F67DDB" w:rsidRPr="0070080E" w14:paraId="3CB10354" w14:textId="77777777" w:rsidTr="00BD40B9">
        <w:tc>
          <w:tcPr>
            <w:tcW w:w="792" w:type="dxa"/>
          </w:tcPr>
          <w:p w14:paraId="3CB1034A" w14:textId="77777777" w:rsidR="00F67DDB" w:rsidRPr="0070080E" w:rsidRDefault="0094076D">
            <w:pPr>
              <w:pStyle w:val="Compact"/>
              <w:rPr>
                <w:sz w:val="16"/>
                <w:szCs w:val="16"/>
              </w:rPr>
            </w:pPr>
            <w:r w:rsidRPr="0070080E">
              <w:rPr>
                <w:sz w:val="16"/>
                <w:szCs w:val="16"/>
              </w:rPr>
              <w:t>B1_S01</w:t>
            </w:r>
          </w:p>
        </w:tc>
        <w:tc>
          <w:tcPr>
            <w:tcW w:w="576" w:type="dxa"/>
          </w:tcPr>
          <w:p w14:paraId="3CB1034B" w14:textId="77777777" w:rsidR="00F67DDB" w:rsidRPr="0070080E" w:rsidRDefault="0094076D">
            <w:pPr>
              <w:pStyle w:val="Compact"/>
              <w:rPr>
                <w:sz w:val="16"/>
                <w:szCs w:val="16"/>
              </w:rPr>
            </w:pPr>
            <w:r w:rsidRPr="0070080E">
              <w:rPr>
                <w:sz w:val="16"/>
                <w:szCs w:val="16"/>
              </w:rPr>
              <w:t>1</w:t>
            </w:r>
          </w:p>
        </w:tc>
        <w:tc>
          <w:tcPr>
            <w:tcW w:w="734" w:type="dxa"/>
          </w:tcPr>
          <w:p w14:paraId="3CB1034C" w14:textId="77777777" w:rsidR="00F67DDB" w:rsidRPr="0070080E" w:rsidRDefault="0094076D">
            <w:pPr>
              <w:pStyle w:val="Compact"/>
              <w:rPr>
                <w:sz w:val="16"/>
                <w:szCs w:val="16"/>
              </w:rPr>
            </w:pPr>
            <w:r w:rsidRPr="0070080E">
              <w:rPr>
                <w:sz w:val="16"/>
                <w:szCs w:val="16"/>
              </w:rPr>
              <w:t>APD</w:t>
            </w:r>
          </w:p>
        </w:tc>
        <w:tc>
          <w:tcPr>
            <w:tcW w:w="1669" w:type="dxa"/>
          </w:tcPr>
          <w:p w14:paraId="3CB1034D" w14:textId="77777777" w:rsidR="00F67DDB" w:rsidRPr="0070080E" w:rsidRDefault="0094076D">
            <w:pPr>
              <w:pStyle w:val="Compact"/>
              <w:rPr>
                <w:sz w:val="16"/>
                <w:szCs w:val="16"/>
              </w:rPr>
            </w:pPr>
            <w:r w:rsidRPr="0070080E">
              <w:rPr>
                <w:sz w:val="16"/>
                <w:szCs w:val="16"/>
              </w:rPr>
              <w:t>Air Products and Chemicals</w:t>
            </w:r>
          </w:p>
        </w:tc>
        <w:tc>
          <w:tcPr>
            <w:tcW w:w="1405" w:type="dxa"/>
          </w:tcPr>
          <w:p w14:paraId="3CB1034E" w14:textId="77777777" w:rsidR="00F67DDB" w:rsidRPr="0070080E" w:rsidRDefault="0094076D">
            <w:pPr>
              <w:pStyle w:val="Compact"/>
              <w:rPr>
                <w:sz w:val="16"/>
                <w:szCs w:val="16"/>
              </w:rPr>
            </w:pPr>
            <w:r w:rsidRPr="0070080E">
              <w:rPr>
                <w:sz w:val="16"/>
                <w:szCs w:val="16"/>
              </w:rPr>
              <w:t>Materials</w:t>
            </w:r>
          </w:p>
        </w:tc>
        <w:tc>
          <w:tcPr>
            <w:tcW w:w="1143" w:type="dxa"/>
          </w:tcPr>
          <w:p w14:paraId="3CB1034F" w14:textId="77777777" w:rsidR="00F67DDB" w:rsidRPr="0070080E" w:rsidRDefault="0094076D">
            <w:pPr>
              <w:pStyle w:val="Compact"/>
              <w:rPr>
                <w:sz w:val="16"/>
                <w:szCs w:val="16"/>
              </w:rPr>
            </w:pPr>
            <w:r w:rsidRPr="0070080E">
              <w:rPr>
                <w:sz w:val="16"/>
                <w:szCs w:val="16"/>
              </w:rPr>
              <w:t>2025-04-09</w:t>
            </w:r>
          </w:p>
        </w:tc>
        <w:tc>
          <w:tcPr>
            <w:tcW w:w="1133" w:type="dxa"/>
          </w:tcPr>
          <w:p w14:paraId="3CB10350" w14:textId="77777777" w:rsidR="00F67DDB" w:rsidRPr="0070080E" w:rsidRDefault="0094076D">
            <w:pPr>
              <w:pStyle w:val="Compact"/>
              <w:rPr>
                <w:sz w:val="16"/>
                <w:szCs w:val="16"/>
              </w:rPr>
            </w:pPr>
            <w:r w:rsidRPr="0070080E">
              <w:rPr>
                <w:sz w:val="16"/>
                <w:szCs w:val="16"/>
              </w:rPr>
              <w:t>analyst</w:t>
            </w:r>
          </w:p>
        </w:tc>
        <w:tc>
          <w:tcPr>
            <w:tcW w:w="937" w:type="dxa"/>
          </w:tcPr>
          <w:p w14:paraId="3CB10351" w14:textId="77777777" w:rsidR="00F67DDB" w:rsidRPr="0070080E" w:rsidRDefault="0094076D">
            <w:pPr>
              <w:pStyle w:val="Compact"/>
              <w:rPr>
                <w:sz w:val="16"/>
                <w:szCs w:val="16"/>
              </w:rPr>
            </w:pPr>
            <w:r w:rsidRPr="0070080E">
              <w:rPr>
                <w:sz w:val="16"/>
                <w:szCs w:val="16"/>
              </w:rPr>
              <w:t>-0.5843</w:t>
            </w:r>
          </w:p>
        </w:tc>
        <w:tc>
          <w:tcPr>
            <w:tcW w:w="937" w:type="dxa"/>
          </w:tcPr>
          <w:p w14:paraId="3CB10352" w14:textId="77777777" w:rsidR="00F67DDB" w:rsidRPr="0070080E" w:rsidRDefault="0094076D">
            <w:pPr>
              <w:pStyle w:val="Compact"/>
              <w:rPr>
                <w:sz w:val="16"/>
                <w:szCs w:val="16"/>
              </w:rPr>
            </w:pPr>
            <w:r w:rsidRPr="0070080E">
              <w:rPr>
                <w:sz w:val="16"/>
                <w:szCs w:val="16"/>
              </w:rPr>
              <w:t>Intraday</w:t>
            </w:r>
          </w:p>
        </w:tc>
        <w:tc>
          <w:tcPr>
            <w:tcW w:w="1323" w:type="dxa"/>
          </w:tcPr>
          <w:p w14:paraId="3CB10353" w14:textId="77777777" w:rsidR="00F67DDB" w:rsidRPr="0070080E" w:rsidRDefault="0094076D">
            <w:pPr>
              <w:pStyle w:val="Compact"/>
              <w:rPr>
                <w:sz w:val="16"/>
                <w:szCs w:val="16"/>
              </w:rPr>
            </w:pPr>
            <w:r w:rsidRPr="0070080E">
              <w:rPr>
                <w:sz w:val="16"/>
                <w:szCs w:val="16"/>
              </w:rPr>
              <w:t>Mildly Negative</w:t>
            </w:r>
          </w:p>
        </w:tc>
      </w:tr>
      <w:tr w:rsidR="00F67DDB" w:rsidRPr="0070080E" w14:paraId="3CB1035F" w14:textId="77777777" w:rsidTr="00BD40B9">
        <w:tc>
          <w:tcPr>
            <w:tcW w:w="792" w:type="dxa"/>
          </w:tcPr>
          <w:p w14:paraId="3CB10355" w14:textId="77777777" w:rsidR="00F67DDB" w:rsidRPr="0070080E" w:rsidRDefault="0094076D">
            <w:pPr>
              <w:pStyle w:val="Compact"/>
              <w:rPr>
                <w:sz w:val="16"/>
                <w:szCs w:val="16"/>
              </w:rPr>
            </w:pPr>
            <w:r w:rsidRPr="0070080E">
              <w:rPr>
                <w:sz w:val="16"/>
                <w:szCs w:val="16"/>
              </w:rPr>
              <w:t>B1_S02</w:t>
            </w:r>
          </w:p>
        </w:tc>
        <w:tc>
          <w:tcPr>
            <w:tcW w:w="576" w:type="dxa"/>
          </w:tcPr>
          <w:p w14:paraId="3CB10356" w14:textId="77777777" w:rsidR="00F67DDB" w:rsidRPr="0070080E" w:rsidRDefault="0094076D">
            <w:pPr>
              <w:pStyle w:val="Compact"/>
              <w:rPr>
                <w:sz w:val="16"/>
                <w:szCs w:val="16"/>
              </w:rPr>
            </w:pPr>
            <w:r w:rsidRPr="0070080E">
              <w:rPr>
                <w:sz w:val="16"/>
                <w:szCs w:val="16"/>
              </w:rPr>
              <w:t>1</w:t>
            </w:r>
          </w:p>
        </w:tc>
        <w:tc>
          <w:tcPr>
            <w:tcW w:w="734" w:type="dxa"/>
          </w:tcPr>
          <w:p w14:paraId="3CB10357" w14:textId="77777777" w:rsidR="00F67DDB" w:rsidRPr="0070080E" w:rsidRDefault="0094076D">
            <w:pPr>
              <w:pStyle w:val="Compact"/>
              <w:rPr>
                <w:sz w:val="16"/>
                <w:szCs w:val="16"/>
              </w:rPr>
            </w:pPr>
            <w:r w:rsidRPr="0070080E">
              <w:rPr>
                <w:sz w:val="16"/>
                <w:szCs w:val="16"/>
              </w:rPr>
              <w:t>COP</w:t>
            </w:r>
          </w:p>
        </w:tc>
        <w:tc>
          <w:tcPr>
            <w:tcW w:w="1669" w:type="dxa"/>
          </w:tcPr>
          <w:p w14:paraId="3CB10358" w14:textId="77777777" w:rsidR="00F67DDB" w:rsidRPr="0070080E" w:rsidRDefault="0094076D">
            <w:pPr>
              <w:pStyle w:val="Compact"/>
              <w:rPr>
                <w:sz w:val="16"/>
                <w:szCs w:val="16"/>
              </w:rPr>
            </w:pPr>
            <w:r w:rsidRPr="0070080E">
              <w:rPr>
                <w:sz w:val="16"/>
                <w:szCs w:val="16"/>
              </w:rPr>
              <w:t>ConocoPhillips</w:t>
            </w:r>
          </w:p>
        </w:tc>
        <w:tc>
          <w:tcPr>
            <w:tcW w:w="1405" w:type="dxa"/>
          </w:tcPr>
          <w:p w14:paraId="3CB10359" w14:textId="77777777" w:rsidR="00F67DDB" w:rsidRPr="0070080E" w:rsidRDefault="0094076D">
            <w:pPr>
              <w:pStyle w:val="Compact"/>
              <w:rPr>
                <w:sz w:val="16"/>
                <w:szCs w:val="16"/>
              </w:rPr>
            </w:pPr>
            <w:r w:rsidRPr="0070080E">
              <w:rPr>
                <w:sz w:val="16"/>
                <w:szCs w:val="16"/>
              </w:rPr>
              <w:t>Energy</w:t>
            </w:r>
          </w:p>
        </w:tc>
        <w:tc>
          <w:tcPr>
            <w:tcW w:w="1143" w:type="dxa"/>
          </w:tcPr>
          <w:p w14:paraId="3CB1035A" w14:textId="77777777" w:rsidR="00F67DDB" w:rsidRPr="0070080E" w:rsidRDefault="0094076D">
            <w:pPr>
              <w:pStyle w:val="Compact"/>
              <w:rPr>
                <w:sz w:val="16"/>
                <w:szCs w:val="16"/>
              </w:rPr>
            </w:pPr>
            <w:r w:rsidRPr="0070080E">
              <w:rPr>
                <w:sz w:val="16"/>
                <w:szCs w:val="16"/>
              </w:rPr>
              <w:t>2025-09-08</w:t>
            </w:r>
          </w:p>
        </w:tc>
        <w:tc>
          <w:tcPr>
            <w:tcW w:w="1133" w:type="dxa"/>
          </w:tcPr>
          <w:p w14:paraId="3CB1035B" w14:textId="77777777" w:rsidR="00F67DDB" w:rsidRPr="0070080E" w:rsidRDefault="0094076D">
            <w:pPr>
              <w:pStyle w:val="Compact"/>
              <w:rPr>
                <w:sz w:val="16"/>
                <w:szCs w:val="16"/>
              </w:rPr>
            </w:pPr>
            <w:r w:rsidRPr="0070080E">
              <w:rPr>
                <w:sz w:val="16"/>
                <w:szCs w:val="16"/>
              </w:rPr>
              <w:t>analyst</w:t>
            </w:r>
          </w:p>
        </w:tc>
        <w:tc>
          <w:tcPr>
            <w:tcW w:w="937" w:type="dxa"/>
          </w:tcPr>
          <w:p w14:paraId="3CB1035C" w14:textId="77777777" w:rsidR="00F67DDB" w:rsidRPr="0070080E" w:rsidRDefault="0094076D">
            <w:pPr>
              <w:pStyle w:val="Compact"/>
              <w:rPr>
                <w:sz w:val="16"/>
                <w:szCs w:val="16"/>
              </w:rPr>
            </w:pPr>
            <w:r w:rsidRPr="0070080E">
              <w:rPr>
                <w:sz w:val="16"/>
                <w:szCs w:val="16"/>
              </w:rPr>
              <w:t>-0.2026</w:t>
            </w:r>
          </w:p>
        </w:tc>
        <w:tc>
          <w:tcPr>
            <w:tcW w:w="937" w:type="dxa"/>
          </w:tcPr>
          <w:p w14:paraId="3CB1035D" w14:textId="77777777" w:rsidR="00F67DDB" w:rsidRPr="0070080E" w:rsidRDefault="0094076D">
            <w:pPr>
              <w:pStyle w:val="Compact"/>
              <w:rPr>
                <w:sz w:val="16"/>
                <w:szCs w:val="16"/>
              </w:rPr>
            </w:pPr>
            <w:r w:rsidRPr="0070080E">
              <w:rPr>
                <w:sz w:val="16"/>
                <w:szCs w:val="16"/>
              </w:rPr>
              <w:t>Several Weeks</w:t>
            </w:r>
          </w:p>
        </w:tc>
        <w:tc>
          <w:tcPr>
            <w:tcW w:w="1323" w:type="dxa"/>
          </w:tcPr>
          <w:p w14:paraId="3CB1035E" w14:textId="77777777" w:rsidR="00F67DDB" w:rsidRPr="0070080E" w:rsidRDefault="0094076D">
            <w:pPr>
              <w:pStyle w:val="Compact"/>
              <w:rPr>
                <w:sz w:val="16"/>
                <w:szCs w:val="16"/>
              </w:rPr>
            </w:pPr>
            <w:r w:rsidRPr="0070080E">
              <w:rPr>
                <w:sz w:val="16"/>
                <w:szCs w:val="16"/>
              </w:rPr>
              <w:t>Positive</w:t>
            </w:r>
          </w:p>
        </w:tc>
      </w:tr>
      <w:tr w:rsidR="00F67DDB" w:rsidRPr="0070080E" w14:paraId="3CB1036A" w14:textId="77777777" w:rsidTr="00BD40B9">
        <w:tc>
          <w:tcPr>
            <w:tcW w:w="792" w:type="dxa"/>
          </w:tcPr>
          <w:p w14:paraId="3CB10360" w14:textId="77777777" w:rsidR="00F67DDB" w:rsidRPr="0070080E" w:rsidRDefault="0094076D">
            <w:pPr>
              <w:pStyle w:val="Compact"/>
              <w:rPr>
                <w:sz w:val="16"/>
                <w:szCs w:val="16"/>
              </w:rPr>
            </w:pPr>
            <w:r w:rsidRPr="0070080E">
              <w:rPr>
                <w:sz w:val="16"/>
                <w:szCs w:val="16"/>
              </w:rPr>
              <w:t>B1_S03</w:t>
            </w:r>
          </w:p>
        </w:tc>
        <w:tc>
          <w:tcPr>
            <w:tcW w:w="576" w:type="dxa"/>
          </w:tcPr>
          <w:p w14:paraId="3CB10361" w14:textId="77777777" w:rsidR="00F67DDB" w:rsidRPr="0070080E" w:rsidRDefault="0094076D">
            <w:pPr>
              <w:pStyle w:val="Compact"/>
              <w:rPr>
                <w:sz w:val="16"/>
                <w:szCs w:val="16"/>
              </w:rPr>
            </w:pPr>
            <w:r w:rsidRPr="0070080E">
              <w:rPr>
                <w:sz w:val="16"/>
                <w:szCs w:val="16"/>
              </w:rPr>
              <w:t>1</w:t>
            </w:r>
          </w:p>
        </w:tc>
        <w:tc>
          <w:tcPr>
            <w:tcW w:w="734" w:type="dxa"/>
          </w:tcPr>
          <w:p w14:paraId="3CB10362" w14:textId="77777777" w:rsidR="00F67DDB" w:rsidRPr="0070080E" w:rsidRDefault="0094076D">
            <w:pPr>
              <w:pStyle w:val="Compact"/>
              <w:rPr>
                <w:sz w:val="16"/>
                <w:szCs w:val="16"/>
              </w:rPr>
            </w:pPr>
            <w:r w:rsidRPr="0070080E">
              <w:rPr>
                <w:sz w:val="16"/>
                <w:szCs w:val="16"/>
              </w:rPr>
              <w:t>LIN</w:t>
            </w:r>
          </w:p>
        </w:tc>
        <w:tc>
          <w:tcPr>
            <w:tcW w:w="1669" w:type="dxa"/>
          </w:tcPr>
          <w:p w14:paraId="3CB10363" w14:textId="77777777" w:rsidR="00F67DDB" w:rsidRPr="0070080E" w:rsidRDefault="0094076D">
            <w:pPr>
              <w:pStyle w:val="Compact"/>
              <w:rPr>
                <w:sz w:val="16"/>
                <w:szCs w:val="16"/>
              </w:rPr>
            </w:pPr>
            <w:r w:rsidRPr="0070080E">
              <w:rPr>
                <w:sz w:val="16"/>
                <w:szCs w:val="16"/>
              </w:rPr>
              <w:t>Linde</w:t>
            </w:r>
          </w:p>
        </w:tc>
        <w:tc>
          <w:tcPr>
            <w:tcW w:w="1405" w:type="dxa"/>
          </w:tcPr>
          <w:p w14:paraId="3CB10364" w14:textId="77777777" w:rsidR="00F67DDB" w:rsidRPr="0070080E" w:rsidRDefault="0094076D">
            <w:pPr>
              <w:pStyle w:val="Compact"/>
              <w:rPr>
                <w:sz w:val="16"/>
                <w:szCs w:val="16"/>
              </w:rPr>
            </w:pPr>
            <w:r w:rsidRPr="0070080E">
              <w:rPr>
                <w:sz w:val="16"/>
                <w:szCs w:val="16"/>
              </w:rPr>
              <w:t>Materials</w:t>
            </w:r>
          </w:p>
        </w:tc>
        <w:tc>
          <w:tcPr>
            <w:tcW w:w="1143" w:type="dxa"/>
          </w:tcPr>
          <w:p w14:paraId="3CB10365" w14:textId="77777777" w:rsidR="00F67DDB" w:rsidRPr="0070080E" w:rsidRDefault="0094076D">
            <w:pPr>
              <w:pStyle w:val="Compact"/>
              <w:rPr>
                <w:sz w:val="16"/>
                <w:szCs w:val="16"/>
              </w:rPr>
            </w:pPr>
            <w:r w:rsidRPr="0070080E">
              <w:rPr>
                <w:sz w:val="16"/>
                <w:szCs w:val="16"/>
              </w:rPr>
              <w:t>2026-02-04</w:t>
            </w:r>
          </w:p>
        </w:tc>
        <w:tc>
          <w:tcPr>
            <w:tcW w:w="1133" w:type="dxa"/>
          </w:tcPr>
          <w:p w14:paraId="3CB10366" w14:textId="77777777" w:rsidR="00F67DDB" w:rsidRPr="0070080E" w:rsidRDefault="0094076D">
            <w:pPr>
              <w:pStyle w:val="Compact"/>
              <w:rPr>
                <w:sz w:val="16"/>
                <w:szCs w:val="16"/>
              </w:rPr>
            </w:pPr>
            <w:r w:rsidRPr="0070080E">
              <w:rPr>
                <w:sz w:val="16"/>
                <w:szCs w:val="16"/>
              </w:rPr>
              <w:t>earnings</w:t>
            </w:r>
          </w:p>
        </w:tc>
        <w:tc>
          <w:tcPr>
            <w:tcW w:w="937" w:type="dxa"/>
          </w:tcPr>
          <w:p w14:paraId="3CB10367" w14:textId="77777777" w:rsidR="00F67DDB" w:rsidRPr="0070080E" w:rsidRDefault="0094076D">
            <w:pPr>
              <w:pStyle w:val="Compact"/>
              <w:rPr>
                <w:sz w:val="16"/>
                <w:szCs w:val="16"/>
              </w:rPr>
            </w:pPr>
            <w:r w:rsidRPr="0070080E">
              <w:rPr>
                <w:sz w:val="16"/>
                <w:szCs w:val="16"/>
              </w:rPr>
              <w:t>-1.048</w:t>
            </w:r>
          </w:p>
        </w:tc>
        <w:tc>
          <w:tcPr>
            <w:tcW w:w="937" w:type="dxa"/>
          </w:tcPr>
          <w:p w14:paraId="3CB10368" w14:textId="77777777" w:rsidR="00F67DDB" w:rsidRPr="0070080E" w:rsidRDefault="0094076D">
            <w:pPr>
              <w:pStyle w:val="Compact"/>
              <w:rPr>
                <w:sz w:val="16"/>
                <w:szCs w:val="16"/>
              </w:rPr>
            </w:pPr>
            <w:r w:rsidRPr="0070080E">
              <w:rPr>
                <w:sz w:val="16"/>
                <w:szCs w:val="16"/>
              </w:rPr>
              <w:t>Several Weeks</w:t>
            </w:r>
          </w:p>
        </w:tc>
        <w:tc>
          <w:tcPr>
            <w:tcW w:w="1323" w:type="dxa"/>
          </w:tcPr>
          <w:p w14:paraId="3CB10369" w14:textId="77777777" w:rsidR="00F67DDB" w:rsidRPr="0070080E" w:rsidRDefault="0094076D">
            <w:pPr>
              <w:pStyle w:val="Compact"/>
              <w:rPr>
                <w:sz w:val="16"/>
                <w:szCs w:val="16"/>
              </w:rPr>
            </w:pPr>
            <w:r w:rsidRPr="0070080E">
              <w:rPr>
                <w:sz w:val="16"/>
                <w:szCs w:val="16"/>
              </w:rPr>
              <w:t>Positive</w:t>
            </w:r>
          </w:p>
        </w:tc>
      </w:tr>
      <w:tr w:rsidR="00F67DDB" w:rsidRPr="0070080E" w14:paraId="3CB10375" w14:textId="77777777" w:rsidTr="00BD40B9">
        <w:tc>
          <w:tcPr>
            <w:tcW w:w="792" w:type="dxa"/>
          </w:tcPr>
          <w:p w14:paraId="3CB1036B" w14:textId="77777777" w:rsidR="00F67DDB" w:rsidRPr="0070080E" w:rsidRDefault="0094076D">
            <w:pPr>
              <w:pStyle w:val="Compact"/>
              <w:rPr>
                <w:sz w:val="16"/>
                <w:szCs w:val="16"/>
              </w:rPr>
            </w:pPr>
            <w:r w:rsidRPr="0070080E">
              <w:rPr>
                <w:sz w:val="16"/>
                <w:szCs w:val="16"/>
              </w:rPr>
              <w:t>B1_S04</w:t>
            </w:r>
          </w:p>
        </w:tc>
        <w:tc>
          <w:tcPr>
            <w:tcW w:w="576" w:type="dxa"/>
          </w:tcPr>
          <w:p w14:paraId="3CB1036C" w14:textId="77777777" w:rsidR="00F67DDB" w:rsidRPr="0070080E" w:rsidRDefault="0094076D">
            <w:pPr>
              <w:pStyle w:val="Compact"/>
              <w:rPr>
                <w:sz w:val="16"/>
                <w:szCs w:val="16"/>
              </w:rPr>
            </w:pPr>
            <w:r w:rsidRPr="0070080E">
              <w:rPr>
                <w:sz w:val="16"/>
                <w:szCs w:val="16"/>
              </w:rPr>
              <w:t>1</w:t>
            </w:r>
          </w:p>
        </w:tc>
        <w:tc>
          <w:tcPr>
            <w:tcW w:w="734" w:type="dxa"/>
          </w:tcPr>
          <w:p w14:paraId="3CB1036D" w14:textId="77777777" w:rsidR="00F67DDB" w:rsidRPr="0070080E" w:rsidRDefault="0094076D">
            <w:pPr>
              <w:pStyle w:val="Compact"/>
              <w:rPr>
                <w:sz w:val="16"/>
                <w:szCs w:val="16"/>
              </w:rPr>
            </w:pPr>
            <w:r w:rsidRPr="0070080E">
              <w:rPr>
                <w:sz w:val="16"/>
                <w:szCs w:val="16"/>
              </w:rPr>
              <w:t>UNH</w:t>
            </w:r>
          </w:p>
        </w:tc>
        <w:tc>
          <w:tcPr>
            <w:tcW w:w="1669" w:type="dxa"/>
          </w:tcPr>
          <w:p w14:paraId="3CB1036E" w14:textId="77777777" w:rsidR="00F67DDB" w:rsidRPr="0070080E" w:rsidRDefault="0094076D">
            <w:pPr>
              <w:pStyle w:val="Compact"/>
              <w:rPr>
                <w:sz w:val="16"/>
                <w:szCs w:val="16"/>
              </w:rPr>
            </w:pPr>
            <w:r w:rsidRPr="0070080E">
              <w:rPr>
                <w:sz w:val="16"/>
                <w:szCs w:val="16"/>
              </w:rPr>
              <w:t>UnitedHealth Group</w:t>
            </w:r>
          </w:p>
        </w:tc>
        <w:tc>
          <w:tcPr>
            <w:tcW w:w="1405" w:type="dxa"/>
          </w:tcPr>
          <w:p w14:paraId="3CB1036F" w14:textId="77777777" w:rsidR="00F67DDB" w:rsidRPr="0070080E" w:rsidRDefault="0094076D">
            <w:pPr>
              <w:pStyle w:val="Compact"/>
              <w:rPr>
                <w:sz w:val="16"/>
                <w:szCs w:val="16"/>
              </w:rPr>
            </w:pPr>
            <w:r w:rsidRPr="0070080E">
              <w:rPr>
                <w:sz w:val="16"/>
                <w:szCs w:val="16"/>
              </w:rPr>
              <w:t>Health Care</w:t>
            </w:r>
          </w:p>
        </w:tc>
        <w:tc>
          <w:tcPr>
            <w:tcW w:w="1143" w:type="dxa"/>
          </w:tcPr>
          <w:p w14:paraId="3CB10370" w14:textId="77777777" w:rsidR="00F67DDB" w:rsidRPr="0070080E" w:rsidRDefault="0094076D">
            <w:pPr>
              <w:pStyle w:val="Compact"/>
              <w:rPr>
                <w:sz w:val="16"/>
                <w:szCs w:val="16"/>
              </w:rPr>
            </w:pPr>
            <w:r w:rsidRPr="0070080E">
              <w:rPr>
                <w:sz w:val="16"/>
                <w:szCs w:val="16"/>
              </w:rPr>
              <w:t>2025-12-02</w:t>
            </w:r>
          </w:p>
        </w:tc>
        <w:tc>
          <w:tcPr>
            <w:tcW w:w="1133" w:type="dxa"/>
          </w:tcPr>
          <w:p w14:paraId="3CB10371" w14:textId="77777777" w:rsidR="00F67DDB" w:rsidRPr="0070080E" w:rsidRDefault="0094076D">
            <w:pPr>
              <w:pStyle w:val="Compact"/>
              <w:rPr>
                <w:sz w:val="16"/>
                <w:szCs w:val="16"/>
              </w:rPr>
            </w:pPr>
            <w:r w:rsidRPr="0070080E">
              <w:rPr>
                <w:sz w:val="16"/>
                <w:szCs w:val="16"/>
              </w:rPr>
              <w:t>management</w:t>
            </w:r>
          </w:p>
        </w:tc>
        <w:tc>
          <w:tcPr>
            <w:tcW w:w="937" w:type="dxa"/>
          </w:tcPr>
          <w:p w14:paraId="3CB10372" w14:textId="77777777" w:rsidR="00F67DDB" w:rsidRPr="0070080E" w:rsidRDefault="0094076D">
            <w:pPr>
              <w:pStyle w:val="Compact"/>
              <w:rPr>
                <w:sz w:val="16"/>
                <w:szCs w:val="16"/>
              </w:rPr>
            </w:pPr>
            <w:r w:rsidRPr="0070080E">
              <w:rPr>
                <w:sz w:val="16"/>
                <w:szCs w:val="16"/>
              </w:rPr>
              <w:t>-1.8231</w:t>
            </w:r>
          </w:p>
        </w:tc>
        <w:tc>
          <w:tcPr>
            <w:tcW w:w="937" w:type="dxa"/>
          </w:tcPr>
          <w:p w14:paraId="3CB10373" w14:textId="77777777" w:rsidR="00F67DDB" w:rsidRPr="0070080E" w:rsidRDefault="0094076D">
            <w:pPr>
              <w:pStyle w:val="Compact"/>
              <w:rPr>
                <w:sz w:val="16"/>
                <w:szCs w:val="16"/>
              </w:rPr>
            </w:pPr>
            <w:r w:rsidRPr="0070080E">
              <w:rPr>
                <w:sz w:val="16"/>
                <w:szCs w:val="16"/>
              </w:rPr>
              <w:t>Intraday</w:t>
            </w:r>
          </w:p>
        </w:tc>
        <w:tc>
          <w:tcPr>
            <w:tcW w:w="1323" w:type="dxa"/>
          </w:tcPr>
          <w:p w14:paraId="3CB10374" w14:textId="77777777" w:rsidR="00F67DDB" w:rsidRPr="0070080E" w:rsidRDefault="0094076D">
            <w:pPr>
              <w:pStyle w:val="Compact"/>
              <w:rPr>
                <w:sz w:val="16"/>
                <w:szCs w:val="16"/>
              </w:rPr>
            </w:pPr>
            <w:r w:rsidRPr="0070080E">
              <w:rPr>
                <w:sz w:val="16"/>
                <w:szCs w:val="16"/>
              </w:rPr>
              <w:t>Positive</w:t>
            </w:r>
          </w:p>
        </w:tc>
      </w:tr>
      <w:tr w:rsidR="00F67DDB" w:rsidRPr="0070080E" w14:paraId="3CB10380" w14:textId="77777777" w:rsidTr="00BD40B9">
        <w:tc>
          <w:tcPr>
            <w:tcW w:w="792" w:type="dxa"/>
          </w:tcPr>
          <w:p w14:paraId="3CB10376" w14:textId="77777777" w:rsidR="00F67DDB" w:rsidRPr="0070080E" w:rsidRDefault="0094076D">
            <w:pPr>
              <w:pStyle w:val="Compact"/>
              <w:rPr>
                <w:sz w:val="16"/>
                <w:szCs w:val="16"/>
              </w:rPr>
            </w:pPr>
            <w:r w:rsidRPr="0070080E">
              <w:rPr>
                <w:sz w:val="16"/>
                <w:szCs w:val="16"/>
              </w:rPr>
              <w:t>B1_S05</w:t>
            </w:r>
          </w:p>
        </w:tc>
        <w:tc>
          <w:tcPr>
            <w:tcW w:w="576" w:type="dxa"/>
          </w:tcPr>
          <w:p w14:paraId="3CB10377" w14:textId="77777777" w:rsidR="00F67DDB" w:rsidRPr="0070080E" w:rsidRDefault="0094076D">
            <w:pPr>
              <w:pStyle w:val="Compact"/>
              <w:rPr>
                <w:sz w:val="16"/>
                <w:szCs w:val="16"/>
              </w:rPr>
            </w:pPr>
            <w:r w:rsidRPr="0070080E">
              <w:rPr>
                <w:sz w:val="16"/>
                <w:szCs w:val="16"/>
              </w:rPr>
              <w:t>1</w:t>
            </w:r>
          </w:p>
        </w:tc>
        <w:tc>
          <w:tcPr>
            <w:tcW w:w="734" w:type="dxa"/>
          </w:tcPr>
          <w:p w14:paraId="3CB10378" w14:textId="77777777" w:rsidR="00F67DDB" w:rsidRPr="0070080E" w:rsidRDefault="0094076D">
            <w:pPr>
              <w:pStyle w:val="Compact"/>
              <w:rPr>
                <w:sz w:val="16"/>
                <w:szCs w:val="16"/>
              </w:rPr>
            </w:pPr>
            <w:r w:rsidRPr="0070080E">
              <w:rPr>
                <w:sz w:val="16"/>
                <w:szCs w:val="16"/>
              </w:rPr>
              <w:t>HD</w:t>
            </w:r>
          </w:p>
        </w:tc>
        <w:tc>
          <w:tcPr>
            <w:tcW w:w="1669" w:type="dxa"/>
          </w:tcPr>
          <w:p w14:paraId="3CB10379" w14:textId="77777777" w:rsidR="00F67DDB" w:rsidRPr="0070080E" w:rsidRDefault="0094076D">
            <w:pPr>
              <w:pStyle w:val="Compact"/>
              <w:rPr>
                <w:sz w:val="16"/>
                <w:szCs w:val="16"/>
              </w:rPr>
            </w:pPr>
            <w:r w:rsidRPr="0070080E">
              <w:rPr>
                <w:sz w:val="16"/>
                <w:szCs w:val="16"/>
              </w:rPr>
              <w:t>Home Depot</w:t>
            </w:r>
          </w:p>
        </w:tc>
        <w:tc>
          <w:tcPr>
            <w:tcW w:w="1405" w:type="dxa"/>
          </w:tcPr>
          <w:p w14:paraId="3CB1037A" w14:textId="77777777" w:rsidR="00F67DDB" w:rsidRPr="0070080E" w:rsidRDefault="0094076D">
            <w:pPr>
              <w:pStyle w:val="Compact"/>
              <w:rPr>
                <w:sz w:val="16"/>
                <w:szCs w:val="16"/>
              </w:rPr>
            </w:pPr>
            <w:r w:rsidRPr="0070080E">
              <w:rPr>
                <w:sz w:val="16"/>
                <w:szCs w:val="16"/>
              </w:rPr>
              <w:t>Consumer Discretionary</w:t>
            </w:r>
          </w:p>
        </w:tc>
        <w:tc>
          <w:tcPr>
            <w:tcW w:w="1143" w:type="dxa"/>
          </w:tcPr>
          <w:p w14:paraId="3CB1037B" w14:textId="77777777" w:rsidR="00F67DDB" w:rsidRPr="0070080E" w:rsidRDefault="0094076D">
            <w:pPr>
              <w:pStyle w:val="Compact"/>
              <w:rPr>
                <w:sz w:val="16"/>
                <w:szCs w:val="16"/>
              </w:rPr>
            </w:pPr>
            <w:r w:rsidRPr="0070080E">
              <w:rPr>
                <w:sz w:val="16"/>
                <w:szCs w:val="16"/>
              </w:rPr>
              <w:t>2025-08-19</w:t>
            </w:r>
          </w:p>
        </w:tc>
        <w:tc>
          <w:tcPr>
            <w:tcW w:w="1133" w:type="dxa"/>
          </w:tcPr>
          <w:p w14:paraId="3CB1037C" w14:textId="77777777" w:rsidR="00F67DDB" w:rsidRPr="0070080E" w:rsidRDefault="0094076D">
            <w:pPr>
              <w:pStyle w:val="Compact"/>
              <w:rPr>
                <w:sz w:val="16"/>
                <w:szCs w:val="16"/>
              </w:rPr>
            </w:pPr>
            <w:r w:rsidRPr="0070080E">
              <w:rPr>
                <w:sz w:val="16"/>
                <w:szCs w:val="16"/>
              </w:rPr>
              <w:t>earnings</w:t>
            </w:r>
          </w:p>
        </w:tc>
        <w:tc>
          <w:tcPr>
            <w:tcW w:w="937" w:type="dxa"/>
          </w:tcPr>
          <w:p w14:paraId="3CB1037D" w14:textId="77777777" w:rsidR="00F67DDB" w:rsidRPr="0070080E" w:rsidRDefault="0094076D">
            <w:pPr>
              <w:pStyle w:val="Compact"/>
              <w:rPr>
                <w:sz w:val="16"/>
                <w:szCs w:val="16"/>
              </w:rPr>
            </w:pPr>
            <w:r w:rsidRPr="0070080E">
              <w:rPr>
                <w:sz w:val="16"/>
                <w:szCs w:val="16"/>
              </w:rPr>
              <w:t>1.6628</w:t>
            </w:r>
          </w:p>
        </w:tc>
        <w:tc>
          <w:tcPr>
            <w:tcW w:w="937" w:type="dxa"/>
          </w:tcPr>
          <w:p w14:paraId="3CB1037E" w14:textId="77777777" w:rsidR="00F67DDB" w:rsidRPr="0070080E" w:rsidRDefault="0094076D">
            <w:pPr>
              <w:pStyle w:val="Compact"/>
              <w:rPr>
                <w:sz w:val="16"/>
                <w:szCs w:val="16"/>
              </w:rPr>
            </w:pPr>
            <w:r w:rsidRPr="0070080E">
              <w:rPr>
                <w:sz w:val="16"/>
                <w:szCs w:val="16"/>
              </w:rPr>
              <w:t>Several Days</w:t>
            </w:r>
          </w:p>
        </w:tc>
        <w:tc>
          <w:tcPr>
            <w:tcW w:w="1323" w:type="dxa"/>
          </w:tcPr>
          <w:p w14:paraId="3CB1037F" w14:textId="77777777" w:rsidR="00F67DDB" w:rsidRPr="0070080E" w:rsidRDefault="0094076D">
            <w:pPr>
              <w:pStyle w:val="Compact"/>
              <w:rPr>
                <w:sz w:val="16"/>
                <w:szCs w:val="16"/>
              </w:rPr>
            </w:pPr>
            <w:r w:rsidRPr="0070080E">
              <w:rPr>
                <w:sz w:val="16"/>
                <w:szCs w:val="16"/>
              </w:rPr>
              <w:t>Neutral</w:t>
            </w:r>
          </w:p>
        </w:tc>
      </w:tr>
      <w:tr w:rsidR="00F67DDB" w:rsidRPr="0070080E" w14:paraId="3CB1038B" w14:textId="77777777" w:rsidTr="00BD40B9">
        <w:tc>
          <w:tcPr>
            <w:tcW w:w="792" w:type="dxa"/>
          </w:tcPr>
          <w:p w14:paraId="3CB10381" w14:textId="77777777" w:rsidR="00F67DDB" w:rsidRPr="0070080E" w:rsidRDefault="0094076D">
            <w:pPr>
              <w:pStyle w:val="Compact"/>
              <w:rPr>
                <w:sz w:val="16"/>
                <w:szCs w:val="16"/>
              </w:rPr>
            </w:pPr>
            <w:r w:rsidRPr="0070080E">
              <w:rPr>
                <w:sz w:val="16"/>
                <w:szCs w:val="16"/>
              </w:rPr>
              <w:t>B1_S06</w:t>
            </w:r>
          </w:p>
        </w:tc>
        <w:tc>
          <w:tcPr>
            <w:tcW w:w="576" w:type="dxa"/>
          </w:tcPr>
          <w:p w14:paraId="3CB10382" w14:textId="77777777" w:rsidR="00F67DDB" w:rsidRPr="0070080E" w:rsidRDefault="0094076D">
            <w:pPr>
              <w:pStyle w:val="Compact"/>
              <w:rPr>
                <w:sz w:val="16"/>
                <w:szCs w:val="16"/>
              </w:rPr>
            </w:pPr>
            <w:r w:rsidRPr="0070080E">
              <w:rPr>
                <w:sz w:val="16"/>
                <w:szCs w:val="16"/>
              </w:rPr>
              <w:t>1</w:t>
            </w:r>
          </w:p>
        </w:tc>
        <w:tc>
          <w:tcPr>
            <w:tcW w:w="734" w:type="dxa"/>
          </w:tcPr>
          <w:p w14:paraId="3CB10383" w14:textId="77777777" w:rsidR="00F67DDB" w:rsidRPr="0070080E" w:rsidRDefault="0094076D">
            <w:pPr>
              <w:pStyle w:val="Compact"/>
              <w:rPr>
                <w:sz w:val="16"/>
                <w:szCs w:val="16"/>
              </w:rPr>
            </w:pPr>
            <w:r w:rsidRPr="0070080E">
              <w:rPr>
                <w:sz w:val="16"/>
                <w:szCs w:val="16"/>
              </w:rPr>
              <w:t>GE</w:t>
            </w:r>
          </w:p>
        </w:tc>
        <w:tc>
          <w:tcPr>
            <w:tcW w:w="1669" w:type="dxa"/>
          </w:tcPr>
          <w:p w14:paraId="3CB10384" w14:textId="77777777" w:rsidR="00F67DDB" w:rsidRPr="0070080E" w:rsidRDefault="0094076D">
            <w:pPr>
              <w:pStyle w:val="Compact"/>
              <w:rPr>
                <w:sz w:val="16"/>
                <w:szCs w:val="16"/>
              </w:rPr>
            </w:pPr>
            <w:r w:rsidRPr="0070080E">
              <w:rPr>
                <w:sz w:val="16"/>
                <w:szCs w:val="16"/>
              </w:rPr>
              <w:t>GE Aerospace</w:t>
            </w:r>
          </w:p>
        </w:tc>
        <w:tc>
          <w:tcPr>
            <w:tcW w:w="1405" w:type="dxa"/>
          </w:tcPr>
          <w:p w14:paraId="3CB10385" w14:textId="77777777" w:rsidR="00F67DDB" w:rsidRPr="0070080E" w:rsidRDefault="0094076D">
            <w:pPr>
              <w:pStyle w:val="Compact"/>
              <w:rPr>
                <w:sz w:val="16"/>
                <w:szCs w:val="16"/>
              </w:rPr>
            </w:pPr>
            <w:r w:rsidRPr="0070080E">
              <w:rPr>
                <w:sz w:val="16"/>
                <w:szCs w:val="16"/>
              </w:rPr>
              <w:t>Industrials</w:t>
            </w:r>
          </w:p>
        </w:tc>
        <w:tc>
          <w:tcPr>
            <w:tcW w:w="1143" w:type="dxa"/>
          </w:tcPr>
          <w:p w14:paraId="3CB10386" w14:textId="77777777" w:rsidR="00F67DDB" w:rsidRPr="0070080E" w:rsidRDefault="0094076D">
            <w:pPr>
              <w:pStyle w:val="Compact"/>
              <w:rPr>
                <w:sz w:val="16"/>
                <w:szCs w:val="16"/>
              </w:rPr>
            </w:pPr>
            <w:r w:rsidRPr="0070080E">
              <w:rPr>
                <w:sz w:val="16"/>
                <w:szCs w:val="16"/>
              </w:rPr>
              <w:t>2025-07-08</w:t>
            </w:r>
          </w:p>
        </w:tc>
        <w:tc>
          <w:tcPr>
            <w:tcW w:w="1133" w:type="dxa"/>
          </w:tcPr>
          <w:p w14:paraId="3CB10387" w14:textId="77777777" w:rsidR="00F67DDB" w:rsidRPr="0070080E" w:rsidRDefault="0094076D">
            <w:pPr>
              <w:pStyle w:val="Compact"/>
              <w:rPr>
                <w:sz w:val="16"/>
                <w:szCs w:val="16"/>
              </w:rPr>
            </w:pPr>
            <w:r w:rsidRPr="0070080E">
              <w:rPr>
                <w:sz w:val="16"/>
                <w:szCs w:val="16"/>
              </w:rPr>
              <w:t>management</w:t>
            </w:r>
          </w:p>
        </w:tc>
        <w:tc>
          <w:tcPr>
            <w:tcW w:w="937" w:type="dxa"/>
          </w:tcPr>
          <w:p w14:paraId="3CB10388" w14:textId="77777777" w:rsidR="00F67DDB" w:rsidRPr="0070080E" w:rsidRDefault="0094076D">
            <w:pPr>
              <w:pStyle w:val="Compact"/>
              <w:rPr>
                <w:sz w:val="16"/>
                <w:szCs w:val="16"/>
              </w:rPr>
            </w:pPr>
            <w:r w:rsidRPr="0070080E">
              <w:rPr>
                <w:sz w:val="16"/>
                <w:szCs w:val="16"/>
              </w:rPr>
              <w:t>-0.6176</w:t>
            </w:r>
          </w:p>
        </w:tc>
        <w:tc>
          <w:tcPr>
            <w:tcW w:w="937" w:type="dxa"/>
          </w:tcPr>
          <w:p w14:paraId="3CB10389" w14:textId="77777777" w:rsidR="00F67DDB" w:rsidRPr="0070080E" w:rsidRDefault="0094076D">
            <w:pPr>
              <w:pStyle w:val="Compact"/>
              <w:rPr>
                <w:sz w:val="16"/>
                <w:szCs w:val="16"/>
              </w:rPr>
            </w:pPr>
            <w:r w:rsidRPr="0070080E">
              <w:rPr>
                <w:sz w:val="16"/>
                <w:szCs w:val="16"/>
              </w:rPr>
              <w:t>Several Weeks</w:t>
            </w:r>
          </w:p>
        </w:tc>
        <w:tc>
          <w:tcPr>
            <w:tcW w:w="1323" w:type="dxa"/>
          </w:tcPr>
          <w:p w14:paraId="3CB1038A" w14:textId="77777777" w:rsidR="00F67DDB" w:rsidRPr="0070080E" w:rsidRDefault="0094076D">
            <w:pPr>
              <w:pStyle w:val="Compact"/>
              <w:rPr>
                <w:sz w:val="16"/>
                <w:szCs w:val="16"/>
              </w:rPr>
            </w:pPr>
            <w:r w:rsidRPr="0070080E">
              <w:rPr>
                <w:sz w:val="16"/>
                <w:szCs w:val="16"/>
              </w:rPr>
              <w:t>Strongly Positive</w:t>
            </w:r>
          </w:p>
        </w:tc>
      </w:tr>
      <w:tr w:rsidR="00F67DDB" w:rsidRPr="0070080E" w14:paraId="3CB10396" w14:textId="77777777" w:rsidTr="00BD40B9">
        <w:tc>
          <w:tcPr>
            <w:tcW w:w="792" w:type="dxa"/>
          </w:tcPr>
          <w:p w14:paraId="3CB1038C" w14:textId="77777777" w:rsidR="00F67DDB" w:rsidRPr="0070080E" w:rsidRDefault="0094076D">
            <w:pPr>
              <w:pStyle w:val="Compact"/>
              <w:rPr>
                <w:sz w:val="16"/>
                <w:szCs w:val="16"/>
              </w:rPr>
            </w:pPr>
            <w:r w:rsidRPr="0070080E">
              <w:rPr>
                <w:sz w:val="16"/>
                <w:szCs w:val="16"/>
              </w:rPr>
              <w:t>B1_S07</w:t>
            </w:r>
          </w:p>
        </w:tc>
        <w:tc>
          <w:tcPr>
            <w:tcW w:w="576" w:type="dxa"/>
          </w:tcPr>
          <w:p w14:paraId="3CB1038D" w14:textId="77777777" w:rsidR="00F67DDB" w:rsidRPr="0070080E" w:rsidRDefault="0094076D">
            <w:pPr>
              <w:pStyle w:val="Compact"/>
              <w:rPr>
                <w:sz w:val="16"/>
                <w:szCs w:val="16"/>
              </w:rPr>
            </w:pPr>
            <w:r w:rsidRPr="0070080E">
              <w:rPr>
                <w:sz w:val="16"/>
                <w:szCs w:val="16"/>
              </w:rPr>
              <w:t>1</w:t>
            </w:r>
          </w:p>
        </w:tc>
        <w:tc>
          <w:tcPr>
            <w:tcW w:w="734" w:type="dxa"/>
          </w:tcPr>
          <w:p w14:paraId="3CB1038E" w14:textId="77777777" w:rsidR="00F67DDB" w:rsidRPr="0070080E" w:rsidRDefault="0094076D">
            <w:pPr>
              <w:pStyle w:val="Compact"/>
              <w:rPr>
                <w:sz w:val="16"/>
                <w:szCs w:val="16"/>
              </w:rPr>
            </w:pPr>
            <w:r w:rsidRPr="0070080E">
              <w:rPr>
                <w:sz w:val="16"/>
                <w:szCs w:val="16"/>
              </w:rPr>
              <w:t>T</w:t>
            </w:r>
          </w:p>
        </w:tc>
        <w:tc>
          <w:tcPr>
            <w:tcW w:w="1669" w:type="dxa"/>
          </w:tcPr>
          <w:p w14:paraId="3CB1038F" w14:textId="77777777" w:rsidR="00F67DDB" w:rsidRPr="0070080E" w:rsidRDefault="0094076D">
            <w:pPr>
              <w:pStyle w:val="Compact"/>
              <w:rPr>
                <w:sz w:val="16"/>
                <w:szCs w:val="16"/>
              </w:rPr>
            </w:pPr>
            <w:r w:rsidRPr="0070080E">
              <w:rPr>
                <w:sz w:val="16"/>
                <w:szCs w:val="16"/>
              </w:rPr>
              <w:t>AT&amp;T</w:t>
            </w:r>
          </w:p>
        </w:tc>
        <w:tc>
          <w:tcPr>
            <w:tcW w:w="1405" w:type="dxa"/>
          </w:tcPr>
          <w:p w14:paraId="3CB10390" w14:textId="77777777" w:rsidR="00F67DDB" w:rsidRPr="0070080E" w:rsidRDefault="0094076D">
            <w:pPr>
              <w:pStyle w:val="Compact"/>
              <w:rPr>
                <w:sz w:val="16"/>
                <w:szCs w:val="16"/>
              </w:rPr>
            </w:pPr>
            <w:r w:rsidRPr="0070080E">
              <w:rPr>
                <w:sz w:val="16"/>
                <w:szCs w:val="16"/>
              </w:rPr>
              <w:t>Communication Services</w:t>
            </w:r>
          </w:p>
        </w:tc>
        <w:tc>
          <w:tcPr>
            <w:tcW w:w="1143" w:type="dxa"/>
          </w:tcPr>
          <w:p w14:paraId="3CB10391" w14:textId="77777777" w:rsidR="00F67DDB" w:rsidRPr="0070080E" w:rsidRDefault="0094076D">
            <w:pPr>
              <w:pStyle w:val="Compact"/>
              <w:rPr>
                <w:sz w:val="16"/>
                <w:szCs w:val="16"/>
              </w:rPr>
            </w:pPr>
            <w:r w:rsidRPr="0070080E">
              <w:rPr>
                <w:sz w:val="16"/>
                <w:szCs w:val="16"/>
              </w:rPr>
              <w:t>2026-01-30</w:t>
            </w:r>
          </w:p>
        </w:tc>
        <w:tc>
          <w:tcPr>
            <w:tcW w:w="1133" w:type="dxa"/>
          </w:tcPr>
          <w:p w14:paraId="3CB10392" w14:textId="77777777" w:rsidR="00F67DDB" w:rsidRPr="0070080E" w:rsidRDefault="0094076D">
            <w:pPr>
              <w:pStyle w:val="Compact"/>
              <w:rPr>
                <w:sz w:val="16"/>
                <w:szCs w:val="16"/>
              </w:rPr>
            </w:pPr>
            <w:r w:rsidRPr="0070080E">
              <w:rPr>
                <w:sz w:val="16"/>
                <w:szCs w:val="16"/>
              </w:rPr>
              <w:t>earnings</w:t>
            </w:r>
          </w:p>
        </w:tc>
        <w:tc>
          <w:tcPr>
            <w:tcW w:w="937" w:type="dxa"/>
          </w:tcPr>
          <w:p w14:paraId="3CB10393" w14:textId="77777777" w:rsidR="00F67DDB" w:rsidRPr="0070080E" w:rsidRDefault="0094076D">
            <w:pPr>
              <w:pStyle w:val="Compact"/>
              <w:rPr>
                <w:sz w:val="16"/>
                <w:szCs w:val="16"/>
              </w:rPr>
            </w:pPr>
            <w:r w:rsidRPr="0070080E">
              <w:rPr>
                <w:sz w:val="16"/>
                <w:szCs w:val="16"/>
              </w:rPr>
              <w:t>-0.0516</w:t>
            </w:r>
          </w:p>
        </w:tc>
        <w:tc>
          <w:tcPr>
            <w:tcW w:w="937" w:type="dxa"/>
          </w:tcPr>
          <w:p w14:paraId="3CB10394" w14:textId="77777777" w:rsidR="00F67DDB" w:rsidRPr="0070080E" w:rsidRDefault="0094076D">
            <w:pPr>
              <w:pStyle w:val="Compact"/>
              <w:rPr>
                <w:sz w:val="16"/>
                <w:szCs w:val="16"/>
              </w:rPr>
            </w:pPr>
            <w:r w:rsidRPr="0070080E">
              <w:rPr>
                <w:sz w:val="16"/>
                <w:szCs w:val="16"/>
              </w:rPr>
              <w:t>Several Weeks</w:t>
            </w:r>
          </w:p>
        </w:tc>
        <w:tc>
          <w:tcPr>
            <w:tcW w:w="1323" w:type="dxa"/>
          </w:tcPr>
          <w:p w14:paraId="3CB10395" w14:textId="77777777" w:rsidR="00F67DDB" w:rsidRPr="0070080E" w:rsidRDefault="0094076D">
            <w:pPr>
              <w:pStyle w:val="Compact"/>
              <w:rPr>
                <w:sz w:val="16"/>
                <w:szCs w:val="16"/>
              </w:rPr>
            </w:pPr>
            <w:r w:rsidRPr="0070080E">
              <w:rPr>
                <w:sz w:val="16"/>
                <w:szCs w:val="16"/>
              </w:rPr>
              <w:t>Strongly Positive</w:t>
            </w:r>
          </w:p>
        </w:tc>
      </w:tr>
      <w:tr w:rsidR="00F67DDB" w:rsidRPr="0070080E" w14:paraId="3CB103A1" w14:textId="77777777" w:rsidTr="00BD40B9">
        <w:tc>
          <w:tcPr>
            <w:tcW w:w="792" w:type="dxa"/>
          </w:tcPr>
          <w:p w14:paraId="3CB10397" w14:textId="77777777" w:rsidR="00F67DDB" w:rsidRPr="0070080E" w:rsidRDefault="0094076D">
            <w:pPr>
              <w:pStyle w:val="Compact"/>
              <w:rPr>
                <w:sz w:val="16"/>
                <w:szCs w:val="16"/>
              </w:rPr>
            </w:pPr>
            <w:r w:rsidRPr="0070080E">
              <w:rPr>
                <w:sz w:val="16"/>
                <w:szCs w:val="16"/>
              </w:rPr>
              <w:t>B1_S08</w:t>
            </w:r>
          </w:p>
        </w:tc>
        <w:tc>
          <w:tcPr>
            <w:tcW w:w="576" w:type="dxa"/>
          </w:tcPr>
          <w:p w14:paraId="3CB10398" w14:textId="77777777" w:rsidR="00F67DDB" w:rsidRPr="0070080E" w:rsidRDefault="0094076D">
            <w:pPr>
              <w:pStyle w:val="Compact"/>
              <w:rPr>
                <w:sz w:val="16"/>
                <w:szCs w:val="16"/>
              </w:rPr>
            </w:pPr>
            <w:r w:rsidRPr="0070080E">
              <w:rPr>
                <w:sz w:val="16"/>
                <w:szCs w:val="16"/>
              </w:rPr>
              <w:t>1</w:t>
            </w:r>
          </w:p>
        </w:tc>
        <w:tc>
          <w:tcPr>
            <w:tcW w:w="734" w:type="dxa"/>
          </w:tcPr>
          <w:p w14:paraId="3CB10399" w14:textId="77777777" w:rsidR="00F67DDB" w:rsidRPr="0070080E" w:rsidRDefault="0094076D">
            <w:pPr>
              <w:pStyle w:val="Compact"/>
              <w:rPr>
                <w:sz w:val="16"/>
                <w:szCs w:val="16"/>
              </w:rPr>
            </w:pPr>
            <w:r w:rsidRPr="0070080E">
              <w:rPr>
                <w:sz w:val="16"/>
                <w:szCs w:val="16"/>
              </w:rPr>
              <w:t>QCOM</w:t>
            </w:r>
          </w:p>
        </w:tc>
        <w:tc>
          <w:tcPr>
            <w:tcW w:w="1669" w:type="dxa"/>
          </w:tcPr>
          <w:p w14:paraId="3CB1039A" w14:textId="77777777" w:rsidR="00F67DDB" w:rsidRPr="0070080E" w:rsidRDefault="0094076D">
            <w:pPr>
              <w:pStyle w:val="Compact"/>
              <w:rPr>
                <w:sz w:val="16"/>
                <w:szCs w:val="16"/>
              </w:rPr>
            </w:pPr>
            <w:r w:rsidRPr="0070080E">
              <w:rPr>
                <w:sz w:val="16"/>
                <w:szCs w:val="16"/>
              </w:rPr>
              <w:t>Qualcomm Inc.</w:t>
            </w:r>
          </w:p>
        </w:tc>
        <w:tc>
          <w:tcPr>
            <w:tcW w:w="1405" w:type="dxa"/>
          </w:tcPr>
          <w:p w14:paraId="3CB1039B" w14:textId="77777777" w:rsidR="00F67DDB" w:rsidRPr="0070080E" w:rsidRDefault="0094076D">
            <w:pPr>
              <w:pStyle w:val="Compact"/>
              <w:rPr>
                <w:sz w:val="16"/>
                <w:szCs w:val="16"/>
              </w:rPr>
            </w:pPr>
            <w:r w:rsidRPr="0070080E">
              <w:rPr>
                <w:sz w:val="16"/>
                <w:szCs w:val="16"/>
              </w:rPr>
              <w:t>Information Technology</w:t>
            </w:r>
          </w:p>
        </w:tc>
        <w:tc>
          <w:tcPr>
            <w:tcW w:w="1143" w:type="dxa"/>
          </w:tcPr>
          <w:p w14:paraId="3CB1039C" w14:textId="77777777" w:rsidR="00F67DDB" w:rsidRPr="0070080E" w:rsidRDefault="0094076D">
            <w:pPr>
              <w:pStyle w:val="Compact"/>
              <w:rPr>
                <w:sz w:val="16"/>
                <w:szCs w:val="16"/>
              </w:rPr>
            </w:pPr>
            <w:r w:rsidRPr="0070080E">
              <w:rPr>
                <w:sz w:val="16"/>
                <w:szCs w:val="16"/>
              </w:rPr>
              <w:t>2025-10-13</w:t>
            </w:r>
          </w:p>
        </w:tc>
        <w:tc>
          <w:tcPr>
            <w:tcW w:w="1133" w:type="dxa"/>
          </w:tcPr>
          <w:p w14:paraId="3CB1039D" w14:textId="77777777" w:rsidR="00F67DDB" w:rsidRPr="0070080E" w:rsidRDefault="0094076D">
            <w:pPr>
              <w:pStyle w:val="Compact"/>
              <w:rPr>
                <w:sz w:val="16"/>
                <w:szCs w:val="16"/>
              </w:rPr>
            </w:pPr>
            <w:r w:rsidRPr="0070080E">
              <w:rPr>
                <w:sz w:val="16"/>
                <w:szCs w:val="16"/>
              </w:rPr>
              <w:t>management</w:t>
            </w:r>
          </w:p>
        </w:tc>
        <w:tc>
          <w:tcPr>
            <w:tcW w:w="937" w:type="dxa"/>
          </w:tcPr>
          <w:p w14:paraId="3CB1039E" w14:textId="77777777" w:rsidR="00F67DDB" w:rsidRPr="0070080E" w:rsidRDefault="0094076D">
            <w:pPr>
              <w:pStyle w:val="Compact"/>
              <w:rPr>
                <w:sz w:val="16"/>
                <w:szCs w:val="16"/>
              </w:rPr>
            </w:pPr>
            <w:r w:rsidRPr="0070080E">
              <w:rPr>
                <w:sz w:val="16"/>
                <w:szCs w:val="16"/>
              </w:rPr>
              <w:t>-1.2276</w:t>
            </w:r>
          </w:p>
        </w:tc>
        <w:tc>
          <w:tcPr>
            <w:tcW w:w="937" w:type="dxa"/>
          </w:tcPr>
          <w:p w14:paraId="3CB1039F" w14:textId="77777777" w:rsidR="00F67DDB" w:rsidRPr="0070080E" w:rsidRDefault="0094076D">
            <w:pPr>
              <w:pStyle w:val="Compact"/>
              <w:rPr>
                <w:sz w:val="16"/>
                <w:szCs w:val="16"/>
              </w:rPr>
            </w:pPr>
            <w:r w:rsidRPr="0070080E">
              <w:rPr>
                <w:sz w:val="16"/>
                <w:szCs w:val="16"/>
              </w:rPr>
              <w:t>Several Weeks</w:t>
            </w:r>
          </w:p>
        </w:tc>
        <w:tc>
          <w:tcPr>
            <w:tcW w:w="1323" w:type="dxa"/>
          </w:tcPr>
          <w:p w14:paraId="3CB103A0" w14:textId="77777777" w:rsidR="00F67DDB" w:rsidRPr="0070080E" w:rsidRDefault="0094076D">
            <w:pPr>
              <w:pStyle w:val="Compact"/>
              <w:rPr>
                <w:sz w:val="16"/>
                <w:szCs w:val="16"/>
              </w:rPr>
            </w:pPr>
            <w:r w:rsidRPr="0070080E">
              <w:rPr>
                <w:sz w:val="16"/>
                <w:szCs w:val="16"/>
              </w:rPr>
              <w:t>Neutral</w:t>
            </w:r>
          </w:p>
        </w:tc>
      </w:tr>
      <w:tr w:rsidR="00F67DDB" w:rsidRPr="0070080E" w14:paraId="3CB103AC" w14:textId="77777777" w:rsidTr="00BD40B9">
        <w:tc>
          <w:tcPr>
            <w:tcW w:w="792" w:type="dxa"/>
          </w:tcPr>
          <w:p w14:paraId="3CB103A2" w14:textId="77777777" w:rsidR="00F67DDB" w:rsidRPr="0070080E" w:rsidRDefault="0094076D">
            <w:pPr>
              <w:pStyle w:val="Compact"/>
              <w:rPr>
                <w:sz w:val="16"/>
                <w:szCs w:val="16"/>
              </w:rPr>
            </w:pPr>
            <w:r w:rsidRPr="0070080E">
              <w:rPr>
                <w:sz w:val="16"/>
                <w:szCs w:val="16"/>
              </w:rPr>
              <w:t>B2_S01</w:t>
            </w:r>
          </w:p>
        </w:tc>
        <w:tc>
          <w:tcPr>
            <w:tcW w:w="576" w:type="dxa"/>
          </w:tcPr>
          <w:p w14:paraId="3CB103A3" w14:textId="77777777" w:rsidR="00F67DDB" w:rsidRPr="0070080E" w:rsidRDefault="0094076D">
            <w:pPr>
              <w:pStyle w:val="Compact"/>
              <w:rPr>
                <w:sz w:val="16"/>
                <w:szCs w:val="16"/>
              </w:rPr>
            </w:pPr>
            <w:r w:rsidRPr="0070080E">
              <w:rPr>
                <w:sz w:val="16"/>
                <w:szCs w:val="16"/>
              </w:rPr>
              <w:t>2</w:t>
            </w:r>
          </w:p>
        </w:tc>
        <w:tc>
          <w:tcPr>
            <w:tcW w:w="734" w:type="dxa"/>
          </w:tcPr>
          <w:p w14:paraId="3CB103A4" w14:textId="77777777" w:rsidR="00F67DDB" w:rsidRPr="0070080E" w:rsidRDefault="0094076D">
            <w:pPr>
              <w:pStyle w:val="Compact"/>
              <w:rPr>
                <w:sz w:val="16"/>
                <w:szCs w:val="16"/>
              </w:rPr>
            </w:pPr>
            <w:r w:rsidRPr="0070080E">
              <w:rPr>
                <w:sz w:val="16"/>
                <w:szCs w:val="16"/>
              </w:rPr>
              <w:t>MRK</w:t>
            </w:r>
          </w:p>
        </w:tc>
        <w:tc>
          <w:tcPr>
            <w:tcW w:w="1669" w:type="dxa"/>
          </w:tcPr>
          <w:p w14:paraId="3CB103A5" w14:textId="77777777" w:rsidR="00F67DDB" w:rsidRPr="0070080E" w:rsidRDefault="0094076D">
            <w:pPr>
              <w:pStyle w:val="Compact"/>
              <w:rPr>
                <w:sz w:val="16"/>
                <w:szCs w:val="16"/>
              </w:rPr>
            </w:pPr>
            <w:r w:rsidRPr="0070080E">
              <w:rPr>
                <w:sz w:val="16"/>
                <w:szCs w:val="16"/>
              </w:rPr>
              <w:t>Merck &amp; Co.</w:t>
            </w:r>
          </w:p>
        </w:tc>
        <w:tc>
          <w:tcPr>
            <w:tcW w:w="1405" w:type="dxa"/>
          </w:tcPr>
          <w:p w14:paraId="3CB103A6" w14:textId="77777777" w:rsidR="00F67DDB" w:rsidRPr="0070080E" w:rsidRDefault="0094076D">
            <w:pPr>
              <w:pStyle w:val="Compact"/>
              <w:rPr>
                <w:sz w:val="16"/>
                <w:szCs w:val="16"/>
              </w:rPr>
            </w:pPr>
            <w:r w:rsidRPr="0070080E">
              <w:rPr>
                <w:sz w:val="16"/>
                <w:szCs w:val="16"/>
              </w:rPr>
              <w:t>Health Care</w:t>
            </w:r>
          </w:p>
        </w:tc>
        <w:tc>
          <w:tcPr>
            <w:tcW w:w="1143" w:type="dxa"/>
          </w:tcPr>
          <w:p w14:paraId="3CB103A7" w14:textId="77777777" w:rsidR="00F67DDB" w:rsidRPr="0070080E" w:rsidRDefault="0094076D">
            <w:pPr>
              <w:pStyle w:val="Compact"/>
              <w:rPr>
                <w:sz w:val="16"/>
                <w:szCs w:val="16"/>
              </w:rPr>
            </w:pPr>
            <w:r w:rsidRPr="0070080E">
              <w:rPr>
                <w:sz w:val="16"/>
                <w:szCs w:val="16"/>
              </w:rPr>
              <w:t>2025-10-30</w:t>
            </w:r>
          </w:p>
        </w:tc>
        <w:tc>
          <w:tcPr>
            <w:tcW w:w="1133" w:type="dxa"/>
          </w:tcPr>
          <w:p w14:paraId="3CB103A8" w14:textId="77777777" w:rsidR="00F67DDB" w:rsidRPr="0070080E" w:rsidRDefault="0094076D">
            <w:pPr>
              <w:pStyle w:val="Compact"/>
              <w:rPr>
                <w:sz w:val="16"/>
                <w:szCs w:val="16"/>
              </w:rPr>
            </w:pPr>
            <w:r w:rsidRPr="0070080E">
              <w:rPr>
                <w:sz w:val="16"/>
                <w:szCs w:val="16"/>
              </w:rPr>
              <w:t>earnings</w:t>
            </w:r>
          </w:p>
        </w:tc>
        <w:tc>
          <w:tcPr>
            <w:tcW w:w="937" w:type="dxa"/>
          </w:tcPr>
          <w:p w14:paraId="3CB103A9" w14:textId="77777777" w:rsidR="00F67DDB" w:rsidRPr="0070080E" w:rsidRDefault="0094076D">
            <w:pPr>
              <w:pStyle w:val="Compact"/>
              <w:rPr>
                <w:sz w:val="16"/>
                <w:szCs w:val="16"/>
              </w:rPr>
            </w:pPr>
            <w:r w:rsidRPr="0070080E">
              <w:rPr>
                <w:sz w:val="16"/>
                <w:szCs w:val="16"/>
              </w:rPr>
              <w:t>0.3277</w:t>
            </w:r>
          </w:p>
        </w:tc>
        <w:tc>
          <w:tcPr>
            <w:tcW w:w="937" w:type="dxa"/>
          </w:tcPr>
          <w:p w14:paraId="3CB103AA" w14:textId="77777777" w:rsidR="00F67DDB" w:rsidRPr="0070080E" w:rsidRDefault="0094076D">
            <w:pPr>
              <w:pStyle w:val="Compact"/>
              <w:rPr>
                <w:sz w:val="16"/>
                <w:szCs w:val="16"/>
              </w:rPr>
            </w:pPr>
            <w:r w:rsidRPr="0070080E">
              <w:rPr>
                <w:sz w:val="16"/>
                <w:szCs w:val="16"/>
              </w:rPr>
              <w:t>Several Weeks</w:t>
            </w:r>
          </w:p>
        </w:tc>
        <w:tc>
          <w:tcPr>
            <w:tcW w:w="1323" w:type="dxa"/>
          </w:tcPr>
          <w:p w14:paraId="3CB103AB" w14:textId="77777777" w:rsidR="00F67DDB" w:rsidRPr="0070080E" w:rsidRDefault="0094076D">
            <w:pPr>
              <w:pStyle w:val="Compact"/>
              <w:rPr>
                <w:sz w:val="16"/>
                <w:szCs w:val="16"/>
              </w:rPr>
            </w:pPr>
            <w:r w:rsidRPr="0070080E">
              <w:rPr>
                <w:sz w:val="16"/>
                <w:szCs w:val="16"/>
              </w:rPr>
              <w:t>Neutral</w:t>
            </w:r>
          </w:p>
        </w:tc>
      </w:tr>
      <w:tr w:rsidR="00F67DDB" w:rsidRPr="0070080E" w14:paraId="3CB103B7" w14:textId="77777777" w:rsidTr="00BD40B9">
        <w:tc>
          <w:tcPr>
            <w:tcW w:w="792" w:type="dxa"/>
          </w:tcPr>
          <w:p w14:paraId="3CB103AD" w14:textId="77777777" w:rsidR="00F67DDB" w:rsidRPr="0070080E" w:rsidRDefault="0094076D">
            <w:pPr>
              <w:pStyle w:val="Compact"/>
              <w:rPr>
                <w:sz w:val="16"/>
                <w:szCs w:val="16"/>
              </w:rPr>
            </w:pPr>
            <w:r w:rsidRPr="0070080E">
              <w:rPr>
                <w:sz w:val="16"/>
                <w:szCs w:val="16"/>
              </w:rPr>
              <w:t>B2_S02</w:t>
            </w:r>
          </w:p>
        </w:tc>
        <w:tc>
          <w:tcPr>
            <w:tcW w:w="576" w:type="dxa"/>
          </w:tcPr>
          <w:p w14:paraId="3CB103AE" w14:textId="77777777" w:rsidR="00F67DDB" w:rsidRPr="0070080E" w:rsidRDefault="0094076D">
            <w:pPr>
              <w:pStyle w:val="Compact"/>
              <w:rPr>
                <w:sz w:val="16"/>
                <w:szCs w:val="16"/>
              </w:rPr>
            </w:pPr>
            <w:r w:rsidRPr="0070080E">
              <w:rPr>
                <w:sz w:val="16"/>
                <w:szCs w:val="16"/>
              </w:rPr>
              <w:t>2</w:t>
            </w:r>
          </w:p>
        </w:tc>
        <w:tc>
          <w:tcPr>
            <w:tcW w:w="734" w:type="dxa"/>
          </w:tcPr>
          <w:p w14:paraId="3CB103AF" w14:textId="77777777" w:rsidR="00F67DDB" w:rsidRPr="0070080E" w:rsidRDefault="0094076D">
            <w:pPr>
              <w:pStyle w:val="Compact"/>
              <w:rPr>
                <w:sz w:val="16"/>
                <w:szCs w:val="16"/>
              </w:rPr>
            </w:pPr>
            <w:r w:rsidRPr="0070080E">
              <w:rPr>
                <w:sz w:val="16"/>
                <w:szCs w:val="16"/>
              </w:rPr>
              <w:t>JPM</w:t>
            </w:r>
          </w:p>
        </w:tc>
        <w:tc>
          <w:tcPr>
            <w:tcW w:w="1669" w:type="dxa"/>
          </w:tcPr>
          <w:p w14:paraId="3CB103B0" w14:textId="77777777" w:rsidR="00F67DDB" w:rsidRPr="0070080E" w:rsidRDefault="0094076D">
            <w:pPr>
              <w:pStyle w:val="Compact"/>
              <w:rPr>
                <w:sz w:val="16"/>
                <w:szCs w:val="16"/>
              </w:rPr>
            </w:pPr>
            <w:r w:rsidRPr="0070080E">
              <w:rPr>
                <w:sz w:val="16"/>
                <w:szCs w:val="16"/>
              </w:rPr>
              <w:t>JPMorgan Chase</w:t>
            </w:r>
          </w:p>
        </w:tc>
        <w:tc>
          <w:tcPr>
            <w:tcW w:w="1405" w:type="dxa"/>
          </w:tcPr>
          <w:p w14:paraId="3CB103B1" w14:textId="77777777" w:rsidR="00F67DDB" w:rsidRPr="0070080E" w:rsidRDefault="0094076D">
            <w:pPr>
              <w:pStyle w:val="Compact"/>
              <w:rPr>
                <w:sz w:val="16"/>
                <w:szCs w:val="16"/>
              </w:rPr>
            </w:pPr>
            <w:r w:rsidRPr="0070080E">
              <w:rPr>
                <w:sz w:val="16"/>
                <w:szCs w:val="16"/>
              </w:rPr>
              <w:t>Financials</w:t>
            </w:r>
          </w:p>
        </w:tc>
        <w:tc>
          <w:tcPr>
            <w:tcW w:w="1143" w:type="dxa"/>
          </w:tcPr>
          <w:p w14:paraId="3CB103B2" w14:textId="77777777" w:rsidR="00F67DDB" w:rsidRPr="0070080E" w:rsidRDefault="0094076D">
            <w:pPr>
              <w:pStyle w:val="Compact"/>
              <w:rPr>
                <w:sz w:val="16"/>
                <w:szCs w:val="16"/>
              </w:rPr>
            </w:pPr>
            <w:r w:rsidRPr="0070080E">
              <w:rPr>
                <w:sz w:val="16"/>
                <w:szCs w:val="16"/>
              </w:rPr>
              <w:t>2026-01-23</w:t>
            </w:r>
          </w:p>
        </w:tc>
        <w:tc>
          <w:tcPr>
            <w:tcW w:w="1133" w:type="dxa"/>
          </w:tcPr>
          <w:p w14:paraId="3CB103B3" w14:textId="77777777" w:rsidR="00F67DDB" w:rsidRPr="0070080E" w:rsidRDefault="0094076D">
            <w:pPr>
              <w:pStyle w:val="Compact"/>
              <w:rPr>
                <w:sz w:val="16"/>
                <w:szCs w:val="16"/>
              </w:rPr>
            </w:pPr>
            <w:r w:rsidRPr="0070080E">
              <w:rPr>
                <w:sz w:val="16"/>
                <w:szCs w:val="16"/>
              </w:rPr>
              <w:t>analyst</w:t>
            </w:r>
          </w:p>
        </w:tc>
        <w:tc>
          <w:tcPr>
            <w:tcW w:w="937" w:type="dxa"/>
          </w:tcPr>
          <w:p w14:paraId="3CB103B4" w14:textId="77777777" w:rsidR="00F67DDB" w:rsidRPr="0070080E" w:rsidRDefault="0094076D">
            <w:pPr>
              <w:pStyle w:val="Compact"/>
              <w:rPr>
                <w:sz w:val="16"/>
                <w:szCs w:val="16"/>
              </w:rPr>
            </w:pPr>
            <w:r w:rsidRPr="0070080E">
              <w:rPr>
                <w:sz w:val="16"/>
                <w:szCs w:val="16"/>
              </w:rPr>
              <w:t>-0.1934</w:t>
            </w:r>
          </w:p>
        </w:tc>
        <w:tc>
          <w:tcPr>
            <w:tcW w:w="937" w:type="dxa"/>
          </w:tcPr>
          <w:p w14:paraId="3CB103B5" w14:textId="77777777" w:rsidR="00F67DDB" w:rsidRPr="0070080E" w:rsidRDefault="0094076D">
            <w:pPr>
              <w:pStyle w:val="Compact"/>
              <w:rPr>
                <w:sz w:val="16"/>
                <w:szCs w:val="16"/>
              </w:rPr>
            </w:pPr>
            <w:r w:rsidRPr="0070080E">
              <w:rPr>
                <w:sz w:val="16"/>
                <w:szCs w:val="16"/>
              </w:rPr>
              <w:t>Several Weeks</w:t>
            </w:r>
          </w:p>
        </w:tc>
        <w:tc>
          <w:tcPr>
            <w:tcW w:w="1323" w:type="dxa"/>
          </w:tcPr>
          <w:p w14:paraId="3CB103B6" w14:textId="77777777" w:rsidR="00F67DDB" w:rsidRPr="0070080E" w:rsidRDefault="0094076D">
            <w:pPr>
              <w:pStyle w:val="Compact"/>
              <w:rPr>
                <w:sz w:val="16"/>
                <w:szCs w:val="16"/>
              </w:rPr>
            </w:pPr>
            <w:r w:rsidRPr="0070080E">
              <w:rPr>
                <w:sz w:val="16"/>
                <w:szCs w:val="16"/>
              </w:rPr>
              <w:t>Mildly Negative</w:t>
            </w:r>
          </w:p>
        </w:tc>
      </w:tr>
      <w:tr w:rsidR="00F67DDB" w:rsidRPr="0070080E" w14:paraId="3CB103C2" w14:textId="77777777" w:rsidTr="00BD40B9">
        <w:tc>
          <w:tcPr>
            <w:tcW w:w="792" w:type="dxa"/>
          </w:tcPr>
          <w:p w14:paraId="3CB103B8" w14:textId="77777777" w:rsidR="00F67DDB" w:rsidRPr="0070080E" w:rsidRDefault="0094076D">
            <w:pPr>
              <w:pStyle w:val="Compact"/>
              <w:rPr>
                <w:sz w:val="16"/>
                <w:szCs w:val="16"/>
              </w:rPr>
            </w:pPr>
            <w:r w:rsidRPr="0070080E">
              <w:rPr>
                <w:sz w:val="16"/>
                <w:szCs w:val="16"/>
              </w:rPr>
              <w:t>B2_S03</w:t>
            </w:r>
          </w:p>
        </w:tc>
        <w:tc>
          <w:tcPr>
            <w:tcW w:w="576" w:type="dxa"/>
          </w:tcPr>
          <w:p w14:paraId="3CB103B9" w14:textId="77777777" w:rsidR="00F67DDB" w:rsidRPr="0070080E" w:rsidRDefault="0094076D">
            <w:pPr>
              <w:pStyle w:val="Compact"/>
              <w:rPr>
                <w:sz w:val="16"/>
                <w:szCs w:val="16"/>
              </w:rPr>
            </w:pPr>
            <w:r w:rsidRPr="0070080E">
              <w:rPr>
                <w:sz w:val="16"/>
                <w:szCs w:val="16"/>
              </w:rPr>
              <w:t>2</w:t>
            </w:r>
          </w:p>
        </w:tc>
        <w:tc>
          <w:tcPr>
            <w:tcW w:w="734" w:type="dxa"/>
          </w:tcPr>
          <w:p w14:paraId="3CB103BA" w14:textId="77777777" w:rsidR="00F67DDB" w:rsidRPr="0070080E" w:rsidRDefault="0094076D">
            <w:pPr>
              <w:pStyle w:val="Compact"/>
              <w:rPr>
                <w:sz w:val="16"/>
                <w:szCs w:val="16"/>
              </w:rPr>
            </w:pPr>
            <w:r w:rsidRPr="0070080E">
              <w:rPr>
                <w:sz w:val="16"/>
                <w:szCs w:val="16"/>
              </w:rPr>
              <w:t>CVX</w:t>
            </w:r>
          </w:p>
        </w:tc>
        <w:tc>
          <w:tcPr>
            <w:tcW w:w="1669" w:type="dxa"/>
          </w:tcPr>
          <w:p w14:paraId="3CB103BB" w14:textId="77777777" w:rsidR="00F67DDB" w:rsidRPr="0070080E" w:rsidRDefault="0094076D">
            <w:pPr>
              <w:pStyle w:val="Compact"/>
              <w:rPr>
                <w:sz w:val="16"/>
                <w:szCs w:val="16"/>
              </w:rPr>
            </w:pPr>
            <w:r w:rsidRPr="0070080E">
              <w:rPr>
                <w:sz w:val="16"/>
                <w:szCs w:val="16"/>
              </w:rPr>
              <w:t>Chevron Corporation</w:t>
            </w:r>
          </w:p>
        </w:tc>
        <w:tc>
          <w:tcPr>
            <w:tcW w:w="1405" w:type="dxa"/>
          </w:tcPr>
          <w:p w14:paraId="3CB103BC" w14:textId="77777777" w:rsidR="00F67DDB" w:rsidRPr="0070080E" w:rsidRDefault="0094076D">
            <w:pPr>
              <w:pStyle w:val="Compact"/>
              <w:rPr>
                <w:sz w:val="16"/>
                <w:szCs w:val="16"/>
              </w:rPr>
            </w:pPr>
            <w:r w:rsidRPr="0070080E">
              <w:rPr>
                <w:sz w:val="16"/>
                <w:szCs w:val="16"/>
              </w:rPr>
              <w:t>Energy</w:t>
            </w:r>
          </w:p>
        </w:tc>
        <w:tc>
          <w:tcPr>
            <w:tcW w:w="1143" w:type="dxa"/>
          </w:tcPr>
          <w:p w14:paraId="3CB103BD" w14:textId="77777777" w:rsidR="00F67DDB" w:rsidRPr="0070080E" w:rsidRDefault="0094076D">
            <w:pPr>
              <w:pStyle w:val="Compact"/>
              <w:rPr>
                <w:sz w:val="16"/>
                <w:szCs w:val="16"/>
              </w:rPr>
            </w:pPr>
            <w:r w:rsidRPr="0070080E">
              <w:rPr>
                <w:sz w:val="16"/>
                <w:szCs w:val="16"/>
              </w:rPr>
              <w:t>2026-01-06</w:t>
            </w:r>
          </w:p>
        </w:tc>
        <w:tc>
          <w:tcPr>
            <w:tcW w:w="1133" w:type="dxa"/>
          </w:tcPr>
          <w:p w14:paraId="3CB103BE" w14:textId="77777777" w:rsidR="00F67DDB" w:rsidRPr="0070080E" w:rsidRDefault="0094076D">
            <w:pPr>
              <w:pStyle w:val="Compact"/>
              <w:rPr>
                <w:sz w:val="16"/>
                <w:szCs w:val="16"/>
              </w:rPr>
            </w:pPr>
            <w:r w:rsidRPr="0070080E">
              <w:rPr>
                <w:sz w:val="16"/>
                <w:szCs w:val="16"/>
              </w:rPr>
              <w:t>analyst</w:t>
            </w:r>
          </w:p>
        </w:tc>
        <w:tc>
          <w:tcPr>
            <w:tcW w:w="937" w:type="dxa"/>
          </w:tcPr>
          <w:p w14:paraId="3CB103BF" w14:textId="77777777" w:rsidR="00F67DDB" w:rsidRPr="0070080E" w:rsidRDefault="0094076D">
            <w:pPr>
              <w:pStyle w:val="Compact"/>
              <w:rPr>
                <w:sz w:val="16"/>
                <w:szCs w:val="16"/>
              </w:rPr>
            </w:pPr>
            <w:r w:rsidRPr="0070080E">
              <w:rPr>
                <w:sz w:val="16"/>
                <w:szCs w:val="16"/>
              </w:rPr>
              <w:t>1.0107</w:t>
            </w:r>
          </w:p>
        </w:tc>
        <w:tc>
          <w:tcPr>
            <w:tcW w:w="937" w:type="dxa"/>
          </w:tcPr>
          <w:p w14:paraId="3CB103C0" w14:textId="77777777" w:rsidR="00F67DDB" w:rsidRPr="0070080E" w:rsidRDefault="0094076D">
            <w:pPr>
              <w:pStyle w:val="Compact"/>
              <w:rPr>
                <w:sz w:val="16"/>
                <w:szCs w:val="16"/>
              </w:rPr>
            </w:pPr>
            <w:r w:rsidRPr="0070080E">
              <w:rPr>
                <w:sz w:val="16"/>
                <w:szCs w:val="16"/>
              </w:rPr>
              <w:t>Several Weeks</w:t>
            </w:r>
          </w:p>
        </w:tc>
        <w:tc>
          <w:tcPr>
            <w:tcW w:w="1323" w:type="dxa"/>
          </w:tcPr>
          <w:p w14:paraId="3CB103C1" w14:textId="77777777" w:rsidR="00F67DDB" w:rsidRPr="0070080E" w:rsidRDefault="0094076D">
            <w:pPr>
              <w:pStyle w:val="Compact"/>
              <w:rPr>
                <w:sz w:val="16"/>
                <w:szCs w:val="16"/>
              </w:rPr>
            </w:pPr>
            <w:r w:rsidRPr="0070080E">
              <w:rPr>
                <w:sz w:val="16"/>
                <w:szCs w:val="16"/>
              </w:rPr>
              <w:t>Mildly Positive</w:t>
            </w:r>
          </w:p>
        </w:tc>
      </w:tr>
      <w:tr w:rsidR="00F67DDB" w:rsidRPr="0070080E" w14:paraId="3CB103CD" w14:textId="77777777" w:rsidTr="00BD40B9">
        <w:tc>
          <w:tcPr>
            <w:tcW w:w="792" w:type="dxa"/>
          </w:tcPr>
          <w:p w14:paraId="3CB103C3" w14:textId="77777777" w:rsidR="00F67DDB" w:rsidRPr="0070080E" w:rsidRDefault="0094076D">
            <w:pPr>
              <w:pStyle w:val="Compact"/>
              <w:rPr>
                <w:sz w:val="16"/>
                <w:szCs w:val="16"/>
              </w:rPr>
            </w:pPr>
            <w:r w:rsidRPr="0070080E">
              <w:rPr>
                <w:sz w:val="16"/>
                <w:szCs w:val="16"/>
              </w:rPr>
              <w:t>B2_S04</w:t>
            </w:r>
          </w:p>
        </w:tc>
        <w:tc>
          <w:tcPr>
            <w:tcW w:w="576" w:type="dxa"/>
          </w:tcPr>
          <w:p w14:paraId="3CB103C4" w14:textId="77777777" w:rsidR="00F67DDB" w:rsidRPr="0070080E" w:rsidRDefault="0094076D">
            <w:pPr>
              <w:pStyle w:val="Compact"/>
              <w:rPr>
                <w:sz w:val="16"/>
                <w:szCs w:val="16"/>
              </w:rPr>
            </w:pPr>
            <w:r w:rsidRPr="0070080E">
              <w:rPr>
                <w:sz w:val="16"/>
                <w:szCs w:val="16"/>
              </w:rPr>
              <w:t>2</w:t>
            </w:r>
          </w:p>
        </w:tc>
        <w:tc>
          <w:tcPr>
            <w:tcW w:w="734" w:type="dxa"/>
          </w:tcPr>
          <w:p w14:paraId="3CB103C5" w14:textId="77777777" w:rsidR="00F67DDB" w:rsidRPr="0070080E" w:rsidRDefault="0094076D">
            <w:pPr>
              <w:pStyle w:val="Compact"/>
              <w:rPr>
                <w:sz w:val="16"/>
                <w:szCs w:val="16"/>
              </w:rPr>
            </w:pPr>
            <w:r w:rsidRPr="0070080E">
              <w:rPr>
                <w:sz w:val="16"/>
                <w:szCs w:val="16"/>
              </w:rPr>
              <w:t>BAC</w:t>
            </w:r>
          </w:p>
        </w:tc>
        <w:tc>
          <w:tcPr>
            <w:tcW w:w="1669" w:type="dxa"/>
          </w:tcPr>
          <w:p w14:paraId="3CB103C6" w14:textId="77777777" w:rsidR="00F67DDB" w:rsidRPr="0070080E" w:rsidRDefault="0094076D">
            <w:pPr>
              <w:pStyle w:val="Compact"/>
              <w:rPr>
                <w:sz w:val="16"/>
                <w:szCs w:val="16"/>
              </w:rPr>
            </w:pPr>
            <w:r w:rsidRPr="0070080E">
              <w:rPr>
                <w:sz w:val="16"/>
                <w:szCs w:val="16"/>
              </w:rPr>
              <w:t>Bank of America</w:t>
            </w:r>
          </w:p>
        </w:tc>
        <w:tc>
          <w:tcPr>
            <w:tcW w:w="1405" w:type="dxa"/>
          </w:tcPr>
          <w:p w14:paraId="3CB103C7" w14:textId="77777777" w:rsidR="00F67DDB" w:rsidRPr="0070080E" w:rsidRDefault="0094076D">
            <w:pPr>
              <w:pStyle w:val="Compact"/>
              <w:rPr>
                <w:sz w:val="16"/>
                <w:szCs w:val="16"/>
              </w:rPr>
            </w:pPr>
            <w:r w:rsidRPr="0070080E">
              <w:rPr>
                <w:sz w:val="16"/>
                <w:szCs w:val="16"/>
              </w:rPr>
              <w:t>Financials</w:t>
            </w:r>
          </w:p>
        </w:tc>
        <w:tc>
          <w:tcPr>
            <w:tcW w:w="1143" w:type="dxa"/>
          </w:tcPr>
          <w:p w14:paraId="3CB103C8" w14:textId="77777777" w:rsidR="00F67DDB" w:rsidRPr="0070080E" w:rsidRDefault="0094076D">
            <w:pPr>
              <w:pStyle w:val="Compact"/>
              <w:rPr>
                <w:sz w:val="16"/>
                <w:szCs w:val="16"/>
              </w:rPr>
            </w:pPr>
            <w:r w:rsidRPr="0070080E">
              <w:rPr>
                <w:sz w:val="16"/>
                <w:szCs w:val="16"/>
              </w:rPr>
              <w:t>2025-10-14</w:t>
            </w:r>
          </w:p>
        </w:tc>
        <w:tc>
          <w:tcPr>
            <w:tcW w:w="1133" w:type="dxa"/>
          </w:tcPr>
          <w:p w14:paraId="3CB103C9" w14:textId="77777777" w:rsidR="00F67DDB" w:rsidRPr="0070080E" w:rsidRDefault="0094076D">
            <w:pPr>
              <w:pStyle w:val="Compact"/>
              <w:rPr>
                <w:sz w:val="16"/>
                <w:szCs w:val="16"/>
              </w:rPr>
            </w:pPr>
            <w:r w:rsidRPr="0070080E">
              <w:rPr>
                <w:sz w:val="16"/>
                <w:szCs w:val="16"/>
              </w:rPr>
              <w:t>earnings</w:t>
            </w:r>
          </w:p>
        </w:tc>
        <w:tc>
          <w:tcPr>
            <w:tcW w:w="937" w:type="dxa"/>
          </w:tcPr>
          <w:p w14:paraId="3CB103CA" w14:textId="77777777" w:rsidR="00F67DDB" w:rsidRPr="0070080E" w:rsidRDefault="0094076D">
            <w:pPr>
              <w:pStyle w:val="Compact"/>
              <w:rPr>
                <w:sz w:val="16"/>
                <w:szCs w:val="16"/>
              </w:rPr>
            </w:pPr>
            <w:r w:rsidRPr="0070080E">
              <w:rPr>
                <w:sz w:val="16"/>
                <w:szCs w:val="16"/>
              </w:rPr>
              <w:t>0.1932</w:t>
            </w:r>
          </w:p>
        </w:tc>
        <w:tc>
          <w:tcPr>
            <w:tcW w:w="937" w:type="dxa"/>
          </w:tcPr>
          <w:p w14:paraId="3CB103CB" w14:textId="77777777" w:rsidR="00F67DDB" w:rsidRPr="0070080E" w:rsidRDefault="0094076D">
            <w:pPr>
              <w:pStyle w:val="Compact"/>
              <w:rPr>
                <w:sz w:val="16"/>
                <w:szCs w:val="16"/>
              </w:rPr>
            </w:pPr>
            <w:r w:rsidRPr="0070080E">
              <w:rPr>
                <w:sz w:val="16"/>
                <w:szCs w:val="16"/>
              </w:rPr>
              <w:t>Several Days</w:t>
            </w:r>
          </w:p>
        </w:tc>
        <w:tc>
          <w:tcPr>
            <w:tcW w:w="1323" w:type="dxa"/>
          </w:tcPr>
          <w:p w14:paraId="3CB103CC" w14:textId="77777777" w:rsidR="00F67DDB" w:rsidRPr="0070080E" w:rsidRDefault="0094076D">
            <w:pPr>
              <w:pStyle w:val="Compact"/>
              <w:rPr>
                <w:sz w:val="16"/>
                <w:szCs w:val="16"/>
              </w:rPr>
            </w:pPr>
            <w:r w:rsidRPr="0070080E">
              <w:rPr>
                <w:sz w:val="16"/>
                <w:szCs w:val="16"/>
              </w:rPr>
              <w:t>Mildly Positive</w:t>
            </w:r>
          </w:p>
        </w:tc>
      </w:tr>
      <w:tr w:rsidR="00F67DDB" w:rsidRPr="0070080E" w14:paraId="3CB103D8" w14:textId="77777777" w:rsidTr="00BD40B9">
        <w:tc>
          <w:tcPr>
            <w:tcW w:w="792" w:type="dxa"/>
          </w:tcPr>
          <w:p w14:paraId="3CB103CE" w14:textId="77777777" w:rsidR="00F67DDB" w:rsidRPr="0070080E" w:rsidRDefault="0094076D">
            <w:pPr>
              <w:pStyle w:val="Compact"/>
              <w:rPr>
                <w:sz w:val="16"/>
                <w:szCs w:val="16"/>
              </w:rPr>
            </w:pPr>
            <w:r w:rsidRPr="0070080E">
              <w:rPr>
                <w:sz w:val="16"/>
                <w:szCs w:val="16"/>
              </w:rPr>
              <w:t>B2_S05</w:t>
            </w:r>
          </w:p>
        </w:tc>
        <w:tc>
          <w:tcPr>
            <w:tcW w:w="576" w:type="dxa"/>
          </w:tcPr>
          <w:p w14:paraId="3CB103CF" w14:textId="77777777" w:rsidR="00F67DDB" w:rsidRPr="0070080E" w:rsidRDefault="0094076D">
            <w:pPr>
              <w:pStyle w:val="Compact"/>
              <w:rPr>
                <w:sz w:val="16"/>
                <w:szCs w:val="16"/>
              </w:rPr>
            </w:pPr>
            <w:r w:rsidRPr="0070080E">
              <w:rPr>
                <w:sz w:val="16"/>
                <w:szCs w:val="16"/>
              </w:rPr>
              <w:t>2</w:t>
            </w:r>
          </w:p>
        </w:tc>
        <w:tc>
          <w:tcPr>
            <w:tcW w:w="734" w:type="dxa"/>
          </w:tcPr>
          <w:p w14:paraId="3CB103D0" w14:textId="77777777" w:rsidR="00F67DDB" w:rsidRPr="0070080E" w:rsidRDefault="0094076D">
            <w:pPr>
              <w:pStyle w:val="Compact"/>
              <w:rPr>
                <w:sz w:val="16"/>
                <w:szCs w:val="16"/>
              </w:rPr>
            </w:pPr>
            <w:r w:rsidRPr="0070080E">
              <w:rPr>
                <w:sz w:val="16"/>
                <w:szCs w:val="16"/>
              </w:rPr>
              <w:t>JNJ</w:t>
            </w:r>
          </w:p>
        </w:tc>
        <w:tc>
          <w:tcPr>
            <w:tcW w:w="1669" w:type="dxa"/>
          </w:tcPr>
          <w:p w14:paraId="3CB103D1" w14:textId="77777777" w:rsidR="00F67DDB" w:rsidRPr="0070080E" w:rsidRDefault="0094076D">
            <w:pPr>
              <w:pStyle w:val="Compact"/>
              <w:rPr>
                <w:sz w:val="16"/>
                <w:szCs w:val="16"/>
              </w:rPr>
            </w:pPr>
            <w:r w:rsidRPr="0070080E">
              <w:rPr>
                <w:sz w:val="16"/>
                <w:szCs w:val="16"/>
              </w:rPr>
              <w:t>Johnson &amp; Johnson</w:t>
            </w:r>
          </w:p>
        </w:tc>
        <w:tc>
          <w:tcPr>
            <w:tcW w:w="1405" w:type="dxa"/>
          </w:tcPr>
          <w:p w14:paraId="3CB103D2" w14:textId="77777777" w:rsidR="00F67DDB" w:rsidRPr="0070080E" w:rsidRDefault="0094076D">
            <w:pPr>
              <w:pStyle w:val="Compact"/>
              <w:rPr>
                <w:sz w:val="16"/>
                <w:szCs w:val="16"/>
              </w:rPr>
            </w:pPr>
            <w:r w:rsidRPr="0070080E">
              <w:rPr>
                <w:sz w:val="16"/>
                <w:szCs w:val="16"/>
              </w:rPr>
              <w:t>Health Care</w:t>
            </w:r>
          </w:p>
        </w:tc>
        <w:tc>
          <w:tcPr>
            <w:tcW w:w="1143" w:type="dxa"/>
          </w:tcPr>
          <w:p w14:paraId="3CB103D3" w14:textId="77777777" w:rsidR="00F67DDB" w:rsidRPr="0070080E" w:rsidRDefault="0094076D">
            <w:pPr>
              <w:pStyle w:val="Compact"/>
              <w:rPr>
                <w:sz w:val="16"/>
                <w:szCs w:val="16"/>
              </w:rPr>
            </w:pPr>
            <w:r w:rsidRPr="0070080E">
              <w:rPr>
                <w:sz w:val="16"/>
                <w:szCs w:val="16"/>
              </w:rPr>
              <w:t>2025-12-15</w:t>
            </w:r>
          </w:p>
        </w:tc>
        <w:tc>
          <w:tcPr>
            <w:tcW w:w="1133" w:type="dxa"/>
          </w:tcPr>
          <w:p w14:paraId="3CB103D4" w14:textId="77777777" w:rsidR="00F67DDB" w:rsidRPr="0070080E" w:rsidRDefault="0094076D">
            <w:pPr>
              <w:pStyle w:val="Compact"/>
              <w:rPr>
                <w:sz w:val="16"/>
                <w:szCs w:val="16"/>
              </w:rPr>
            </w:pPr>
            <w:r w:rsidRPr="0070080E">
              <w:rPr>
                <w:sz w:val="16"/>
                <w:szCs w:val="16"/>
              </w:rPr>
              <w:t>earnings</w:t>
            </w:r>
          </w:p>
        </w:tc>
        <w:tc>
          <w:tcPr>
            <w:tcW w:w="937" w:type="dxa"/>
          </w:tcPr>
          <w:p w14:paraId="3CB103D5" w14:textId="77777777" w:rsidR="00F67DDB" w:rsidRPr="0070080E" w:rsidRDefault="0094076D">
            <w:pPr>
              <w:pStyle w:val="Compact"/>
              <w:rPr>
                <w:sz w:val="16"/>
                <w:szCs w:val="16"/>
              </w:rPr>
            </w:pPr>
            <w:r w:rsidRPr="0070080E">
              <w:rPr>
                <w:sz w:val="16"/>
                <w:szCs w:val="16"/>
              </w:rPr>
              <w:t>-0.9613</w:t>
            </w:r>
          </w:p>
        </w:tc>
        <w:tc>
          <w:tcPr>
            <w:tcW w:w="937" w:type="dxa"/>
          </w:tcPr>
          <w:p w14:paraId="3CB103D6" w14:textId="77777777" w:rsidR="00F67DDB" w:rsidRPr="0070080E" w:rsidRDefault="0094076D">
            <w:pPr>
              <w:pStyle w:val="Compact"/>
              <w:rPr>
                <w:sz w:val="16"/>
                <w:szCs w:val="16"/>
              </w:rPr>
            </w:pPr>
            <w:r w:rsidRPr="0070080E">
              <w:rPr>
                <w:sz w:val="16"/>
                <w:szCs w:val="16"/>
              </w:rPr>
              <w:t>Several Weeks</w:t>
            </w:r>
          </w:p>
        </w:tc>
        <w:tc>
          <w:tcPr>
            <w:tcW w:w="1323" w:type="dxa"/>
          </w:tcPr>
          <w:p w14:paraId="3CB103D7" w14:textId="77777777" w:rsidR="00F67DDB" w:rsidRPr="0070080E" w:rsidRDefault="0094076D">
            <w:pPr>
              <w:pStyle w:val="Compact"/>
              <w:rPr>
                <w:sz w:val="16"/>
                <w:szCs w:val="16"/>
              </w:rPr>
            </w:pPr>
            <w:r w:rsidRPr="0070080E">
              <w:rPr>
                <w:sz w:val="16"/>
                <w:szCs w:val="16"/>
              </w:rPr>
              <w:t>Mildly Positive</w:t>
            </w:r>
          </w:p>
        </w:tc>
      </w:tr>
      <w:tr w:rsidR="00F67DDB" w:rsidRPr="0070080E" w14:paraId="3CB103E3" w14:textId="77777777" w:rsidTr="00BD40B9">
        <w:tc>
          <w:tcPr>
            <w:tcW w:w="792" w:type="dxa"/>
          </w:tcPr>
          <w:p w14:paraId="3CB103D9" w14:textId="77777777" w:rsidR="00F67DDB" w:rsidRPr="0070080E" w:rsidRDefault="0094076D">
            <w:pPr>
              <w:pStyle w:val="Compact"/>
              <w:rPr>
                <w:sz w:val="16"/>
                <w:szCs w:val="16"/>
              </w:rPr>
            </w:pPr>
            <w:r w:rsidRPr="0070080E">
              <w:rPr>
                <w:sz w:val="16"/>
                <w:szCs w:val="16"/>
              </w:rPr>
              <w:t>B2_S06</w:t>
            </w:r>
          </w:p>
        </w:tc>
        <w:tc>
          <w:tcPr>
            <w:tcW w:w="576" w:type="dxa"/>
          </w:tcPr>
          <w:p w14:paraId="3CB103DA" w14:textId="77777777" w:rsidR="00F67DDB" w:rsidRPr="0070080E" w:rsidRDefault="0094076D">
            <w:pPr>
              <w:pStyle w:val="Compact"/>
              <w:rPr>
                <w:sz w:val="16"/>
                <w:szCs w:val="16"/>
              </w:rPr>
            </w:pPr>
            <w:r w:rsidRPr="0070080E">
              <w:rPr>
                <w:sz w:val="16"/>
                <w:szCs w:val="16"/>
              </w:rPr>
              <w:t>2</w:t>
            </w:r>
          </w:p>
        </w:tc>
        <w:tc>
          <w:tcPr>
            <w:tcW w:w="734" w:type="dxa"/>
          </w:tcPr>
          <w:p w14:paraId="3CB103DB" w14:textId="77777777" w:rsidR="00F67DDB" w:rsidRPr="0070080E" w:rsidRDefault="0094076D">
            <w:pPr>
              <w:pStyle w:val="Compact"/>
              <w:rPr>
                <w:sz w:val="16"/>
                <w:szCs w:val="16"/>
              </w:rPr>
            </w:pPr>
            <w:r w:rsidRPr="0070080E">
              <w:rPr>
                <w:sz w:val="16"/>
                <w:szCs w:val="16"/>
              </w:rPr>
              <w:t>KO</w:t>
            </w:r>
          </w:p>
        </w:tc>
        <w:tc>
          <w:tcPr>
            <w:tcW w:w="1669" w:type="dxa"/>
          </w:tcPr>
          <w:p w14:paraId="3CB103DC" w14:textId="77777777" w:rsidR="00F67DDB" w:rsidRPr="0070080E" w:rsidRDefault="0094076D">
            <w:pPr>
              <w:pStyle w:val="Compact"/>
              <w:rPr>
                <w:sz w:val="16"/>
                <w:szCs w:val="16"/>
              </w:rPr>
            </w:pPr>
            <w:r w:rsidRPr="0070080E">
              <w:rPr>
                <w:sz w:val="16"/>
                <w:szCs w:val="16"/>
              </w:rPr>
              <w:t>Coca-Cola Company</w:t>
            </w:r>
          </w:p>
        </w:tc>
        <w:tc>
          <w:tcPr>
            <w:tcW w:w="1405" w:type="dxa"/>
          </w:tcPr>
          <w:p w14:paraId="3CB103DD" w14:textId="77777777" w:rsidR="00F67DDB" w:rsidRPr="0070080E" w:rsidRDefault="0094076D">
            <w:pPr>
              <w:pStyle w:val="Compact"/>
              <w:rPr>
                <w:sz w:val="16"/>
                <w:szCs w:val="16"/>
              </w:rPr>
            </w:pPr>
            <w:r w:rsidRPr="0070080E">
              <w:rPr>
                <w:sz w:val="16"/>
                <w:szCs w:val="16"/>
              </w:rPr>
              <w:t>Consumer Staples</w:t>
            </w:r>
          </w:p>
        </w:tc>
        <w:tc>
          <w:tcPr>
            <w:tcW w:w="1143" w:type="dxa"/>
          </w:tcPr>
          <w:p w14:paraId="3CB103DE" w14:textId="77777777" w:rsidR="00F67DDB" w:rsidRPr="0070080E" w:rsidRDefault="0094076D">
            <w:pPr>
              <w:pStyle w:val="Compact"/>
              <w:rPr>
                <w:sz w:val="16"/>
                <w:szCs w:val="16"/>
              </w:rPr>
            </w:pPr>
            <w:r w:rsidRPr="0070080E">
              <w:rPr>
                <w:sz w:val="16"/>
                <w:szCs w:val="16"/>
              </w:rPr>
              <w:t>2025-05-05</w:t>
            </w:r>
          </w:p>
        </w:tc>
        <w:tc>
          <w:tcPr>
            <w:tcW w:w="1133" w:type="dxa"/>
          </w:tcPr>
          <w:p w14:paraId="3CB103DF" w14:textId="77777777" w:rsidR="00F67DDB" w:rsidRPr="0070080E" w:rsidRDefault="0094076D">
            <w:pPr>
              <w:pStyle w:val="Compact"/>
              <w:rPr>
                <w:sz w:val="16"/>
                <w:szCs w:val="16"/>
              </w:rPr>
            </w:pPr>
            <w:r w:rsidRPr="0070080E">
              <w:rPr>
                <w:sz w:val="16"/>
                <w:szCs w:val="16"/>
              </w:rPr>
              <w:t>management</w:t>
            </w:r>
          </w:p>
        </w:tc>
        <w:tc>
          <w:tcPr>
            <w:tcW w:w="937" w:type="dxa"/>
          </w:tcPr>
          <w:p w14:paraId="3CB103E0" w14:textId="77777777" w:rsidR="00F67DDB" w:rsidRPr="0070080E" w:rsidRDefault="0094076D">
            <w:pPr>
              <w:pStyle w:val="Compact"/>
              <w:rPr>
                <w:sz w:val="16"/>
                <w:szCs w:val="16"/>
              </w:rPr>
            </w:pPr>
            <w:r w:rsidRPr="0070080E">
              <w:rPr>
                <w:sz w:val="16"/>
                <w:szCs w:val="16"/>
              </w:rPr>
              <w:t>-2.1832</w:t>
            </w:r>
          </w:p>
        </w:tc>
        <w:tc>
          <w:tcPr>
            <w:tcW w:w="937" w:type="dxa"/>
          </w:tcPr>
          <w:p w14:paraId="3CB103E1" w14:textId="77777777" w:rsidR="00F67DDB" w:rsidRPr="0070080E" w:rsidRDefault="0094076D">
            <w:pPr>
              <w:pStyle w:val="Compact"/>
              <w:rPr>
                <w:sz w:val="16"/>
                <w:szCs w:val="16"/>
              </w:rPr>
            </w:pPr>
            <w:r w:rsidRPr="0070080E">
              <w:rPr>
                <w:sz w:val="16"/>
                <w:szCs w:val="16"/>
              </w:rPr>
              <w:t>Several Weeks</w:t>
            </w:r>
          </w:p>
        </w:tc>
        <w:tc>
          <w:tcPr>
            <w:tcW w:w="1323" w:type="dxa"/>
          </w:tcPr>
          <w:p w14:paraId="3CB103E2" w14:textId="77777777" w:rsidR="00F67DDB" w:rsidRPr="0070080E" w:rsidRDefault="0094076D">
            <w:pPr>
              <w:pStyle w:val="Compact"/>
              <w:rPr>
                <w:sz w:val="16"/>
                <w:szCs w:val="16"/>
              </w:rPr>
            </w:pPr>
            <w:r w:rsidRPr="0070080E">
              <w:rPr>
                <w:sz w:val="16"/>
                <w:szCs w:val="16"/>
              </w:rPr>
              <w:t>Neutral</w:t>
            </w:r>
          </w:p>
        </w:tc>
      </w:tr>
      <w:tr w:rsidR="00F67DDB" w:rsidRPr="0070080E" w14:paraId="3CB103EE" w14:textId="77777777" w:rsidTr="00BD40B9">
        <w:tc>
          <w:tcPr>
            <w:tcW w:w="792" w:type="dxa"/>
          </w:tcPr>
          <w:p w14:paraId="3CB103E4" w14:textId="77777777" w:rsidR="00F67DDB" w:rsidRPr="0070080E" w:rsidRDefault="0094076D">
            <w:pPr>
              <w:pStyle w:val="Compact"/>
              <w:rPr>
                <w:sz w:val="16"/>
                <w:szCs w:val="16"/>
              </w:rPr>
            </w:pPr>
            <w:r w:rsidRPr="0070080E">
              <w:rPr>
                <w:sz w:val="16"/>
                <w:szCs w:val="16"/>
              </w:rPr>
              <w:t>B2_S07</w:t>
            </w:r>
          </w:p>
        </w:tc>
        <w:tc>
          <w:tcPr>
            <w:tcW w:w="576" w:type="dxa"/>
          </w:tcPr>
          <w:p w14:paraId="3CB103E5" w14:textId="77777777" w:rsidR="00F67DDB" w:rsidRPr="0070080E" w:rsidRDefault="0094076D">
            <w:pPr>
              <w:pStyle w:val="Compact"/>
              <w:rPr>
                <w:sz w:val="16"/>
                <w:szCs w:val="16"/>
              </w:rPr>
            </w:pPr>
            <w:r w:rsidRPr="0070080E">
              <w:rPr>
                <w:sz w:val="16"/>
                <w:szCs w:val="16"/>
              </w:rPr>
              <w:t>2</w:t>
            </w:r>
          </w:p>
        </w:tc>
        <w:tc>
          <w:tcPr>
            <w:tcW w:w="734" w:type="dxa"/>
          </w:tcPr>
          <w:p w14:paraId="3CB103E6" w14:textId="77777777" w:rsidR="00F67DDB" w:rsidRPr="0070080E" w:rsidRDefault="0094076D">
            <w:pPr>
              <w:pStyle w:val="Compact"/>
              <w:rPr>
                <w:sz w:val="16"/>
                <w:szCs w:val="16"/>
              </w:rPr>
            </w:pPr>
            <w:r w:rsidRPr="0070080E">
              <w:rPr>
                <w:sz w:val="16"/>
                <w:szCs w:val="16"/>
              </w:rPr>
              <w:t>CAT</w:t>
            </w:r>
          </w:p>
        </w:tc>
        <w:tc>
          <w:tcPr>
            <w:tcW w:w="1669" w:type="dxa"/>
          </w:tcPr>
          <w:p w14:paraId="3CB103E7" w14:textId="77777777" w:rsidR="00F67DDB" w:rsidRPr="0070080E" w:rsidRDefault="0094076D">
            <w:pPr>
              <w:pStyle w:val="Compact"/>
              <w:rPr>
                <w:sz w:val="16"/>
                <w:szCs w:val="16"/>
              </w:rPr>
            </w:pPr>
            <w:r w:rsidRPr="0070080E">
              <w:rPr>
                <w:sz w:val="16"/>
                <w:szCs w:val="16"/>
              </w:rPr>
              <w:t>Caterpillar Inc.</w:t>
            </w:r>
          </w:p>
        </w:tc>
        <w:tc>
          <w:tcPr>
            <w:tcW w:w="1405" w:type="dxa"/>
          </w:tcPr>
          <w:p w14:paraId="3CB103E8" w14:textId="77777777" w:rsidR="00F67DDB" w:rsidRPr="0070080E" w:rsidRDefault="0094076D">
            <w:pPr>
              <w:pStyle w:val="Compact"/>
              <w:rPr>
                <w:sz w:val="16"/>
                <w:szCs w:val="16"/>
              </w:rPr>
            </w:pPr>
            <w:r w:rsidRPr="0070080E">
              <w:rPr>
                <w:sz w:val="16"/>
                <w:szCs w:val="16"/>
              </w:rPr>
              <w:t>Industrials</w:t>
            </w:r>
          </w:p>
        </w:tc>
        <w:tc>
          <w:tcPr>
            <w:tcW w:w="1143" w:type="dxa"/>
          </w:tcPr>
          <w:p w14:paraId="3CB103E9" w14:textId="77777777" w:rsidR="00F67DDB" w:rsidRPr="0070080E" w:rsidRDefault="0094076D">
            <w:pPr>
              <w:pStyle w:val="Compact"/>
              <w:rPr>
                <w:sz w:val="16"/>
                <w:szCs w:val="16"/>
              </w:rPr>
            </w:pPr>
            <w:r w:rsidRPr="0070080E">
              <w:rPr>
                <w:sz w:val="16"/>
                <w:szCs w:val="16"/>
              </w:rPr>
              <w:t>2025-10-29</w:t>
            </w:r>
          </w:p>
        </w:tc>
        <w:tc>
          <w:tcPr>
            <w:tcW w:w="1133" w:type="dxa"/>
          </w:tcPr>
          <w:p w14:paraId="3CB103EA" w14:textId="77777777" w:rsidR="00F67DDB" w:rsidRPr="0070080E" w:rsidRDefault="0094076D">
            <w:pPr>
              <w:pStyle w:val="Compact"/>
              <w:rPr>
                <w:sz w:val="16"/>
                <w:szCs w:val="16"/>
              </w:rPr>
            </w:pPr>
            <w:r w:rsidRPr="0070080E">
              <w:rPr>
                <w:sz w:val="16"/>
                <w:szCs w:val="16"/>
              </w:rPr>
              <w:t>earnings</w:t>
            </w:r>
          </w:p>
        </w:tc>
        <w:tc>
          <w:tcPr>
            <w:tcW w:w="937" w:type="dxa"/>
          </w:tcPr>
          <w:p w14:paraId="3CB103EB" w14:textId="77777777" w:rsidR="00F67DDB" w:rsidRPr="0070080E" w:rsidRDefault="0094076D">
            <w:pPr>
              <w:pStyle w:val="Compact"/>
              <w:rPr>
                <w:sz w:val="16"/>
                <w:szCs w:val="16"/>
              </w:rPr>
            </w:pPr>
            <w:r w:rsidRPr="0070080E">
              <w:rPr>
                <w:sz w:val="16"/>
                <w:szCs w:val="16"/>
              </w:rPr>
              <w:t>1.2337</w:t>
            </w:r>
          </w:p>
        </w:tc>
        <w:tc>
          <w:tcPr>
            <w:tcW w:w="937" w:type="dxa"/>
          </w:tcPr>
          <w:p w14:paraId="3CB103EC" w14:textId="77777777" w:rsidR="00F67DDB" w:rsidRPr="0070080E" w:rsidRDefault="0094076D">
            <w:pPr>
              <w:pStyle w:val="Compact"/>
              <w:rPr>
                <w:sz w:val="16"/>
                <w:szCs w:val="16"/>
              </w:rPr>
            </w:pPr>
            <w:r w:rsidRPr="0070080E">
              <w:rPr>
                <w:sz w:val="16"/>
                <w:szCs w:val="16"/>
              </w:rPr>
              <w:t>Several Weeks</w:t>
            </w:r>
          </w:p>
        </w:tc>
        <w:tc>
          <w:tcPr>
            <w:tcW w:w="1323" w:type="dxa"/>
          </w:tcPr>
          <w:p w14:paraId="3CB103ED" w14:textId="77777777" w:rsidR="00F67DDB" w:rsidRPr="0070080E" w:rsidRDefault="0094076D">
            <w:pPr>
              <w:pStyle w:val="Compact"/>
              <w:rPr>
                <w:sz w:val="16"/>
                <w:szCs w:val="16"/>
              </w:rPr>
            </w:pPr>
            <w:r w:rsidRPr="0070080E">
              <w:rPr>
                <w:sz w:val="16"/>
                <w:szCs w:val="16"/>
              </w:rPr>
              <w:t>Mildly Positive</w:t>
            </w:r>
          </w:p>
        </w:tc>
      </w:tr>
      <w:tr w:rsidR="00F67DDB" w:rsidRPr="0070080E" w14:paraId="3CB103F9" w14:textId="77777777" w:rsidTr="00BD40B9">
        <w:tc>
          <w:tcPr>
            <w:tcW w:w="792" w:type="dxa"/>
          </w:tcPr>
          <w:p w14:paraId="3CB103EF" w14:textId="77777777" w:rsidR="00F67DDB" w:rsidRPr="0070080E" w:rsidRDefault="0094076D">
            <w:pPr>
              <w:pStyle w:val="Compact"/>
              <w:rPr>
                <w:sz w:val="16"/>
                <w:szCs w:val="16"/>
              </w:rPr>
            </w:pPr>
            <w:r w:rsidRPr="0070080E">
              <w:rPr>
                <w:sz w:val="16"/>
                <w:szCs w:val="16"/>
              </w:rPr>
              <w:t>B2_S08</w:t>
            </w:r>
          </w:p>
        </w:tc>
        <w:tc>
          <w:tcPr>
            <w:tcW w:w="576" w:type="dxa"/>
          </w:tcPr>
          <w:p w14:paraId="3CB103F0" w14:textId="77777777" w:rsidR="00F67DDB" w:rsidRPr="0070080E" w:rsidRDefault="0094076D">
            <w:pPr>
              <w:pStyle w:val="Compact"/>
              <w:rPr>
                <w:sz w:val="16"/>
                <w:szCs w:val="16"/>
              </w:rPr>
            </w:pPr>
            <w:r w:rsidRPr="0070080E">
              <w:rPr>
                <w:sz w:val="16"/>
                <w:szCs w:val="16"/>
              </w:rPr>
              <w:t>2</w:t>
            </w:r>
          </w:p>
        </w:tc>
        <w:tc>
          <w:tcPr>
            <w:tcW w:w="734" w:type="dxa"/>
          </w:tcPr>
          <w:p w14:paraId="3CB103F1" w14:textId="77777777" w:rsidR="00F67DDB" w:rsidRPr="0070080E" w:rsidRDefault="0094076D">
            <w:pPr>
              <w:pStyle w:val="Compact"/>
              <w:rPr>
                <w:sz w:val="16"/>
                <w:szCs w:val="16"/>
              </w:rPr>
            </w:pPr>
            <w:r w:rsidRPr="0070080E">
              <w:rPr>
                <w:sz w:val="16"/>
                <w:szCs w:val="16"/>
              </w:rPr>
              <w:t>WMT</w:t>
            </w:r>
          </w:p>
        </w:tc>
        <w:tc>
          <w:tcPr>
            <w:tcW w:w="1669" w:type="dxa"/>
          </w:tcPr>
          <w:p w14:paraId="3CB103F2" w14:textId="77777777" w:rsidR="00F67DDB" w:rsidRPr="0070080E" w:rsidRDefault="0094076D">
            <w:pPr>
              <w:pStyle w:val="Compact"/>
              <w:rPr>
                <w:sz w:val="16"/>
                <w:szCs w:val="16"/>
              </w:rPr>
            </w:pPr>
            <w:r w:rsidRPr="0070080E">
              <w:rPr>
                <w:sz w:val="16"/>
                <w:szCs w:val="16"/>
              </w:rPr>
              <w:t>Walmart</w:t>
            </w:r>
          </w:p>
        </w:tc>
        <w:tc>
          <w:tcPr>
            <w:tcW w:w="1405" w:type="dxa"/>
          </w:tcPr>
          <w:p w14:paraId="3CB103F3" w14:textId="77777777" w:rsidR="00F67DDB" w:rsidRPr="0070080E" w:rsidRDefault="0094076D">
            <w:pPr>
              <w:pStyle w:val="Compact"/>
              <w:rPr>
                <w:sz w:val="16"/>
                <w:szCs w:val="16"/>
              </w:rPr>
            </w:pPr>
            <w:r w:rsidRPr="0070080E">
              <w:rPr>
                <w:sz w:val="16"/>
                <w:szCs w:val="16"/>
              </w:rPr>
              <w:t>Consumer Staples</w:t>
            </w:r>
          </w:p>
        </w:tc>
        <w:tc>
          <w:tcPr>
            <w:tcW w:w="1143" w:type="dxa"/>
          </w:tcPr>
          <w:p w14:paraId="3CB103F4" w14:textId="77777777" w:rsidR="00F67DDB" w:rsidRPr="0070080E" w:rsidRDefault="0094076D">
            <w:pPr>
              <w:pStyle w:val="Compact"/>
              <w:rPr>
                <w:sz w:val="16"/>
                <w:szCs w:val="16"/>
              </w:rPr>
            </w:pPr>
            <w:r w:rsidRPr="0070080E">
              <w:rPr>
                <w:sz w:val="16"/>
                <w:szCs w:val="16"/>
              </w:rPr>
              <w:t>2026-01-16</w:t>
            </w:r>
          </w:p>
        </w:tc>
        <w:tc>
          <w:tcPr>
            <w:tcW w:w="1133" w:type="dxa"/>
          </w:tcPr>
          <w:p w14:paraId="3CB103F5" w14:textId="77777777" w:rsidR="00F67DDB" w:rsidRPr="0070080E" w:rsidRDefault="0094076D">
            <w:pPr>
              <w:pStyle w:val="Compact"/>
              <w:rPr>
                <w:sz w:val="16"/>
                <w:szCs w:val="16"/>
              </w:rPr>
            </w:pPr>
            <w:r w:rsidRPr="0070080E">
              <w:rPr>
                <w:sz w:val="16"/>
                <w:szCs w:val="16"/>
              </w:rPr>
              <w:t>analyst</w:t>
            </w:r>
          </w:p>
        </w:tc>
        <w:tc>
          <w:tcPr>
            <w:tcW w:w="937" w:type="dxa"/>
          </w:tcPr>
          <w:p w14:paraId="3CB103F6" w14:textId="77777777" w:rsidR="00F67DDB" w:rsidRPr="0070080E" w:rsidRDefault="0094076D">
            <w:pPr>
              <w:pStyle w:val="Compact"/>
              <w:rPr>
                <w:sz w:val="16"/>
                <w:szCs w:val="16"/>
              </w:rPr>
            </w:pPr>
            <w:r w:rsidRPr="0070080E">
              <w:rPr>
                <w:sz w:val="16"/>
                <w:szCs w:val="16"/>
              </w:rPr>
              <w:t>-0.2541</w:t>
            </w:r>
          </w:p>
        </w:tc>
        <w:tc>
          <w:tcPr>
            <w:tcW w:w="937" w:type="dxa"/>
          </w:tcPr>
          <w:p w14:paraId="3CB103F7" w14:textId="77777777" w:rsidR="00F67DDB" w:rsidRPr="0070080E" w:rsidRDefault="0094076D">
            <w:pPr>
              <w:pStyle w:val="Compact"/>
              <w:rPr>
                <w:sz w:val="16"/>
                <w:szCs w:val="16"/>
              </w:rPr>
            </w:pPr>
            <w:r w:rsidRPr="0070080E">
              <w:rPr>
                <w:sz w:val="16"/>
                <w:szCs w:val="16"/>
              </w:rPr>
              <w:t>Several Weeks</w:t>
            </w:r>
          </w:p>
        </w:tc>
        <w:tc>
          <w:tcPr>
            <w:tcW w:w="1323" w:type="dxa"/>
          </w:tcPr>
          <w:p w14:paraId="3CB103F8" w14:textId="77777777" w:rsidR="00F67DDB" w:rsidRPr="0070080E" w:rsidRDefault="0094076D">
            <w:pPr>
              <w:pStyle w:val="Compact"/>
              <w:rPr>
                <w:sz w:val="16"/>
                <w:szCs w:val="16"/>
              </w:rPr>
            </w:pPr>
            <w:r w:rsidRPr="0070080E">
              <w:rPr>
                <w:sz w:val="16"/>
                <w:szCs w:val="16"/>
              </w:rPr>
              <w:t>Neutral</w:t>
            </w:r>
          </w:p>
        </w:tc>
      </w:tr>
      <w:tr w:rsidR="00F67DDB" w:rsidRPr="0070080E" w14:paraId="3CB10404" w14:textId="77777777" w:rsidTr="00BD40B9">
        <w:tc>
          <w:tcPr>
            <w:tcW w:w="792" w:type="dxa"/>
          </w:tcPr>
          <w:p w14:paraId="3CB103FA" w14:textId="77777777" w:rsidR="00F67DDB" w:rsidRPr="0070080E" w:rsidRDefault="0094076D">
            <w:pPr>
              <w:pStyle w:val="Compact"/>
              <w:rPr>
                <w:sz w:val="16"/>
                <w:szCs w:val="16"/>
              </w:rPr>
            </w:pPr>
            <w:r w:rsidRPr="0070080E">
              <w:rPr>
                <w:sz w:val="16"/>
                <w:szCs w:val="16"/>
              </w:rPr>
              <w:t>B3_S01</w:t>
            </w:r>
          </w:p>
        </w:tc>
        <w:tc>
          <w:tcPr>
            <w:tcW w:w="576" w:type="dxa"/>
          </w:tcPr>
          <w:p w14:paraId="3CB103FB" w14:textId="77777777" w:rsidR="00F67DDB" w:rsidRPr="0070080E" w:rsidRDefault="0094076D">
            <w:pPr>
              <w:pStyle w:val="Compact"/>
              <w:rPr>
                <w:sz w:val="16"/>
                <w:szCs w:val="16"/>
              </w:rPr>
            </w:pPr>
            <w:r w:rsidRPr="0070080E">
              <w:rPr>
                <w:sz w:val="16"/>
                <w:szCs w:val="16"/>
              </w:rPr>
              <w:t>3</w:t>
            </w:r>
          </w:p>
        </w:tc>
        <w:tc>
          <w:tcPr>
            <w:tcW w:w="734" w:type="dxa"/>
          </w:tcPr>
          <w:p w14:paraId="3CB103FC" w14:textId="77777777" w:rsidR="00F67DDB" w:rsidRPr="0070080E" w:rsidRDefault="0094076D">
            <w:pPr>
              <w:pStyle w:val="Compact"/>
              <w:rPr>
                <w:sz w:val="16"/>
                <w:szCs w:val="16"/>
              </w:rPr>
            </w:pPr>
            <w:r w:rsidRPr="0070080E">
              <w:rPr>
                <w:sz w:val="16"/>
                <w:szCs w:val="16"/>
              </w:rPr>
              <w:t>ORCL</w:t>
            </w:r>
          </w:p>
        </w:tc>
        <w:tc>
          <w:tcPr>
            <w:tcW w:w="1669" w:type="dxa"/>
          </w:tcPr>
          <w:p w14:paraId="3CB103FD" w14:textId="77777777" w:rsidR="00F67DDB" w:rsidRPr="0070080E" w:rsidRDefault="0094076D">
            <w:pPr>
              <w:pStyle w:val="Compact"/>
              <w:rPr>
                <w:sz w:val="16"/>
                <w:szCs w:val="16"/>
              </w:rPr>
            </w:pPr>
            <w:r w:rsidRPr="0070080E">
              <w:rPr>
                <w:sz w:val="16"/>
                <w:szCs w:val="16"/>
              </w:rPr>
              <w:t>Oracle Corporation</w:t>
            </w:r>
          </w:p>
        </w:tc>
        <w:tc>
          <w:tcPr>
            <w:tcW w:w="1405" w:type="dxa"/>
          </w:tcPr>
          <w:p w14:paraId="3CB103FE" w14:textId="77777777" w:rsidR="00F67DDB" w:rsidRPr="0070080E" w:rsidRDefault="0094076D">
            <w:pPr>
              <w:pStyle w:val="Compact"/>
              <w:rPr>
                <w:sz w:val="16"/>
                <w:szCs w:val="16"/>
              </w:rPr>
            </w:pPr>
            <w:r w:rsidRPr="0070080E">
              <w:rPr>
                <w:sz w:val="16"/>
                <w:szCs w:val="16"/>
              </w:rPr>
              <w:t>Information Technology</w:t>
            </w:r>
          </w:p>
        </w:tc>
        <w:tc>
          <w:tcPr>
            <w:tcW w:w="1143" w:type="dxa"/>
          </w:tcPr>
          <w:p w14:paraId="3CB103FF" w14:textId="77777777" w:rsidR="00F67DDB" w:rsidRPr="0070080E" w:rsidRDefault="0094076D">
            <w:pPr>
              <w:pStyle w:val="Compact"/>
              <w:rPr>
                <w:sz w:val="16"/>
                <w:szCs w:val="16"/>
              </w:rPr>
            </w:pPr>
            <w:r w:rsidRPr="0070080E">
              <w:rPr>
                <w:sz w:val="16"/>
                <w:szCs w:val="16"/>
              </w:rPr>
              <w:t>2026-02-11</w:t>
            </w:r>
          </w:p>
        </w:tc>
        <w:tc>
          <w:tcPr>
            <w:tcW w:w="1133" w:type="dxa"/>
          </w:tcPr>
          <w:p w14:paraId="3CB10400" w14:textId="77777777" w:rsidR="00F67DDB" w:rsidRPr="0070080E" w:rsidRDefault="0094076D">
            <w:pPr>
              <w:pStyle w:val="Compact"/>
              <w:rPr>
                <w:sz w:val="16"/>
                <w:szCs w:val="16"/>
              </w:rPr>
            </w:pPr>
            <w:r w:rsidRPr="0070080E">
              <w:rPr>
                <w:sz w:val="16"/>
                <w:szCs w:val="16"/>
              </w:rPr>
              <w:t>analyst</w:t>
            </w:r>
          </w:p>
        </w:tc>
        <w:tc>
          <w:tcPr>
            <w:tcW w:w="937" w:type="dxa"/>
          </w:tcPr>
          <w:p w14:paraId="3CB10401" w14:textId="77777777" w:rsidR="00F67DDB" w:rsidRPr="0070080E" w:rsidRDefault="0094076D">
            <w:pPr>
              <w:pStyle w:val="Compact"/>
              <w:rPr>
                <w:sz w:val="16"/>
                <w:szCs w:val="16"/>
              </w:rPr>
            </w:pPr>
            <w:r w:rsidRPr="0070080E">
              <w:rPr>
                <w:sz w:val="16"/>
                <w:szCs w:val="16"/>
              </w:rPr>
              <w:t>-0.6654</w:t>
            </w:r>
          </w:p>
        </w:tc>
        <w:tc>
          <w:tcPr>
            <w:tcW w:w="937" w:type="dxa"/>
          </w:tcPr>
          <w:p w14:paraId="3CB10402" w14:textId="77777777" w:rsidR="00F67DDB" w:rsidRPr="0070080E" w:rsidRDefault="0094076D">
            <w:pPr>
              <w:pStyle w:val="Compact"/>
              <w:rPr>
                <w:sz w:val="16"/>
                <w:szCs w:val="16"/>
              </w:rPr>
            </w:pPr>
            <w:r w:rsidRPr="0070080E">
              <w:rPr>
                <w:sz w:val="16"/>
                <w:szCs w:val="16"/>
              </w:rPr>
              <w:t>Several Days</w:t>
            </w:r>
          </w:p>
        </w:tc>
        <w:tc>
          <w:tcPr>
            <w:tcW w:w="1323" w:type="dxa"/>
          </w:tcPr>
          <w:p w14:paraId="3CB10403" w14:textId="77777777" w:rsidR="00F67DDB" w:rsidRPr="0070080E" w:rsidRDefault="0094076D">
            <w:pPr>
              <w:pStyle w:val="Compact"/>
              <w:rPr>
                <w:sz w:val="16"/>
                <w:szCs w:val="16"/>
              </w:rPr>
            </w:pPr>
            <w:r w:rsidRPr="0070080E">
              <w:rPr>
                <w:sz w:val="16"/>
                <w:szCs w:val="16"/>
              </w:rPr>
              <w:t>Mildly Negative</w:t>
            </w:r>
          </w:p>
        </w:tc>
      </w:tr>
      <w:tr w:rsidR="00F67DDB" w:rsidRPr="0070080E" w14:paraId="3CB1040F" w14:textId="77777777" w:rsidTr="00BD40B9">
        <w:tc>
          <w:tcPr>
            <w:tcW w:w="792" w:type="dxa"/>
          </w:tcPr>
          <w:p w14:paraId="3CB10405" w14:textId="77777777" w:rsidR="00F67DDB" w:rsidRPr="0070080E" w:rsidRDefault="0094076D">
            <w:pPr>
              <w:pStyle w:val="Compact"/>
              <w:rPr>
                <w:sz w:val="16"/>
                <w:szCs w:val="16"/>
              </w:rPr>
            </w:pPr>
            <w:r w:rsidRPr="0070080E">
              <w:rPr>
                <w:sz w:val="16"/>
                <w:szCs w:val="16"/>
              </w:rPr>
              <w:t>B3_S02</w:t>
            </w:r>
          </w:p>
        </w:tc>
        <w:tc>
          <w:tcPr>
            <w:tcW w:w="576" w:type="dxa"/>
          </w:tcPr>
          <w:p w14:paraId="3CB10406" w14:textId="77777777" w:rsidR="00F67DDB" w:rsidRPr="0070080E" w:rsidRDefault="0094076D">
            <w:pPr>
              <w:pStyle w:val="Compact"/>
              <w:rPr>
                <w:sz w:val="16"/>
                <w:szCs w:val="16"/>
              </w:rPr>
            </w:pPr>
            <w:r w:rsidRPr="0070080E">
              <w:rPr>
                <w:sz w:val="16"/>
                <w:szCs w:val="16"/>
              </w:rPr>
              <w:t>3</w:t>
            </w:r>
          </w:p>
        </w:tc>
        <w:tc>
          <w:tcPr>
            <w:tcW w:w="734" w:type="dxa"/>
          </w:tcPr>
          <w:p w14:paraId="3CB10407" w14:textId="77777777" w:rsidR="00F67DDB" w:rsidRPr="0070080E" w:rsidRDefault="0094076D">
            <w:pPr>
              <w:pStyle w:val="Compact"/>
              <w:rPr>
                <w:sz w:val="16"/>
                <w:szCs w:val="16"/>
              </w:rPr>
            </w:pPr>
            <w:r w:rsidRPr="0070080E">
              <w:rPr>
                <w:sz w:val="16"/>
                <w:szCs w:val="16"/>
              </w:rPr>
              <w:t>PG</w:t>
            </w:r>
          </w:p>
        </w:tc>
        <w:tc>
          <w:tcPr>
            <w:tcW w:w="1669" w:type="dxa"/>
          </w:tcPr>
          <w:p w14:paraId="3CB10408" w14:textId="77777777" w:rsidR="00F67DDB" w:rsidRPr="0070080E" w:rsidRDefault="0094076D">
            <w:pPr>
              <w:pStyle w:val="Compact"/>
              <w:rPr>
                <w:sz w:val="16"/>
                <w:szCs w:val="16"/>
              </w:rPr>
            </w:pPr>
            <w:r w:rsidRPr="0070080E">
              <w:rPr>
                <w:sz w:val="16"/>
                <w:szCs w:val="16"/>
              </w:rPr>
              <w:t>Procter &amp; Gamble</w:t>
            </w:r>
          </w:p>
        </w:tc>
        <w:tc>
          <w:tcPr>
            <w:tcW w:w="1405" w:type="dxa"/>
          </w:tcPr>
          <w:p w14:paraId="3CB10409" w14:textId="77777777" w:rsidR="00F67DDB" w:rsidRPr="0070080E" w:rsidRDefault="0094076D">
            <w:pPr>
              <w:pStyle w:val="Compact"/>
              <w:rPr>
                <w:sz w:val="16"/>
                <w:szCs w:val="16"/>
              </w:rPr>
            </w:pPr>
            <w:r w:rsidRPr="0070080E">
              <w:rPr>
                <w:sz w:val="16"/>
                <w:szCs w:val="16"/>
              </w:rPr>
              <w:t>Consumer Staples</w:t>
            </w:r>
          </w:p>
        </w:tc>
        <w:tc>
          <w:tcPr>
            <w:tcW w:w="1143" w:type="dxa"/>
          </w:tcPr>
          <w:p w14:paraId="3CB1040A" w14:textId="77777777" w:rsidR="00F67DDB" w:rsidRPr="0070080E" w:rsidRDefault="0094076D">
            <w:pPr>
              <w:pStyle w:val="Compact"/>
              <w:rPr>
                <w:sz w:val="16"/>
                <w:szCs w:val="16"/>
              </w:rPr>
            </w:pPr>
            <w:r w:rsidRPr="0070080E">
              <w:rPr>
                <w:sz w:val="16"/>
                <w:szCs w:val="16"/>
              </w:rPr>
              <w:t>2025-03-04</w:t>
            </w:r>
          </w:p>
        </w:tc>
        <w:tc>
          <w:tcPr>
            <w:tcW w:w="1133" w:type="dxa"/>
          </w:tcPr>
          <w:p w14:paraId="3CB1040B" w14:textId="77777777" w:rsidR="00F67DDB" w:rsidRPr="0070080E" w:rsidRDefault="0094076D">
            <w:pPr>
              <w:pStyle w:val="Compact"/>
              <w:rPr>
                <w:sz w:val="16"/>
                <w:szCs w:val="16"/>
              </w:rPr>
            </w:pPr>
            <w:r w:rsidRPr="0070080E">
              <w:rPr>
                <w:sz w:val="16"/>
                <w:szCs w:val="16"/>
              </w:rPr>
              <w:t>analyst</w:t>
            </w:r>
          </w:p>
        </w:tc>
        <w:tc>
          <w:tcPr>
            <w:tcW w:w="937" w:type="dxa"/>
          </w:tcPr>
          <w:p w14:paraId="3CB1040C" w14:textId="77777777" w:rsidR="00F67DDB" w:rsidRPr="0070080E" w:rsidRDefault="0094076D">
            <w:pPr>
              <w:pStyle w:val="Compact"/>
              <w:rPr>
                <w:sz w:val="16"/>
                <w:szCs w:val="16"/>
              </w:rPr>
            </w:pPr>
            <w:r w:rsidRPr="0070080E">
              <w:rPr>
                <w:sz w:val="16"/>
                <w:szCs w:val="16"/>
              </w:rPr>
              <w:t>-0.252</w:t>
            </w:r>
          </w:p>
        </w:tc>
        <w:tc>
          <w:tcPr>
            <w:tcW w:w="937" w:type="dxa"/>
          </w:tcPr>
          <w:p w14:paraId="3CB1040D" w14:textId="77777777" w:rsidR="00F67DDB" w:rsidRPr="0070080E" w:rsidRDefault="0094076D">
            <w:pPr>
              <w:pStyle w:val="Compact"/>
              <w:rPr>
                <w:sz w:val="16"/>
                <w:szCs w:val="16"/>
              </w:rPr>
            </w:pPr>
            <w:r w:rsidRPr="0070080E">
              <w:rPr>
                <w:sz w:val="16"/>
                <w:szCs w:val="16"/>
              </w:rPr>
              <w:t>Several Weeks</w:t>
            </w:r>
          </w:p>
        </w:tc>
        <w:tc>
          <w:tcPr>
            <w:tcW w:w="1323" w:type="dxa"/>
          </w:tcPr>
          <w:p w14:paraId="3CB1040E" w14:textId="77777777" w:rsidR="00F67DDB" w:rsidRPr="0070080E" w:rsidRDefault="0094076D">
            <w:pPr>
              <w:pStyle w:val="Compact"/>
              <w:rPr>
                <w:sz w:val="16"/>
                <w:szCs w:val="16"/>
              </w:rPr>
            </w:pPr>
            <w:r w:rsidRPr="0070080E">
              <w:rPr>
                <w:sz w:val="16"/>
                <w:szCs w:val="16"/>
              </w:rPr>
              <w:t>Negative</w:t>
            </w:r>
          </w:p>
        </w:tc>
      </w:tr>
      <w:tr w:rsidR="00F67DDB" w:rsidRPr="0070080E" w14:paraId="3CB1041A" w14:textId="77777777" w:rsidTr="00BD40B9">
        <w:tc>
          <w:tcPr>
            <w:tcW w:w="792" w:type="dxa"/>
          </w:tcPr>
          <w:p w14:paraId="3CB10410" w14:textId="77777777" w:rsidR="00F67DDB" w:rsidRPr="0070080E" w:rsidRDefault="0094076D">
            <w:pPr>
              <w:pStyle w:val="Compact"/>
              <w:rPr>
                <w:sz w:val="16"/>
                <w:szCs w:val="16"/>
              </w:rPr>
            </w:pPr>
            <w:r w:rsidRPr="0070080E">
              <w:rPr>
                <w:sz w:val="16"/>
                <w:szCs w:val="16"/>
              </w:rPr>
              <w:t>B3_S03</w:t>
            </w:r>
          </w:p>
        </w:tc>
        <w:tc>
          <w:tcPr>
            <w:tcW w:w="576" w:type="dxa"/>
          </w:tcPr>
          <w:p w14:paraId="3CB10411" w14:textId="77777777" w:rsidR="00F67DDB" w:rsidRPr="0070080E" w:rsidRDefault="0094076D">
            <w:pPr>
              <w:pStyle w:val="Compact"/>
              <w:rPr>
                <w:sz w:val="16"/>
                <w:szCs w:val="16"/>
              </w:rPr>
            </w:pPr>
            <w:r w:rsidRPr="0070080E">
              <w:rPr>
                <w:sz w:val="16"/>
                <w:szCs w:val="16"/>
              </w:rPr>
              <w:t>3</w:t>
            </w:r>
          </w:p>
        </w:tc>
        <w:tc>
          <w:tcPr>
            <w:tcW w:w="734" w:type="dxa"/>
          </w:tcPr>
          <w:p w14:paraId="3CB10412" w14:textId="77777777" w:rsidR="00F67DDB" w:rsidRPr="0070080E" w:rsidRDefault="0094076D">
            <w:pPr>
              <w:pStyle w:val="Compact"/>
              <w:rPr>
                <w:sz w:val="16"/>
                <w:szCs w:val="16"/>
              </w:rPr>
            </w:pPr>
            <w:r w:rsidRPr="0070080E">
              <w:rPr>
                <w:sz w:val="16"/>
                <w:szCs w:val="16"/>
              </w:rPr>
              <w:t>AMT</w:t>
            </w:r>
          </w:p>
        </w:tc>
        <w:tc>
          <w:tcPr>
            <w:tcW w:w="1669" w:type="dxa"/>
          </w:tcPr>
          <w:p w14:paraId="3CB10413" w14:textId="77777777" w:rsidR="00F67DDB" w:rsidRPr="0070080E" w:rsidRDefault="0094076D">
            <w:pPr>
              <w:pStyle w:val="Compact"/>
              <w:rPr>
                <w:sz w:val="16"/>
                <w:szCs w:val="16"/>
              </w:rPr>
            </w:pPr>
            <w:r w:rsidRPr="0070080E">
              <w:rPr>
                <w:sz w:val="16"/>
                <w:szCs w:val="16"/>
              </w:rPr>
              <w:t>American Tower Corp.</w:t>
            </w:r>
          </w:p>
        </w:tc>
        <w:tc>
          <w:tcPr>
            <w:tcW w:w="1405" w:type="dxa"/>
          </w:tcPr>
          <w:p w14:paraId="3CB10414" w14:textId="77777777" w:rsidR="00F67DDB" w:rsidRPr="0070080E" w:rsidRDefault="0094076D">
            <w:pPr>
              <w:pStyle w:val="Compact"/>
              <w:rPr>
                <w:sz w:val="16"/>
                <w:szCs w:val="16"/>
              </w:rPr>
            </w:pPr>
            <w:r w:rsidRPr="0070080E">
              <w:rPr>
                <w:sz w:val="16"/>
                <w:szCs w:val="16"/>
              </w:rPr>
              <w:t>Real Estate</w:t>
            </w:r>
          </w:p>
        </w:tc>
        <w:tc>
          <w:tcPr>
            <w:tcW w:w="1143" w:type="dxa"/>
          </w:tcPr>
          <w:p w14:paraId="3CB10415" w14:textId="77777777" w:rsidR="00F67DDB" w:rsidRPr="0070080E" w:rsidRDefault="0094076D">
            <w:pPr>
              <w:pStyle w:val="Compact"/>
              <w:rPr>
                <w:sz w:val="16"/>
                <w:szCs w:val="16"/>
              </w:rPr>
            </w:pPr>
            <w:r w:rsidRPr="0070080E">
              <w:rPr>
                <w:sz w:val="16"/>
                <w:szCs w:val="16"/>
              </w:rPr>
              <w:t>2025-04-04</w:t>
            </w:r>
          </w:p>
        </w:tc>
        <w:tc>
          <w:tcPr>
            <w:tcW w:w="1133" w:type="dxa"/>
          </w:tcPr>
          <w:p w14:paraId="3CB10416" w14:textId="77777777" w:rsidR="00F67DDB" w:rsidRPr="0070080E" w:rsidRDefault="0094076D">
            <w:pPr>
              <w:pStyle w:val="Compact"/>
              <w:rPr>
                <w:sz w:val="16"/>
                <w:szCs w:val="16"/>
              </w:rPr>
            </w:pPr>
            <w:r w:rsidRPr="0070080E">
              <w:rPr>
                <w:sz w:val="16"/>
                <w:szCs w:val="16"/>
              </w:rPr>
              <w:t>earnings</w:t>
            </w:r>
          </w:p>
        </w:tc>
        <w:tc>
          <w:tcPr>
            <w:tcW w:w="937" w:type="dxa"/>
          </w:tcPr>
          <w:p w14:paraId="3CB10417" w14:textId="77777777" w:rsidR="00F67DDB" w:rsidRPr="0070080E" w:rsidRDefault="0094076D">
            <w:pPr>
              <w:pStyle w:val="Compact"/>
              <w:rPr>
                <w:sz w:val="16"/>
                <w:szCs w:val="16"/>
              </w:rPr>
            </w:pPr>
            <w:r w:rsidRPr="0070080E">
              <w:rPr>
                <w:sz w:val="16"/>
                <w:szCs w:val="16"/>
              </w:rPr>
              <w:t>0.2608</w:t>
            </w:r>
          </w:p>
        </w:tc>
        <w:tc>
          <w:tcPr>
            <w:tcW w:w="937" w:type="dxa"/>
          </w:tcPr>
          <w:p w14:paraId="3CB10418" w14:textId="77777777" w:rsidR="00F67DDB" w:rsidRPr="0070080E" w:rsidRDefault="0094076D">
            <w:pPr>
              <w:pStyle w:val="Compact"/>
              <w:rPr>
                <w:sz w:val="16"/>
                <w:szCs w:val="16"/>
              </w:rPr>
            </w:pPr>
            <w:r w:rsidRPr="0070080E">
              <w:rPr>
                <w:sz w:val="16"/>
                <w:szCs w:val="16"/>
              </w:rPr>
              <w:t>Several Weeks</w:t>
            </w:r>
          </w:p>
        </w:tc>
        <w:tc>
          <w:tcPr>
            <w:tcW w:w="1323" w:type="dxa"/>
          </w:tcPr>
          <w:p w14:paraId="3CB10419" w14:textId="77777777" w:rsidR="00F67DDB" w:rsidRPr="0070080E" w:rsidRDefault="0094076D">
            <w:pPr>
              <w:pStyle w:val="Compact"/>
              <w:rPr>
                <w:sz w:val="16"/>
                <w:szCs w:val="16"/>
              </w:rPr>
            </w:pPr>
            <w:r w:rsidRPr="0070080E">
              <w:rPr>
                <w:sz w:val="16"/>
                <w:szCs w:val="16"/>
              </w:rPr>
              <w:t>Strongly Positive</w:t>
            </w:r>
          </w:p>
        </w:tc>
      </w:tr>
      <w:tr w:rsidR="00F67DDB" w:rsidRPr="0070080E" w14:paraId="3CB10425" w14:textId="77777777" w:rsidTr="00BD40B9">
        <w:tc>
          <w:tcPr>
            <w:tcW w:w="792" w:type="dxa"/>
          </w:tcPr>
          <w:p w14:paraId="3CB1041B" w14:textId="77777777" w:rsidR="00F67DDB" w:rsidRPr="0070080E" w:rsidRDefault="0094076D">
            <w:pPr>
              <w:pStyle w:val="Compact"/>
              <w:rPr>
                <w:sz w:val="16"/>
                <w:szCs w:val="16"/>
              </w:rPr>
            </w:pPr>
            <w:r w:rsidRPr="0070080E">
              <w:rPr>
                <w:sz w:val="16"/>
                <w:szCs w:val="16"/>
              </w:rPr>
              <w:t>B3_S04</w:t>
            </w:r>
          </w:p>
        </w:tc>
        <w:tc>
          <w:tcPr>
            <w:tcW w:w="576" w:type="dxa"/>
          </w:tcPr>
          <w:p w14:paraId="3CB1041C" w14:textId="77777777" w:rsidR="00F67DDB" w:rsidRPr="0070080E" w:rsidRDefault="0094076D">
            <w:pPr>
              <w:pStyle w:val="Compact"/>
              <w:rPr>
                <w:sz w:val="16"/>
                <w:szCs w:val="16"/>
              </w:rPr>
            </w:pPr>
            <w:r w:rsidRPr="0070080E">
              <w:rPr>
                <w:sz w:val="16"/>
                <w:szCs w:val="16"/>
              </w:rPr>
              <w:t>3</w:t>
            </w:r>
          </w:p>
        </w:tc>
        <w:tc>
          <w:tcPr>
            <w:tcW w:w="734" w:type="dxa"/>
          </w:tcPr>
          <w:p w14:paraId="3CB1041D" w14:textId="77777777" w:rsidR="00F67DDB" w:rsidRPr="0070080E" w:rsidRDefault="0094076D">
            <w:pPr>
              <w:pStyle w:val="Compact"/>
              <w:rPr>
                <w:sz w:val="16"/>
                <w:szCs w:val="16"/>
              </w:rPr>
            </w:pPr>
            <w:r w:rsidRPr="0070080E">
              <w:rPr>
                <w:sz w:val="16"/>
                <w:szCs w:val="16"/>
              </w:rPr>
              <w:t>NFLX</w:t>
            </w:r>
          </w:p>
        </w:tc>
        <w:tc>
          <w:tcPr>
            <w:tcW w:w="1669" w:type="dxa"/>
          </w:tcPr>
          <w:p w14:paraId="3CB1041E" w14:textId="77777777" w:rsidR="00F67DDB" w:rsidRPr="0070080E" w:rsidRDefault="0094076D">
            <w:pPr>
              <w:pStyle w:val="Compact"/>
              <w:rPr>
                <w:sz w:val="16"/>
                <w:szCs w:val="16"/>
              </w:rPr>
            </w:pPr>
            <w:r w:rsidRPr="0070080E">
              <w:rPr>
                <w:sz w:val="16"/>
                <w:szCs w:val="16"/>
              </w:rPr>
              <w:t>Netflix</w:t>
            </w:r>
          </w:p>
        </w:tc>
        <w:tc>
          <w:tcPr>
            <w:tcW w:w="1405" w:type="dxa"/>
          </w:tcPr>
          <w:p w14:paraId="3CB1041F" w14:textId="77777777" w:rsidR="00F67DDB" w:rsidRPr="0070080E" w:rsidRDefault="0094076D">
            <w:pPr>
              <w:pStyle w:val="Compact"/>
              <w:rPr>
                <w:sz w:val="16"/>
                <w:szCs w:val="16"/>
              </w:rPr>
            </w:pPr>
            <w:r w:rsidRPr="0070080E">
              <w:rPr>
                <w:sz w:val="16"/>
                <w:szCs w:val="16"/>
              </w:rPr>
              <w:t>Communication Services</w:t>
            </w:r>
          </w:p>
        </w:tc>
        <w:tc>
          <w:tcPr>
            <w:tcW w:w="1143" w:type="dxa"/>
          </w:tcPr>
          <w:p w14:paraId="3CB10420" w14:textId="77777777" w:rsidR="00F67DDB" w:rsidRPr="0070080E" w:rsidRDefault="0094076D">
            <w:pPr>
              <w:pStyle w:val="Compact"/>
              <w:rPr>
                <w:sz w:val="16"/>
                <w:szCs w:val="16"/>
              </w:rPr>
            </w:pPr>
            <w:r w:rsidRPr="0070080E">
              <w:rPr>
                <w:sz w:val="16"/>
                <w:szCs w:val="16"/>
              </w:rPr>
              <w:t>2026-02-04</w:t>
            </w:r>
          </w:p>
        </w:tc>
        <w:tc>
          <w:tcPr>
            <w:tcW w:w="1133" w:type="dxa"/>
          </w:tcPr>
          <w:p w14:paraId="3CB10421" w14:textId="77777777" w:rsidR="00F67DDB" w:rsidRPr="0070080E" w:rsidRDefault="0094076D">
            <w:pPr>
              <w:pStyle w:val="Compact"/>
              <w:rPr>
                <w:sz w:val="16"/>
                <w:szCs w:val="16"/>
              </w:rPr>
            </w:pPr>
            <w:r w:rsidRPr="0070080E">
              <w:rPr>
                <w:sz w:val="16"/>
                <w:szCs w:val="16"/>
              </w:rPr>
              <w:t>management</w:t>
            </w:r>
          </w:p>
        </w:tc>
        <w:tc>
          <w:tcPr>
            <w:tcW w:w="937" w:type="dxa"/>
          </w:tcPr>
          <w:p w14:paraId="3CB10422" w14:textId="77777777" w:rsidR="00F67DDB" w:rsidRPr="0070080E" w:rsidRDefault="0094076D">
            <w:pPr>
              <w:pStyle w:val="Compact"/>
              <w:rPr>
                <w:sz w:val="16"/>
                <w:szCs w:val="16"/>
              </w:rPr>
            </w:pPr>
            <w:r w:rsidRPr="0070080E">
              <w:rPr>
                <w:sz w:val="16"/>
                <w:szCs w:val="16"/>
              </w:rPr>
              <w:t>-1.2902</w:t>
            </w:r>
          </w:p>
        </w:tc>
        <w:tc>
          <w:tcPr>
            <w:tcW w:w="937" w:type="dxa"/>
          </w:tcPr>
          <w:p w14:paraId="3CB10423" w14:textId="77777777" w:rsidR="00F67DDB" w:rsidRPr="0070080E" w:rsidRDefault="0094076D">
            <w:pPr>
              <w:pStyle w:val="Compact"/>
              <w:rPr>
                <w:sz w:val="16"/>
                <w:szCs w:val="16"/>
              </w:rPr>
            </w:pPr>
            <w:r w:rsidRPr="0070080E">
              <w:rPr>
                <w:sz w:val="16"/>
                <w:szCs w:val="16"/>
              </w:rPr>
              <w:t>Several Weeks</w:t>
            </w:r>
          </w:p>
        </w:tc>
        <w:tc>
          <w:tcPr>
            <w:tcW w:w="1323" w:type="dxa"/>
          </w:tcPr>
          <w:p w14:paraId="3CB10424" w14:textId="77777777" w:rsidR="00F67DDB" w:rsidRPr="0070080E" w:rsidRDefault="0094076D">
            <w:pPr>
              <w:pStyle w:val="Compact"/>
              <w:rPr>
                <w:sz w:val="16"/>
                <w:szCs w:val="16"/>
              </w:rPr>
            </w:pPr>
            <w:r w:rsidRPr="0070080E">
              <w:rPr>
                <w:sz w:val="16"/>
                <w:szCs w:val="16"/>
              </w:rPr>
              <w:t>Mildly Positive</w:t>
            </w:r>
          </w:p>
        </w:tc>
      </w:tr>
      <w:tr w:rsidR="00F67DDB" w:rsidRPr="0070080E" w14:paraId="3CB10430" w14:textId="77777777" w:rsidTr="00BD40B9">
        <w:tc>
          <w:tcPr>
            <w:tcW w:w="792" w:type="dxa"/>
          </w:tcPr>
          <w:p w14:paraId="3CB10426" w14:textId="77777777" w:rsidR="00F67DDB" w:rsidRPr="0070080E" w:rsidRDefault="0094076D">
            <w:pPr>
              <w:pStyle w:val="Compact"/>
              <w:rPr>
                <w:sz w:val="16"/>
                <w:szCs w:val="16"/>
              </w:rPr>
            </w:pPr>
            <w:r w:rsidRPr="0070080E">
              <w:rPr>
                <w:sz w:val="16"/>
                <w:szCs w:val="16"/>
              </w:rPr>
              <w:t>B3_S05</w:t>
            </w:r>
          </w:p>
        </w:tc>
        <w:tc>
          <w:tcPr>
            <w:tcW w:w="576" w:type="dxa"/>
          </w:tcPr>
          <w:p w14:paraId="3CB10427" w14:textId="77777777" w:rsidR="00F67DDB" w:rsidRPr="0070080E" w:rsidRDefault="0094076D">
            <w:pPr>
              <w:pStyle w:val="Compact"/>
              <w:rPr>
                <w:sz w:val="16"/>
                <w:szCs w:val="16"/>
              </w:rPr>
            </w:pPr>
            <w:r w:rsidRPr="0070080E">
              <w:rPr>
                <w:sz w:val="16"/>
                <w:szCs w:val="16"/>
              </w:rPr>
              <w:t>3</w:t>
            </w:r>
          </w:p>
        </w:tc>
        <w:tc>
          <w:tcPr>
            <w:tcW w:w="734" w:type="dxa"/>
          </w:tcPr>
          <w:p w14:paraId="3CB10428" w14:textId="77777777" w:rsidR="00F67DDB" w:rsidRPr="0070080E" w:rsidRDefault="0094076D">
            <w:pPr>
              <w:pStyle w:val="Compact"/>
              <w:rPr>
                <w:sz w:val="16"/>
                <w:szCs w:val="16"/>
              </w:rPr>
            </w:pPr>
            <w:r w:rsidRPr="0070080E">
              <w:rPr>
                <w:sz w:val="16"/>
                <w:szCs w:val="16"/>
              </w:rPr>
              <w:t>PLD</w:t>
            </w:r>
          </w:p>
        </w:tc>
        <w:tc>
          <w:tcPr>
            <w:tcW w:w="1669" w:type="dxa"/>
          </w:tcPr>
          <w:p w14:paraId="3CB10429" w14:textId="77777777" w:rsidR="00F67DDB" w:rsidRPr="0070080E" w:rsidRDefault="0094076D">
            <w:pPr>
              <w:pStyle w:val="Compact"/>
              <w:rPr>
                <w:sz w:val="16"/>
                <w:szCs w:val="16"/>
              </w:rPr>
            </w:pPr>
            <w:r w:rsidRPr="0070080E">
              <w:rPr>
                <w:sz w:val="16"/>
                <w:szCs w:val="16"/>
              </w:rPr>
              <w:t>Prologis</w:t>
            </w:r>
          </w:p>
        </w:tc>
        <w:tc>
          <w:tcPr>
            <w:tcW w:w="1405" w:type="dxa"/>
          </w:tcPr>
          <w:p w14:paraId="3CB1042A" w14:textId="77777777" w:rsidR="00F67DDB" w:rsidRPr="0070080E" w:rsidRDefault="0094076D">
            <w:pPr>
              <w:pStyle w:val="Compact"/>
              <w:rPr>
                <w:sz w:val="16"/>
                <w:szCs w:val="16"/>
              </w:rPr>
            </w:pPr>
            <w:r w:rsidRPr="0070080E">
              <w:rPr>
                <w:sz w:val="16"/>
                <w:szCs w:val="16"/>
              </w:rPr>
              <w:t>Real Estate</w:t>
            </w:r>
          </w:p>
        </w:tc>
        <w:tc>
          <w:tcPr>
            <w:tcW w:w="1143" w:type="dxa"/>
          </w:tcPr>
          <w:p w14:paraId="3CB1042B" w14:textId="77777777" w:rsidR="00F67DDB" w:rsidRPr="0070080E" w:rsidRDefault="0094076D">
            <w:pPr>
              <w:pStyle w:val="Compact"/>
              <w:rPr>
                <w:sz w:val="16"/>
                <w:szCs w:val="16"/>
              </w:rPr>
            </w:pPr>
            <w:r w:rsidRPr="0070080E">
              <w:rPr>
                <w:sz w:val="16"/>
                <w:szCs w:val="16"/>
              </w:rPr>
              <w:t>2025-03-13</w:t>
            </w:r>
          </w:p>
        </w:tc>
        <w:tc>
          <w:tcPr>
            <w:tcW w:w="1133" w:type="dxa"/>
          </w:tcPr>
          <w:p w14:paraId="3CB1042C" w14:textId="77777777" w:rsidR="00F67DDB" w:rsidRPr="0070080E" w:rsidRDefault="0094076D">
            <w:pPr>
              <w:pStyle w:val="Compact"/>
              <w:rPr>
                <w:sz w:val="16"/>
                <w:szCs w:val="16"/>
              </w:rPr>
            </w:pPr>
            <w:r w:rsidRPr="0070080E">
              <w:rPr>
                <w:sz w:val="16"/>
                <w:szCs w:val="16"/>
              </w:rPr>
              <w:t>management</w:t>
            </w:r>
          </w:p>
        </w:tc>
        <w:tc>
          <w:tcPr>
            <w:tcW w:w="937" w:type="dxa"/>
          </w:tcPr>
          <w:p w14:paraId="3CB1042D" w14:textId="77777777" w:rsidR="00F67DDB" w:rsidRPr="0070080E" w:rsidRDefault="0094076D">
            <w:pPr>
              <w:pStyle w:val="Compact"/>
              <w:rPr>
                <w:sz w:val="16"/>
                <w:szCs w:val="16"/>
              </w:rPr>
            </w:pPr>
            <w:r w:rsidRPr="0070080E">
              <w:rPr>
                <w:sz w:val="16"/>
                <w:szCs w:val="16"/>
              </w:rPr>
              <w:t>-1.1107</w:t>
            </w:r>
          </w:p>
        </w:tc>
        <w:tc>
          <w:tcPr>
            <w:tcW w:w="937" w:type="dxa"/>
          </w:tcPr>
          <w:p w14:paraId="3CB1042E" w14:textId="77777777" w:rsidR="00F67DDB" w:rsidRPr="0070080E" w:rsidRDefault="0094076D">
            <w:pPr>
              <w:pStyle w:val="Compact"/>
              <w:rPr>
                <w:sz w:val="16"/>
                <w:szCs w:val="16"/>
              </w:rPr>
            </w:pPr>
            <w:r w:rsidRPr="0070080E">
              <w:rPr>
                <w:sz w:val="16"/>
                <w:szCs w:val="16"/>
              </w:rPr>
              <w:t>Several Weeks</w:t>
            </w:r>
          </w:p>
        </w:tc>
        <w:tc>
          <w:tcPr>
            <w:tcW w:w="1323" w:type="dxa"/>
          </w:tcPr>
          <w:p w14:paraId="3CB1042F" w14:textId="77777777" w:rsidR="00F67DDB" w:rsidRPr="0070080E" w:rsidRDefault="0094076D">
            <w:pPr>
              <w:pStyle w:val="Compact"/>
              <w:rPr>
                <w:sz w:val="16"/>
                <w:szCs w:val="16"/>
              </w:rPr>
            </w:pPr>
            <w:r w:rsidRPr="0070080E">
              <w:rPr>
                <w:sz w:val="16"/>
                <w:szCs w:val="16"/>
              </w:rPr>
              <w:t>Strongly Negative</w:t>
            </w:r>
          </w:p>
        </w:tc>
      </w:tr>
      <w:tr w:rsidR="00F67DDB" w:rsidRPr="0070080E" w14:paraId="3CB1043B" w14:textId="77777777" w:rsidTr="00BD40B9">
        <w:tc>
          <w:tcPr>
            <w:tcW w:w="792" w:type="dxa"/>
          </w:tcPr>
          <w:p w14:paraId="3CB10431" w14:textId="77777777" w:rsidR="00F67DDB" w:rsidRPr="0070080E" w:rsidRDefault="0094076D">
            <w:pPr>
              <w:pStyle w:val="Compact"/>
              <w:rPr>
                <w:sz w:val="16"/>
                <w:szCs w:val="16"/>
              </w:rPr>
            </w:pPr>
            <w:r w:rsidRPr="0070080E">
              <w:rPr>
                <w:sz w:val="16"/>
                <w:szCs w:val="16"/>
              </w:rPr>
              <w:t>B3_S06</w:t>
            </w:r>
          </w:p>
        </w:tc>
        <w:tc>
          <w:tcPr>
            <w:tcW w:w="576" w:type="dxa"/>
          </w:tcPr>
          <w:p w14:paraId="3CB10432" w14:textId="77777777" w:rsidR="00F67DDB" w:rsidRPr="0070080E" w:rsidRDefault="0094076D">
            <w:pPr>
              <w:pStyle w:val="Compact"/>
              <w:rPr>
                <w:sz w:val="16"/>
                <w:szCs w:val="16"/>
              </w:rPr>
            </w:pPr>
            <w:r w:rsidRPr="0070080E">
              <w:rPr>
                <w:sz w:val="16"/>
                <w:szCs w:val="16"/>
              </w:rPr>
              <w:t>3</w:t>
            </w:r>
          </w:p>
        </w:tc>
        <w:tc>
          <w:tcPr>
            <w:tcW w:w="734" w:type="dxa"/>
          </w:tcPr>
          <w:p w14:paraId="3CB10433" w14:textId="77777777" w:rsidR="00F67DDB" w:rsidRPr="0070080E" w:rsidRDefault="0094076D">
            <w:pPr>
              <w:pStyle w:val="Compact"/>
              <w:rPr>
                <w:sz w:val="16"/>
                <w:szCs w:val="16"/>
              </w:rPr>
            </w:pPr>
            <w:r w:rsidRPr="0070080E">
              <w:rPr>
                <w:sz w:val="16"/>
                <w:szCs w:val="16"/>
              </w:rPr>
              <w:t>PFE</w:t>
            </w:r>
          </w:p>
        </w:tc>
        <w:tc>
          <w:tcPr>
            <w:tcW w:w="1669" w:type="dxa"/>
          </w:tcPr>
          <w:p w14:paraId="3CB10434" w14:textId="77777777" w:rsidR="00F67DDB" w:rsidRPr="0070080E" w:rsidRDefault="0094076D">
            <w:pPr>
              <w:pStyle w:val="Compact"/>
              <w:rPr>
                <w:sz w:val="16"/>
                <w:szCs w:val="16"/>
              </w:rPr>
            </w:pPr>
            <w:r w:rsidRPr="0070080E">
              <w:rPr>
                <w:sz w:val="16"/>
                <w:szCs w:val="16"/>
              </w:rPr>
              <w:t>Pfizer Inc.</w:t>
            </w:r>
          </w:p>
        </w:tc>
        <w:tc>
          <w:tcPr>
            <w:tcW w:w="1405" w:type="dxa"/>
          </w:tcPr>
          <w:p w14:paraId="3CB10435" w14:textId="77777777" w:rsidR="00F67DDB" w:rsidRPr="0070080E" w:rsidRDefault="0094076D">
            <w:pPr>
              <w:pStyle w:val="Compact"/>
              <w:rPr>
                <w:sz w:val="16"/>
                <w:szCs w:val="16"/>
              </w:rPr>
            </w:pPr>
            <w:r w:rsidRPr="0070080E">
              <w:rPr>
                <w:sz w:val="16"/>
                <w:szCs w:val="16"/>
              </w:rPr>
              <w:t>Health Care</w:t>
            </w:r>
          </w:p>
        </w:tc>
        <w:tc>
          <w:tcPr>
            <w:tcW w:w="1143" w:type="dxa"/>
          </w:tcPr>
          <w:p w14:paraId="3CB10436" w14:textId="77777777" w:rsidR="00F67DDB" w:rsidRPr="0070080E" w:rsidRDefault="0094076D">
            <w:pPr>
              <w:pStyle w:val="Compact"/>
              <w:rPr>
                <w:sz w:val="16"/>
                <w:szCs w:val="16"/>
              </w:rPr>
            </w:pPr>
            <w:r w:rsidRPr="0070080E">
              <w:rPr>
                <w:sz w:val="16"/>
                <w:szCs w:val="16"/>
              </w:rPr>
              <w:t>2025-10-01</w:t>
            </w:r>
          </w:p>
        </w:tc>
        <w:tc>
          <w:tcPr>
            <w:tcW w:w="1133" w:type="dxa"/>
          </w:tcPr>
          <w:p w14:paraId="3CB10437" w14:textId="77777777" w:rsidR="00F67DDB" w:rsidRPr="0070080E" w:rsidRDefault="0094076D">
            <w:pPr>
              <w:pStyle w:val="Compact"/>
              <w:rPr>
                <w:sz w:val="16"/>
                <w:szCs w:val="16"/>
              </w:rPr>
            </w:pPr>
            <w:r w:rsidRPr="0070080E">
              <w:rPr>
                <w:sz w:val="16"/>
                <w:szCs w:val="16"/>
              </w:rPr>
              <w:t>earnings</w:t>
            </w:r>
          </w:p>
        </w:tc>
        <w:tc>
          <w:tcPr>
            <w:tcW w:w="937" w:type="dxa"/>
          </w:tcPr>
          <w:p w14:paraId="3CB10438" w14:textId="77777777" w:rsidR="00F67DDB" w:rsidRPr="0070080E" w:rsidRDefault="0094076D">
            <w:pPr>
              <w:pStyle w:val="Compact"/>
              <w:rPr>
                <w:sz w:val="16"/>
                <w:szCs w:val="16"/>
              </w:rPr>
            </w:pPr>
            <w:r w:rsidRPr="0070080E">
              <w:rPr>
                <w:sz w:val="16"/>
                <w:szCs w:val="16"/>
              </w:rPr>
              <w:t>1.3808</w:t>
            </w:r>
          </w:p>
        </w:tc>
        <w:tc>
          <w:tcPr>
            <w:tcW w:w="937" w:type="dxa"/>
          </w:tcPr>
          <w:p w14:paraId="3CB10439" w14:textId="77777777" w:rsidR="00F67DDB" w:rsidRPr="0070080E" w:rsidRDefault="0094076D">
            <w:pPr>
              <w:pStyle w:val="Compact"/>
              <w:rPr>
                <w:sz w:val="16"/>
                <w:szCs w:val="16"/>
              </w:rPr>
            </w:pPr>
            <w:r w:rsidRPr="0070080E">
              <w:rPr>
                <w:sz w:val="16"/>
                <w:szCs w:val="16"/>
              </w:rPr>
              <w:t>Several Weeks</w:t>
            </w:r>
          </w:p>
        </w:tc>
        <w:tc>
          <w:tcPr>
            <w:tcW w:w="1323" w:type="dxa"/>
          </w:tcPr>
          <w:p w14:paraId="3CB1043A" w14:textId="77777777" w:rsidR="00F67DDB" w:rsidRPr="0070080E" w:rsidRDefault="0094076D">
            <w:pPr>
              <w:pStyle w:val="Compact"/>
              <w:rPr>
                <w:sz w:val="16"/>
                <w:szCs w:val="16"/>
              </w:rPr>
            </w:pPr>
            <w:r w:rsidRPr="0070080E">
              <w:rPr>
                <w:sz w:val="16"/>
                <w:szCs w:val="16"/>
              </w:rPr>
              <w:t>Positive</w:t>
            </w:r>
          </w:p>
        </w:tc>
      </w:tr>
      <w:tr w:rsidR="00F67DDB" w:rsidRPr="0070080E" w14:paraId="3CB10446" w14:textId="77777777" w:rsidTr="00BD40B9">
        <w:tc>
          <w:tcPr>
            <w:tcW w:w="792" w:type="dxa"/>
          </w:tcPr>
          <w:p w14:paraId="3CB1043C" w14:textId="77777777" w:rsidR="00F67DDB" w:rsidRPr="0070080E" w:rsidRDefault="0094076D">
            <w:pPr>
              <w:pStyle w:val="Compact"/>
              <w:rPr>
                <w:sz w:val="16"/>
                <w:szCs w:val="16"/>
              </w:rPr>
            </w:pPr>
            <w:r w:rsidRPr="0070080E">
              <w:rPr>
                <w:sz w:val="16"/>
                <w:szCs w:val="16"/>
              </w:rPr>
              <w:t>B3_S07</w:t>
            </w:r>
          </w:p>
        </w:tc>
        <w:tc>
          <w:tcPr>
            <w:tcW w:w="576" w:type="dxa"/>
          </w:tcPr>
          <w:p w14:paraId="3CB1043D" w14:textId="77777777" w:rsidR="00F67DDB" w:rsidRPr="0070080E" w:rsidRDefault="0094076D">
            <w:pPr>
              <w:pStyle w:val="Compact"/>
              <w:rPr>
                <w:sz w:val="16"/>
                <w:szCs w:val="16"/>
              </w:rPr>
            </w:pPr>
            <w:r w:rsidRPr="0070080E">
              <w:rPr>
                <w:sz w:val="16"/>
                <w:szCs w:val="16"/>
              </w:rPr>
              <w:t>3</w:t>
            </w:r>
          </w:p>
        </w:tc>
        <w:tc>
          <w:tcPr>
            <w:tcW w:w="734" w:type="dxa"/>
          </w:tcPr>
          <w:p w14:paraId="3CB1043E" w14:textId="77777777" w:rsidR="00F67DDB" w:rsidRPr="0070080E" w:rsidRDefault="0094076D">
            <w:pPr>
              <w:pStyle w:val="Compact"/>
              <w:rPr>
                <w:sz w:val="16"/>
                <w:szCs w:val="16"/>
              </w:rPr>
            </w:pPr>
            <w:r w:rsidRPr="0070080E">
              <w:rPr>
                <w:sz w:val="16"/>
                <w:szCs w:val="16"/>
              </w:rPr>
              <w:t>MCD</w:t>
            </w:r>
          </w:p>
        </w:tc>
        <w:tc>
          <w:tcPr>
            <w:tcW w:w="1669" w:type="dxa"/>
          </w:tcPr>
          <w:p w14:paraId="3CB1043F" w14:textId="77777777" w:rsidR="00F67DDB" w:rsidRPr="0070080E" w:rsidRDefault="0094076D">
            <w:pPr>
              <w:pStyle w:val="Compact"/>
              <w:rPr>
                <w:sz w:val="16"/>
                <w:szCs w:val="16"/>
              </w:rPr>
            </w:pPr>
            <w:r w:rsidRPr="0070080E">
              <w:rPr>
                <w:sz w:val="16"/>
                <w:szCs w:val="16"/>
              </w:rPr>
              <w:t>McDonald’s</w:t>
            </w:r>
          </w:p>
        </w:tc>
        <w:tc>
          <w:tcPr>
            <w:tcW w:w="1405" w:type="dxa"/>
          </w:tcPr>
          <w:p w14:paraId="3CB10440" w14:textId="77777777" w:rsidR="00F67DDB" w:rsidRPr="0070080E" w:rsidRDefault="0094076D">
            <w:pPr>
              <w:pStyle w:val="Compact"/>
              <w:rPr>
                <w:sz w:val="16"/>
                <w:szCs w:val="16"/>
              </w:rPr>
            </w:pPr>
            <w:r w:rsidRPr="0070080E">
              <w:rPr>
                <w:sz w:val="16"/>
                <w:szCs w:val="16"/>
              </w:rPr>
              <w:t>Consumer Discretionary</w:t>
            </w:r>
          </w:p>
        </w:tc>
        <w:tc>
          <w:tcPr>
            <w:tcW w:w="1143" w:type="dxa"/>
          </w:tcPr>
          <w:p w14:paraId="3CB10441" w14:textId="77777777" w:rsidR="00F67DDB" w:rsidRPr="0070080E" w:rsidRDefault="0094076D">
            <w:pPr>
              <w:pStyle w:val="Compact"/>
              <w:rPr>
                <w:sz w:val="16"/>
                <w:szCs w:val="16"/>
              </w:rPr>
            </w:pPr>
            <w:r w:rsidRPr="0070080E">
              <w:rPr>
                <w:sz w:val="16"/>
                <w:szCs w:val="16"/>
              </w:rPr>
              <w:t>2025-11-05</w:t>
            </w:r>
          </w:p>
        </w:tc>
        <w:tc>
          <w:tcPr>
            <w:tcW w:w="1133" w:type="dxa"/>
          </w:tcPr>
          <w:p w14:paraId="3CB10442" w14:textId="77777777" w:rsidR="00F67DDB" w:rsidRPr="0070080E" w:rsidRDefault="0094076D">
            <w:pPr>
              <w:pStyle w:val="Compact"/>
              <w:rPr>
                <w:sz w:val="16"/>
                <w:szCs w:val="16"/>
              </w:rPr>
            </w:pPr>
            <w:r w:rsidRPr="0070080E">
              <w:rPr>
                <w:sz w:val="16"/>
                <w:szCs w:val="16"/>
              </w:rPr>
              <w:t>earnings</w:t>
            </w:r>
          </w:p>
        </w:tc>
        <w:tc>
          <w:tcPr>
            <w:tcW w:w="937" w:type="dxa"/>
          </w:tcPr>
          <w:p w14:paraId="3CB10443" w14:textId="77777777" w:rsidR="00F67DDB" w:rsidRPr="0070080E" w:rsidRDefault="0094076D">
            <w:pPr>
              <w:pStyle w:val="Compact"/>
              <w:rPr>
                <w:sz w:val="16"/>
                <w:szCs w:val="16"/>
              </w:rPr>
            </w:pPr>
            <w:r w:rsidRPr="0070080E">
              <w:rPr>
                <w:sz w:val="16"/>
                <w:szCs w:val="16"/>
              </w:rPr>
              <w:t>1.6822</w:t>
            </w:r>
          </w:p>
        </w:tc>
        <w:tc>
          <w:tcPr>
            <w:tcW w:w="937" w:type="dxa"/>
          </w:tcPr>
          <w:p w14:paraId="3CB10444" w14:textId="77777777" w:rsidR="00F67DDB" w:rsidRPr="0070080E" w:rsidRDefault="0094076D">
            <w:pPr>
              <w:pStyle w:val="Compact"/>
              <w:rPr>
                <w:sz w:val="16"/>
                <w:szCs w:val="16"/>
              </w:rPr>
            </w:pPr>
            <w:r w:rsidRPr="0070080E">
              <w:rPr>
                <w:sz w:val="16"/>
                <w:szCs w:val="16"/>
              </w:rPr>
              <w:t>Intraday</w:t>
            </w:r>
          </w:p>
        </w:tc>
        <w:tc>
          <w:tcPr>
            <w:tcW w:w="1323" w:type="dxa"/>
          </w:tcPr>
          <w:p w14:paraId="3CB10445" w14:textId="77777777" w:rsidR="00F67DDB" w:rsidRPr="0070080E" w:rsidRDefault="0094076D">
            <w:pPr>
              <w:pStyle w:val="Compact"/>
              <w:rPr>
                <w:sz w:val="16"/>
                <w:szCs w:val="16"/>
              </w:rPr>
            </w:pPr>
            <w:r w:rsidRPr="0070080E">
              <w:rPr>
                <w:sz w:val="16"/>
                <w:szCs w:val="16"/>
              </w:rPr>
              <w:t>Neutral</w:t>
            </w:r>
          </w:p>
        </w:tc>
      </w:tr>
      <w:tr w:rsidR="00F67DDB" w:rsidRPr="0070080E" w14:paraId="3CB10451" w14:textId="77777777" w:rsidTr="00BD40B9">
        <w:tc>
          <w:tcPr>
            <w:tcW w:w="792" w:type="dxa"/>
          </w:tcPr>
          <w:p w14:paraId="3CB10447" w14:textId="77777777" w:rsidR="00F67DDB" w:rsidRPr="0070080E" w:rsidRDefault="0094076D">
            <w:pPr>
              <w:pStyle w:val="Compact"/>
              <w:rPr>
                <w:sz w:val="16"/>
                <w:szCs w:val="16"/>
              </w:rPr>
            </w:pPr>
            <w:r w:rsidRPr="0070080E">
              <w:rPr>
                <w:sz w:val="16"/>
                <w:szCs w:val="16"/>
              </w:rPr>
              <w:t>B3_S08</w:t>
            </w:r>
          </w:p>
        </w:tc>
        <w:tc>
          <w:tcPr>
            <w:tcW w:w="576" w:type="dxa"/>
          </w:tcPr>
          <w:p w14:paraId="3CB10448" w14:textId="77777777" w:rsidR="00F67DDB" w:rsidRPr="0070080E" w:rsidRDefault="0094076D">
            <w:pPr>
              <w:pStyle w:val="Compact"/>
              <w:rPr>
                <w:sz w:val="16"/>
                <w:szCs w:val="16"/>
              </w:rPr>
            </w:pPr>
            <w:r w:rsidRPr="0070080E">
              <w:rPr>
                <w:sz w:val="16"/>
                <w:szCs w:val="16"/>
              </w:rPr>
              <w:t>3</w:t>
            </w:r>
          </w:p>
        </w:tc>
        <w:tc>
          <w:tcPr>
            <w:tcW w:w="734" w:type="dxa"/>
          </w:tcPr>
          <w:p w14:paraId="3CB10449" w14:textId="77777777" w:rsidR="00F67DDB" w:rsidRPr="0070080E" w:rsidRDefault="0094076D">
            <w:pPr>
              <w:pStyle w:val="Compact"/>
              <w:rPr>
                <w:sz w:val="16"/>
                <w:szCs w:val="16"/>
              </w:rPr>
            </w:pPr>
            <w:r w:rsidRPr="0070080E">
              <w:rPr>
                <w:sz w:val="16"/>
                <w:szCs w:val="16"/>
              </w:rPr>
              <w:t>AMAT</w:t>
            </w:r>
          </w:p>
        </w:tc>
        <w:tc>
          <w:tcPr>
            <w:tcW w:w="1669" w:type="dxa"/>
          </w:tcPr>
          <w:p w14:paraId="3CB1044A" w14:textId="77777777" w:rsidR="00F67DDB" w:rsidRPr="0070080E" w:rsidRDefault="0094076D">
            <w:pPr>
              <w:pStyle w:val="Compact"/>
              <w:rPr>
                <w:sz w:val="16"/>
                <w:szCs w:val="16"/>
              </w:rPr>
            </w:pPr>
            <w:r w:rsidRPr="0070080E">
              <w:rPr>
                <w:sz w:val="16"/>
                <w:szCs w:val="16"/>
              </w:rPr>
              <w:t>Applied Materials</w:t>
            </w:r>
          </w:p>
        </w:tc>
        <w:tc>
          <w:tcPr>
            <w:tcW w:w="1405" w:type="dxa"/>
          </w:tcPr>
          <w:p w14:paraId="3CB1044B" w14:textId="77777777" w:rsidR="00F67DDB" w:rsidRPr="0070080E" w:rsidRDefault="0094076D">
            <w:pPr>
              <w:pStyle w:val="Compact"/>
              <w:rPr>
                <w:sz w:val="16"/>
                <w:szCs w:val="16"/>
              </w:rPr>
            </w:pPr>
            <w:r w:rsidRPr="0070080E">
              <w:rPr>
                <w:sz w:val="16"/>
                <w:szCs w:val="16"/>
              </w:rPr>
              <w:t>Information Technology</w:t>
            </w:r>
          </w:p>
        </w:tc>
        <w:tc>
          <w:tcPr>
            <w:tcW w:w="1143" w:type="dxa"/>
          </w:tcPr>
          <w:p w14:paraId="3CB1044C" w14:textId="77777777" w:rsidR="00F67DDB" w:rsidRPr="0070080E" w:rsidRDefault="0094076D">
            <w:pPr>
              <w:pStyle w:val="Compact"/>
              <w:rPr>
                <w:sz w:val="16"/>
                <w:szCs w:val="16"/>
              </w:rPr>
            </w:pPr>
            <w:r w:rsidRPr="0070080E">
              <w:rPr>
                <w:sz w:val="16"/>
                <w:szCs w:val="16"/>
              </w:rPr>
              <w:t>2025-08-15</w:t>
            </w:r>
          </w:p>
        </w:tc>
        <w:tc>
          <w:tcPr>
            <w:tcW w:w="1133" w:type="dxa"/>
          </w:tcPr>
          <w:p w14:paraId="3CB1044D" w14:textId="77777777" w:rsidR="00F67DDB" w:rsidRPr="0070080E" w:rsidRDefault="0094076D">
            <w:pPr>
              <w:pStyle w:val="Compact"/>
              <w:rPr>
                <w:sz w:val="16"/>
                <w:szCs w:val="16"/>
              </w:rPr>
            </w:pPr>
            <w:r w:rsidRPr="0070080E">
              <w:rPr>
                <w:sz w:val="16"/>
                <w:szCs w:val="16"/>
              </w:rPr>
              <w:t>analyst</w:t>
            </w:r>
          </w:p>
        </w:tc>
        <w:tc>
          <w:tcPr>
            <w:tcW w:w="937" w:type="dxa"/>
          </w:tcPr>
          <w:p w14:paraId="3CB1044E" w14:textId="77777777" w:rsidR="00F67DDB" w:rsidRPr="0070080E" w:rsidRDefault="0094076D">
            <w:pPr>
              <w:pStyle w:val="Compact"/>
              <w:rPr>
                <w:sz w:val="16"/>
                <w:szCs w:val="16"/>
              </w:rPr>
            </w:pPr>
            <w:r w:rsidRPr="0070080E">
              <w:rPr>
                <w:sz w:val="16"/>
                <w:szCs w:val="16"/>
              </w:rPr>
              <w:t>4.7132</w:t>
            </w:r>
          </w:p>
        </w:tc>
        <w:tc>
          <w:tcPr>
            <w:tcW w:w="937" w:type="dxa"/>
          </w:tcPr>
          <w:p w14:paraId="3CB1044F" w14:textId="77777777" w:rsidR="00F67DDB" w:rsidRPr="0070080E" w:rsidRDefault="0094076D">
            <w:pPr>
              <w:pStyle w:val="Compact"/>
              <w:rPr>
                <w:sz w:val="16"/>
                <w:szCs w:val="16"/>
              </w:rPr>
            </w:pPr>
            <w:r w:rsidRPr="0070080E">
              <w:rPr>
                <w:sz w:val="16"/>
                <w:szCs w:val="16"/>
              </w:rPr>
              <w:t>Intraday</w:t>
            </w:r>
          </w:p>
        </w:tc>
        <w:tc>
          <w:tcPr>
            <w:tcW w:w="1323" w:type="dxa"/>
          </w:tcPr>
          <w:p w14:paraId="3CB10450" w14:textId="77777777" w:rsidR="00F67DDB" w:rsidRPr="0070080E" w:rsidRDefault="0094076D">
            <w:pPr>
              <w:pStyle w:val="Compact"/>
              <w:rPr>
                <w:sz w:val="16"/>
                <w:szCs w:val="16"/>
              </w:rPr>
            </w:pPr>
            <w:r w:rsidRPr="0070080E">
              <w:rPr>
                <w:sz w:val="16"/>
                <w:szCs w:val="16"/>
              </w:rPr>
              <w:t>Neutral</w:t>
            </w:r>
          </w:p>
        </w:tc>
      </w:tr>
    </w:tbl>
    <w:p w14:paraId="570A461F" w14:textId="77777777" w:rsidR="00E80316" w:rsidRPr="0070080E" w:rsidRDefault="00E80316">
      <w:pPr>
        <w:pStyle w:val="BodyText"/>
        <w:rPr>
          <w:b/>
          <w:bCs/>
        </w:rPr>
      </w:pPr>
    </w:p>
    <w:p w14:paraId="3CB10452" w14:textId="4C1A91B0" w:rsidR="00F67DDB" w:rsidRPr="0070080E" w:rsidRDefault="0094076D" w:rsidP="008723D3">
      <w:pPr>
        <w:spacing w:after="200" w:line="240" w:lineRule="auto"/>
        <w:ind w:firstLine="0"/>
        <w:rPr>
          <w:b/>
          <w:bCs/>
        </w:rPr>
      </w:pPr>
      <w:r w:rsidRPr="0070080E">
        <w:rPr>
          <w:b/>
          <w:bCs/>
        </w:rPr>
        <w:t>Figure 5.5</w:t>
      </w:r>
    </w:p>
    <w:p w14:paraId="3CB10453" w14:textId="77777777" w:rsidR="00F67DDB" w:rsidRPr="0070080E" w:rsidRDefault="0094076D" w:rsidP="00465F21">
      <w:pPr>
        <w:pStyle w:val="TableCaption"/>
      </w:pPr>
      <w:r w:rsidRPr="0070080E">
        <w:t>Composite Shock Score Versus Actual Realized Horizon Return Across 24 Scenarios</w:t>
      </w:r>
    </w:p>
    <w:p w14:paraId="3CB10454" w14:textId="77777777" w:rsidR="00F67DDB" w:rsidRPr="0070080E" w:rsidRDefault="0094076D" w:rsidP="00465F21">
      <w:pPr>
        <w:pStyle w:val="Compact"/>
      </w:pPr>
      <w:r w:rsidRPr="0070080E">
        <w:rPr>
          <w:noProof/>
        </w:rPr>
        <w:drawing>
          <wp:inline distT="0" distB="0" distL="0" distR="0" wp14:anchorId="3CB10829" wp14:editId="3CB1082A">
            <wp:extent cx="5943600" cy="3691428"/>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results/figures/fig_sc_vs_horizon_return.png"/>
                    <pic:cNvPicPr>
                      <a:picLocks noChangeAspect="1" noChangeArrowheads="1"/>
                    </pic:cNvPicPr>
                  </pic:nvPicPr>
                  <pic:blipFill>
                    <a:blip r:embed="rId343"/>
                    <a:stretch>
                      <a:fillRect/>
                    </a:stretch>
                  </pic:blipFill>
                  <pic:spPr bwMode="auto">
                    <a:xfrm>
                      <a:off x="0" y="0"/>
                      <a:ext cx="5943600" cy="3691428"/>
                    </a:xfrm>
                    <a:prstGeom prst="rect">
                      <a:avLst/>
                    </a:prstGeom>
                    <a:noFill/>
                    <a:ln w="9525">
                      <a:noFill/>
                      <a:headEnd/>
                      <a:tailEnd/>
                    </a:ln>
                  </pic:spPr>
                </pic:pic>
              </a:graphicData>
            </a:graphic>
          </wp:inline>
        </w:drawing>
      </w:r>
    </w:p>
    <w:p w14:paraId="3CB10455" w14:textId="1EFC6FA5" w:rsidR="00F67DDB" w:rsidRPr="0070080E" w:rsidRDefault="0094076D" w:rsidP="00465F21">
      <w:pPr>
        <w:pStyle w:val="BodyText"/>
        <w:ind w:firstLine="0"/>
      </w:pPr>
      <w:r w:rsidRPr="0070080E">
        <w:rPr>
          <w:i/>
          <w:iCs/>
        </w:rPr>
        <w:t>Note.</w:t>
      </w:r>
      <w:r w:rsidRPr="0070080E">
        <w:t xml:space="preserve"> Each data point represents one of the 24 scenarios, color-coded by block. The OLS trend line (β = -1.06% per unit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indicates a weak negative association between shock intensity and subsequent returns. Residual dispersion confirms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does not function as a directional price predictor. Original figure created for this study</w:t>
      </w:r>
      <w:r w:rsidR="00683655">
        <w:t xml:space="preserve"> (2026)</w:t>
      </w:r>
      <w:r w:rsidRPr="0070080E">
        <w:t>.</w:t>
      </w:r>
    </w:p>
    <w:p w14:paraId="3CB10456" w14:textId="77777777" w:rsidR="00F67DDB" w:rsidRPr="0070080E" w:rsidRDefault="0094076D">
      <w:pPr>
        <w:pStyle w:val="BodyText"/>
      </w:pPr>
      <w:r w:rsidRPr="0070080E">
        <w:t>Shock Time (ET) records the 30-minute bar to which the shock is assigned (e.g., “10:00” denotes the 10:00 to 10:30 bar). Shock Bar / Median Bar Ratio records the ratio of the absolute shock bar return to the median absolute 30-minute bar return on the same day; values above 1.5 (or 2.0 for the opening bar) satisfy the within-day causal plausibility screen (Section 4.3.4). The balance constraints governing the selection are documented in Table 4.3 of Section 4.3.4.</w:t>
      </w:r>
    </w:p>
    <w:p w14:paraId="3CB10457" w14:textId="77777777" w:rsidR="00F67DDB" w:rsidRPr="0070080E" w:rsidRDefault="0094076D">
      <w:pPr>
        <w:pStyle w:val="Heading2"/>
      </w:pPr>
      <w:bookmarkStart w:id="154" w:name="_Toc231913462"/>
      <w:bookmarkStart w:id="155" w:name="tests-for-normality-and-reliability"/>
      <w:bookmarkEnd w:id="153"/>
      <w:r w:rsidRPr="0070080E">
        <w:t>5.4 Tests for Normality and Reliability</w:t>
      </w:r>
      <w:bookmarkEnd w:id="154"/>
    </w:p>
    <w:p w14:paraId="3CB10458" w14:textId="77777777" w:rsidR="00F67DDB" w:rsidRPr="0070080E" w:rsidRDefault="0094076D">
      <w:pPr>
        <w:pStyle w:val="FirstParagraph"/>
      </w:pPr>
      <w:r w:rsidRPr="0070080E">
        <w:t>The NRS is a seven-point ordered categorical scale. Because the scale is bounded and ordinal, normality testing on raw responses is not appropriate; the standard assumption required for OLS inference concerns residual normality (reported in Table 5.6 below), not the marginal distribution of the dependent variable. Table 5.4 presents the frequency distribution of NRS responses across scale points, overall and by experimental condition.</w:t>
      </w:r>
    </w:p>
    <w:p w14:paraId="3CB10459" w14:textId="77777777" w:rsidR="00F67DDB" w:rsidRPr="0070080E" w:rsidRDefault="0094076D" w:rsidP="00465F21">
      <w:pPr>
        <w:pStyle w:val="Tableid"/>
      </w:pPr>
      <w:r w:rsidRPr="0070080E">
        <w:t>Table 5.4</w:t>
      </w:r>
    </w:p>
    <w:p w14:paraId="3CB1045A" w14:textId="77777777" w:rsidR="00F67DDB" w:rsidRPr="0070080E" w:rsidRDefault="0094076D" w:rsidP="00465F21">
      <w:pPr>
        <w:pStyle w:val="TableCaption"/>
      </w:pPr>
      <w:r w:rsidRPr="0070080E">
        <w:t>NRS Response Frequency Distribution</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F67DDB" w:rsidRPr="0070080E" w14:paraId="3CB10462"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45B" w14:textId="77777777" w:rsidR="00F67DDB" w:rsidRPr="0070080E" w:rsidRDefault="0094076D">
            <w:pPr>
              <w:pStyle w:val="Compact"/>
            </w:pPr>
            <w:r w:rsidRPr="0070080E">
              <w:t>NRS</w:t>
            </w:r>
          </w:p>
        </w:tc>
        <w:tc>
          <w:tcPr>
            <w:tcW w:w="1131" w:type="dxa"/>
          </w:tcPr>
          <w:p w14:paraId="3CB1045C" w14:textId="77777777" w:rsidR="00F67DDB" w:rsidRPr="0070080E" w:rsidRDefault="0094076D">
            <w:pPr>
              <w:pStyle w:val="Compact"/>
            </w:pPr>
            <w:r w:rsidRPr="0070080E">
              <w:t>N (Overall)</w:t>
            </w:r>
          </w:p>
        </w:tc>
        <w:tc>
          <w:tcPr>
            <w:tcW w:w="1131" w:type="dxa"/>
          </w:tcPr>
          <w:p w14:paraId="3CB1045D" w14:textId="77777777" w:rsidR="00F67DDB" w:rsidRPr="0070080E" w:rsidRDefault="0094076D">
            <w:pPr>
              <w:pStyle w:val="Compact"/>
            </w:pPr>
            <w:r w:rsidRPr="0070080E">
              <w:t>N (ShowSC=0 (Control))</w:t>
            </w:r>
          </w:p>
        </w:tc>
        <w:tc>
          <w:tcPr>
            <w:tcW w:w="1131" w:type="dxa"/>
          </w:tcPr>
          <w:p w14:paraId="3CB1045E" w14:textId="77777777" w:rsidR="00F67DDB" w:rsidRPr="0070080E" w:rsidRDefault="0094076D">
            <w:pPr>
              <w:pStyle w:val="Compact"/>
            </w:pPr>
            <w:r w:rsidRPr="0070080E">
              <w:t>N (ShowSC=1 (Treatment))</w:t>
            </w:r>
          </w:p>
        </w:tc>
        <w:tc>
          <w:tcPr>
            <w:tcW w:w="1131" w:type="dxa"/>
          </w:tcPr>
          <w:p w14:paraId="3CB1045F" w14:textId="77777777" w:rsidR="00F67DDB" w:rsidRPr="0070080E" w:rsidRDefault="0094076D">
            <w:pPr>
              <w:pStyle w:val="Compact"/>
            </w:pPr>
            <w:r w:rsidRPr="0070080E">
              <w:t>% (Overall)</w:t>
            </w:r>
          </w:p>
        </w:tc>
        <w:tc>
          <w:tcPr>
            <w:tcW w:w="1131" w:type="dxa"/>
          </w:tcPr>
          <w:p w14:paraId="3CB10460" w14:textId="77777777" w:rsidR="00F67DDB" w:rsidRPr="0070080E" w:rsidRDefault="0094076D">
            <w:pPr>
              <w:pStyle w:val="Compact"/>
            </w:pPr>
            <w:r w:rsidRPr="0070080E">
              <w:t>% (ShowSC=0 (Control))</w:t>
            </w:r>
          </w:p>
        </w:tc>
        <w:tc>
          <w:tcPr>
            <w:tcW w:w="1131" w:type="dxa"/>
          </w:tcPr>
          <w:p w14:paraId="3CB10461" w14:textId="77777777" w:rsidR="00F67DDB" w:rsidRPr="0070080E" w:rsidRDefault="0094076D">
            <w:pPr>
              <w:pStyle w:val="Compact"/>
            </w:pPr>
            <w:r w:rsidRPr="0070080E">
              <w:t>% (ShowSC=1 (Treatment))</w:t>
            </w:r>
          </w:p>
        </w:tc>
      </w:tr>
      <w:tr w:rsidR="00F67DDB" w:rsidRPr="0070080E" w14:paraId="3CB1046A" w14:textId="77777777">
        <w:tc>
          <w:tcPr>
            <w:tcW w:w="1131" w:type="dxa"/>
          </w:tcPr>
          <w:p w14:paraId="3CB10463" w14:textId="77777777" w:rsidR="00F67DDB" w:rsidRPr="0070080E" w:rsidRDefault="0094076D">
            <w:pPr>
              <w:pStyle w:val="Compact"/>
            </w:pPr>
            <w:r w:rsidRPr="0070080E">
              <w:t>1</w:t>
            </w:r>
          </w:p>
        </w:tc>
        <w:tc>
          <w:tcPr>
            <w:tcW w:w="1131" w:type="dxa"/>
          </w:tcPr>
          <w:p w14:paraId="3CB10464" w14:textId="77777777" w:rsidR="00F67DDB" w:rsidRPr="0070080E" w:rsidRDefault="0094076D">
            <w:pPr>
              <w:pStyle w:val="Compact"/>
            </w:pPr>
            <w:r w:rsidRPr="0070080E">
              <w:t>22</w:t>
            </w:r>
          </w:p>
        </w:tc>
        <w:tc>
          <w:tcPr>
            <w:tcW w:w="1131" w:type="dxa"/>
          </w:tcPr>
          <w:p w14:paraId="3CB10465" w14:textId="77777777" w:rsidR="00F67DDB" w:rsidRPr="0070080E" w:rsidRDefault="0094076D">
            <w:pPr>
              <w:pStyle w:val="Compact"/>
            </w:pPr>
            <w:r w:rsidRPr="0070080E">
              <w:t>9</w:t>
            </w:r>
          </w:p>
        </w:tc>
        <w:tc>
          <w:tcPr>
            <w:tcW w:w="1131" w:type="dxa"/>
          </w:tcPr>
          <w:p w14:paraId="3CB10466" w14:textId="77777777" w:rsidR="00F67DDB" w:rsidRPr="0070080E" w:rsidRDefault="0094076D">
            <w:pPr>
              <w:pStyle w:val="Compact"/>
            </w:pPr>
            <w:r w:rsidRPr="0070080E">
              <w:t>13</w:t>
            </w:r>
          </w:p>
        </w:tc>
        <w:tc>
          <w:tcPr>
            <w:tcW w:w="1131" w:type="dxa"/>
          </w:tcPr>
          <w:p w14:paraId="3CB10467" w14:textId="77777777" w:rsidR="00F67DDB" w:rsidRPr="0070080E" w:rsidRDefault="0094076D">
            <w:pPr>
              <w:pStyle w:val="Compact"/>
            </w:pPr>
            <w:r w:rsidRPr="0070080E">
              <w:t>5.19%</w:t>
            </w:r>
          </w:p>
        </w:tc>
        <w:tc>
          <w:tcPr>
            <w:tcW w:w="1131" w:type="dxa"/>
          </w:tcPr>
          <w:p w14:paraId="3CB10468" w14:textId="77777777" w:rsidR="00F67DDB" w:rsidRPr="0070080E" w:rsidRDefault="0094076D">
            <w:pPr>
              <w:pStyle w:val="Compact"/>
            </w:pPr>
            <w:r w:rsidRPr="0070080E">
              <w:t>4.25%</w:t>
            </w:r>
          </w:p>
        </w:tc>
        <w:tc>
          <w:tcPr>
            <w:tcW w:w="1131" w:type="dxa"/>
          </w:tcPr>
          <w:p w14:paraId="3CB10469" w14:textId="77777777" w:rsidR="00F67DDB" w:rsidRPr="0070080E" w:rsidRDefault="0094076D">
            <w:pPr>
              <w:pStyle w:val="Compact"/>
            </w:pPr>
            <w:r w:rsidRPr="0070080E">
              <w:t>6.13%</w:t>
            </w:r>
          </w:p>
        </w:tc>
      </w:tr>
      <w:tr w:rsidR="00F67DDB" w:rsidRPr="0070080E" w14:paraId="3CB10472" w14:textId="77777777">
        <w:tc>
          <w:tcPr>
            <w:tcW w:w="1131" w:type="dxa"/>
          </w:tcPr>
          <w:p w14:paraId="3CB1046B" w14:textId="77777777" w:rsidR="00F67DDB" w:rsidRPr="0070080E" w:rsidRDefault="0094076D">
            <w:pPr>
              <w:pStyle w:val="Compact"/>
            </w:pPr>
            <w:r w:rsidRPr="0070080E">
              <w:t>2</w:t>
            </w:r>
          </w:p>
        </w:tc>
        <w:tc>
          <w:tcPr>
            <w:tcW w:w="1131" w:type="dxa"/>
          </w:tcPr>
          <w:p w14:paraId="3CB1046C" w14:textId="77777777" w:rsidR="00F67DDB" w:rsidRPr="0070080E" w:rsidRDefault="0094076D">
            <w:pPr>
              <w:pStyle w:val="Compact"/>
            </w:pPr>
            <w:r w:rsidRPr="0070080E">
              <w:t>27</w:t>
            </w:r>
          </w:p>
        </w:tc>
        <w:tc>
          <w:tcPr>
            <w:tcW w:w="1131" w:type="dxa"/>
          </w:tcPr>
          <w:p w14:paraId="3CB1046D" w14:textId="77777777" w:rsidR="00F67DDB" w:rsidRPr="0070080E" w:rsidRDefault="0094076D">
            <w:pPr>
              <w:pStyle w:val="Compact"/>
            </w:pPr>
            <w:r w:rsidRPr="0070080E">
              <w:t>16</w:t>
            </w:r>
          </w:p>
        </w:tc>
        <w:tc>
          <w:tcPr>
            <w:tcW w:w="1131" w:type="dxa"/>
          </w:tcPr>
          <w:p w14:paraId="3CB1046E" w14:textId="77777777" w:rsidR="00F67DDB" w:rsidRPr="0070080E" w:rsidRDefault="0094076D">
            <w:pPr>
              <w:pStyle w:val="Compact"/>
            </w:pPr>
            <w:r w:rsidRPr="0070080E">
              <w:t>11</w:t>
            </w:r>
          </w:p>
        </w:tc>
        <w:tc>
          <w:tcPr>
            <w:tcW w:w="1131" w:type="dxa"/>
          </w:tcPr>
          <w:p w14:paraId="3CB1046F" w14:textId="77777777" w:rsidR="00F67DDB" w:rsidRPr="0070080E" w:rsidRDefault="0094076D">
            <w:pPr>
              <w:pStyle w:val="Compact"/>
            </w:pPr>
            <w:r w:rsidRPr="0070080E">
              <w:t>6.37%</w:t>
            </w:r>
          </w:p>
        </w:tc>
        <w:tc>
          <w:tcPr>
            <w:tcW w:w="1131" w:type="dxa"/>
          </w:tcPr>
          <w:p w14:paraId="3CB10470" w14:textId="77777777" w:rsidR="00F67DDB" w:rsidRPr="0070080E" w:rsidRDefault="0094076D">
            <w:pPr>
              <w:pStyle w:val="Compact"/>
            </w:pPr>
            <w:r w:rsidRPr="0070080E">
              <w:t>7.55%</w:t>
            </w:r>
          </w:p>
        </w:tc>
        <w:tc>
          <w:tcPr>
            <w:tcW w:w="1131" w:type="dxa"/>
          </w:tcPr>
          <w:p w14:paraId="3CB10471" w14:textId="77777777" w:rsidR="00F67DDB" w:rsidRPr="0070080E" w:rsidRDefault="0094076D">
            <w:pPr>
              <w:pStyle w:val="Compact"/>
            </w:pPr>
            <w:r w:rsidRPr="0070080E">
              <w:t>5.19%</w:t>
            </w:r>
          </w:p>
        </w:tc>
      </w:tr>
      <w:tr w:rsidR="00F67DDB" w:rsidRPr="0070080E" w14:paraId="3CB1047A" w14:textId="77777777">
        <w:tc>
          <w:tcPr>
            <w:tcW w:w="1131" w:type="dxa"/>
          </w:tcPr>
          <w:p w14:paraId="3CB10473" w14:textId="77777777" w:rsidR="00F67DDB" w:rsidRPr="0070080E" w:rsidRDefault="0094076D">
            <w:pPr>
              <w:pStyle w:val="Compact"/>
            </w:pPr>
            <w:r w:rsidRPr="0070080E">
              <w:t>3</w:t>
            </w:r>
          </w:p>
        </w:tc>
        <w:tc>
          <w:tcPr>
            <w:tcW w:w="1131" w:type="dxa"/>
          </w:tcPr>
          <w:p w14:paraId="3CB10474" w14:textId="77777777" w:rsidR="00F67DDB" w:rsidRPr="0070080E" w:rsidRDefault="0094076D">
            <w:pPr>
              <w:pStyle w:val="Compact"/>
            </w:pPr>
            <w:r w:rsidRPr="0070080E">
              <w:t>97</w:t>
            </w:r>
          </w:p>
        </w:tc>
        <w:tc>
          <w:tcPr>
            <w:tcW w:w="1131" w:type="dxa"/>
          </w:tcPr>
          <w:p w14:paraId="3CB10475" w14:textId="77777777" w:rsidR="00F67DDB" w:rsidRPr="0070080E" w:rsidRDefault="0094076D">
            <w:pPr>
              <w:pStyle w:val="Compact"/>
            </w:pPr>
            <w:r w:rsidRPr="0070080E">
              <w:t>44</w:t>
            </w:r>
          </w:p>
        </w:tc>
        <w:tc>
          <w:tcPr>
            <w:tcW w:w="1131" w:type="dxa"/>
          </w:tcPr>
          <w:p w14:paraId="3CB10476" w14:textId="77777777" w:rsidR="00F67DDB" w:rsidRPr="0070080E" w:rsidRDefault="0094076D">
            <w:pPr>
              <w:pStyle w:val="Compact"/>
            </w:pPr>
            <w:r w:rsidRPr="0070080E">
              <w:t>53</w:t>
            </w:r>
          </w:p>
        </w:tc>
        <w:tc>
          <w:tcPr>
            <w:tcW w:w="1131" w:type="dxa"/>
          </w:tcPr>
          <w:p w14:paraId="3CB10477" w14:textId="77777777" w:rsidR="00F67DDB" w:rsidRPr="0070080E" w:rsidRDefault="0094076D">
            <w:pPr>
              <w:pStyle w:val="Compact"/>
            </w:pPr>
            <w:r w:rsidRPr="0070080E">
              <w:t>22.88%</w:t>
            </w:r>
          </w:p>
        </w:tc>
        <w:tc>
          <w:tcPr>
            <w:tcW w:w="1131" w:type="dxa"/>
          </w:tcPr>
          <w:p w14:paraId="3CB10478" w14:textId="77777777" w:rsidR="00F67DDB" w:rsidRPr="0070080E" w:rsidRDefault="0094076D">
            <w:pPr>
              <w:pStyle w:val="Compact"/>
            </w:pPr>
            <w:r w:rsidRPr="0070080E">
              <w:t>20.75%</w:t>
            </w:r>
          </w:p>
        </w:tc>
        <w:tc>
          <w:tcPr>
            <w:tcW w:w="1131" w:type="dxa"/>
          </w:tcPr>
          <w:p w14:paraId="3CB10479" w14:textId="77777777" w:rsidR="00F67DDB" w:rsidRPr="0070080E" w:rsidRDefault="0094076D">
            <w:pPr>
              <w:pStyle w:val="Compact"/>
            </w:pPr>
            <w:r w:rsidRPr="0070080E">
              <w:t>25.00%</w:t>
            </w:r>
          </w:p>
        </w:tc>
      </w:tr>
      <w:tr w:rsidR="00F67DDB" w:rsidRPr="0070080E" w14:paraId="3CB10482" w14:textId="77777777">
        <w:tc>
          <w:tcPr>
            <w:tcW w:w="1131" w:type="dxa"/>
          </w:tcPr>
          <w:p w14:paraId="3CB1047B" w14:textId="77777777" w:rsidR="00F67DDB" w:rsidRPr="0070080E" w:rsidRDefault="0094076D">
            <w:pPr>
              <w:pStyle w:val="Compact"/>
            </w:pPr>
            <w:r w:rsidRPr="0070080E">
              <w:t>4</w:t>
            </w:r>
          </w:p>
        </w:tc>
        <w:tc>
          <w:tcPr>
            <w:tcW w:w="1131" w:type="dxa"/>
          </w:tcPr>
          <w:p w14:paraId="3CB1047C" w14:textId="77777777" w:rsidR="00F67DDB" w:rsidRPr="0070080E" w:rsidRDefault="0094076D">
            <w:pPr>
              <w:pStyle w:val="Compact"/>
            </w:pPr>
            <w:r w:rsidRPr="0070080E">
              <w:t>111</w:t>
            </w:r>
          </w:p>
        </w:tc>
        <w:tc>
          <w:tcPr>
            <w:tcW w:w="1131" w:type="dxa"/>
          </w:tcPr>
          <w:p w14:paraId="3CB1047D" w14:textId="77777777" w:rsidR="00F67DDB" w:rsidRPr="0070080E" w:rsidRDefault="0094076D">
            <w:pPr>
              <w:pStyle w:val="Compact"/>
            </w:pPr>
            <w:r w:rsidRPr="0070080E">
              <w:t>59</w:t>
            </w:r>
          </w:p>
        </w:tc>
        <w:tc>
          <w:tcPr>
            <w:tcW w:w="1131" w:type="dxa"/>
          </w:tcPr>
          <w:p w14:paraId="3CB1047E" w14:textId="77777777" w:rsidR="00F67DDB" w:rsidRPr="0070080E" w:rsidRDefault="0094076D">
            <w:pPr>
              <w:pStyle w:val="Compact"/>
            </w:pPr>
            <w:r w:rsidRPr="0070080E">
              <w:t>52</w:t>
            </w:r>
          </w:p>
        </w:tc>
        <w:tc>
          <w:tcPr>
            <w:tcW w:w="1131" w:type="dxa"/>
          </w:tcPr>
          <w:p w14:paraId="3CB1047F" w14:textId="77777777" w:rsidR="00F67DDB" w:rsidRPr="0070080E" w:rsidRDefault="0094076D">
            <w:pPr>
              <w:pStyle w:val="Compact"/>
            </w:pPr>
            <w:r w:rsidRPr="0070080E">
              <w:t>26.18%</w:t>
            </w:r>
          </w:p>
        </w:tc>
        <w:tc>
          <w:tcPr>
            <w:tcW w:w="1131" w:type="dxa"/>
          </w:tcPr>
          <w:p w14:paraId="3CB10480" w14:textId="77777777" w:rsidR="00F67DDB" w:rsidRPr="0070080E" w:rsidRDefault="0094076D">
            <w:pPr>
              <w:pStyle w:val="Compact"/>
            </w:pPr>
            <w:r w:rsidRPr="0070080E">
              <w:t>27.83%</w:t>
            </w:r>
          </w:p>
        </w:tc>
        <w:tc>
          <w:tcPr>
            <w:tcW w:w="1131" w:type="dxa"/>
          </w:tcPr>
          <w:p w14:paraId="3CB10481" w14:textId="77777777" w:rsidR="00F67DDB" w:rsidRPr="0070080E" w:rsidRDefault="0094076D">
            <w:pPr>
              <w:pStyle w:val="Compact"/>
            </w:pPr>
            <w:r w:rsidRPr="0070080E">
              <w:t>24.53%</w:t>
            </w:r>
          </w:p>
        </w:tc>
      </w:tr>
      <w:tr w:rsidR="00F67DDB" w:rsidRPr="0070080E" w14:paraId="3CB1048A" w14:textId="77777777">
        <w:tc>
          <w:tcPr>
            <w:tcW w:w="1131" w:type="dxa"/>
          </w:tcPr>
          <w:p w14:paraId="3CB10483" w14:textId="77777777" w:rsidR="00F67DDB" w:rsidRPr="0070080E" w:rsidRDefault="0094076D">
            <w:pPr>
              <w:pStyle w:val="Compact"/>
            </w:pPr>
            <w:r w:rsidRPr="0070080E">
              <w:t>5</w:t>
            </w:r>
          </w:p>
        </w:tc>
        <w:tc>
          <w:tcPr>
            <w:tcW w:w="1131" w:type="dxa"/>
          </w:tcPr>
          <w:p w14:paraId="3CB10484" w14:textId="77777777" w:rsidR="00F67DDB" w:rsidRPr="0070080E" w:rsidRDefault="0094076D">
            <w:pPr>
              <w:pStyle w:val="Compact"/>
            </w:pPr>
            <w:r w:rsidRPr="0070080E">
              <w:t>108</w:t>
            </w:r>
          </w:p>
        </w:tc>
        <w:tc>
          <w:tcPr>
            <w:tcW w:w="1131" w:type="dxa"/>
          </w:tcPr>
          <w:p w14:paraId="3CB10485" w14:textId="77777777" w:rsidR="00F67DDB" w:rsidRPr="0070080E" w:rsidRDefault="0094076D">
            <w:pPr>
              <w:pStyle w:val="Compact"/>
            </w:pPr>
            <w:r w:rsidRPr="0070080E">
              <w:t>50</w:t>
            </w:r>
          </w:p>
        </w:tc>
        <w:tc>
          <w:tcPr>
            <w:tcW w:w="1131" w:type="dxa"/>
          </w:tcPr>
          <w:p w14:paraId="3CB10486" w14:textId="77777777" w:rsidR="00F67DDB" w:rsidRPr="0070080E" w:rsidRDefault="0094076D">
            <w:pPr>
              <w:pStyle w:val="Compact"/>
            </w:pPr>
            <w:r w:rsidRPr="0070080E">
              <w:t>58</w:t>
            </w:r>
          </w:p>
        </w:tc>
        <w:tc>
          <w:tcPr>
            <w:tcW w:w="1131" w:type="dxa"/>
          </w:tcPr>
          <w:p w14:paraId="3CB10487" w14:textId="77777777" w:rsidR="00F67DDB" w:rsidRPr="0070080E" w:rsidRDefault="0094076D">
            <w:pPr>
              <w:pStyle w:val="Compact"/>
            </w:pPr>
            <w:r w:rsidRPr="0070080E">
              <w:t>25.47%</w:t>
            </w:r>
          </w:p>
        </w:tc>
        <w:tc>
          <w:tcPr>
            <w:tcW w:w="1131" w:type="dxa"/>
          </w:tcPr>
          <w:p w14:paraId="3CB10488" w14:textId="77777777" w:rsidR="00F67DDB" w:rsidRPr="0070080E" w:rsidRDefault="0094076D">
            <w:pPr>
              <w:pStyle w:val="Compact"/>
            </w:pPr>
            <w:r w:rsidRPr="0070080E">
              <w:t>23.58%</w:t>
            </w:r>
          </w:p>
        </w:tc>
        <w:tc>
          <w:tcPr>
            <w:tcW w:w="1131" w:type="dxa"/>
          </w:tcPr>
          <w:p w14:paraId="3CB10489" w14:textId="77777777" w:rsidR="00F67DDB" w:rsidRPr="0070080E" w:rsidRDefault="0094076D">
            <w:pPr>
              <w:pStyle w:val="Compact"/>
            </w:pPr>
            <w:r w:rsidRPr="0070080E">
              <w:t>27.36%</w:t>
            </w:r>
          </w:p>
        </w:tc>
      </w:tr>
      <w:tr w:rsidR="00F67DDB" w:rsidRPr="0070080E" w14:paraId="3CB10492" w14:textId="77777777">
        <w:tc>
          <w:tcPr>
            <w:tcW w:w="1131" w:type="dxa"/>
          </w:tcPr>
          <w:p w14:paraId="3CB1048B" w14:textId="77777777" w:rsidR="00F67DDB" w:rsidRPr="0070080E" w:rsidRDefault="0094076D">
            <w:pPr>
              <w:pStyle w:val="Compact"/>
            </w:pPr>
            <w:r w:rsidRPr="0070080E">
              <w:t>6</w:t>
            </w:r>
          </w:p>
        </w:tc>
        <w:tc>
          <w:tcPr>
            <w:tcW w:w="1131" w:type="dxa"/>
          </w:tcPr>
          <w:p w14:paraId="3CB1048C" w14:textId="77777777" w:rsidR="00F67DDB" w:rsidRPr="0070080E" w:rsidRDefault="0094076D">
            <w:pPr>
              <w:pStyle w:val="Compact"/>
            </w:pPr>
            <w:r w:rsidRPr="0070080E">
              <w:t>46</w:t>
            </w:r>
          </w:p>
        </w:tc>
        <w:tc>
          <w:tcPr>
            <w:tcW w:w="1131" w:type="dxa"/>
          </w:tcPr>
          <w:p w14:paraId="3CB1048D" w14:textId="77777777" w:rsidR="00F67DDB" w:rsidRPr="0070080E" w:rsidRDefault="0094076D">
            <w:pPr>
              <w:pStyle w:val="Compact"/>
            </w:pPr>
            <w:r w:rsidRPr="0070080E">
              <w:t>31</w:t>
            </w:r>
          </w:p>
        </w:tc>
        <w:tc>
          <w:tcPr>
            <w:tcW w:w="1131" w:type="dxa"/>
          </w:tcPr>
          <w:p w14:paraId="3CB1048E" w14:textId="77777777" w:rsidR="00F67DDB" w:rsidRPr="0070080E" w:rsidRDefault="0094076D">
            <w:pPr>
              <w:pStyle w:val="Compact"/>
            </w:pPr>
            <w:r w:rsidRPr="0070080E">
              <w:t>15</w:t>
            </w:r>
          </w:p>
        </w:tc>
        <w:tc>
          <w:tcPr>
            <w:tcW w:w="1131" w:type="dxa"/>
          </w:tcPr>
          <w:p w14:paraId="3CB1048F" w14:textId="77777777" w:rsidR="00F67DDB" w:rsidRPr="0070080E" w:rsidRDefault="0094076D">
            <w:pPr>
              <w:pStyle w:val="Compact"/>
            </w:pPr>
            <w:r w:rsidRPr="0070080E">
              <w:t>10.85%</w:t>
            </w:r>
          </w:p>
        </w:tc>
        <w:tc>
          <w:tcPr>
            <w:tcW w:w="1131" w:type="dxa"/>
          </w:tcPr>
          <w:p w14:paraId="3CB10490" w14:textId="77777777" w:rsidR="00F67DDB" w:rsidRPr="0070080E" w:rsidRDefault="0094076D">
            <w:pPr>
              <w:pStyle w:val="Compact"/>
            </w:pPr>
            <w:r w:rsidRPr="0070080E">
              <w:t>14.62%</w:t>
            </w:r>
          </w:p>
        </w:tc>
        <w:tc>
          <w:tcPr>
            <w:tcW w:w="1131" w:type="dxa"/>
          </w:tcPr>
          <w:p w14:paraId="3CB10491" w14:textId="77777777" w:rsidR="00F67DDB" w:rsidRPr="0070080E" w:rsidRDefault="0094076D">
            <w:pPr>
              <w:pStyle w:val="Compact"/>
            </w:pPr>
            <w:r w:rsidRPr="0070080E">
              <w:t>7.08%</w:t>
            </w:r>
          </w:p>
        </w:tc>
      </w:tr>
      <w:tr w:rsidR="00F67DDB" w:rsidRPr="0070080E" w14:paraId="3CB1049A" w14:textId="77777777" w:rsidTr="008723D3">
        <w:trPr>
          <w:trHeight w:val="423"/>
        </w:trPr>
        <w:tc>
          <w:tcPr>
            <w:tcW w:w="1131" w:type="dxa"/>
          </w:tcPr>
          <w:p w14:paraId="3CB10493" w14:textId="77777777" w:rsidR="00F67DDB" w:rsidRPr="0070080E" w:rsidRDefault="0094076D">
            <w:pPr>
              <w:pStyle w:val="Compact"/>
            </w:pPr>
            <w:r w:rsidRPr="0070080E">
              <w:t>7</w:t>
            </w:r>
          </w:p>
        </w:tc>
        <w:tc>
          <w:tcPr>
            <w:tcW w:w="1131" w:type="dxa"/>
          </w:tcPr>
          <w:p w14:paraId="3CB10494" w14:textId="77777777" w:rsidR="00F67DDB" w:rsidRPr="0070080E" w:rsidRDefault="0094076D">
            <w:pPr>
              <w:pStyle w:val="Compact"/>
            </w:pPr>
            <w:r w:rsidRPr="0070080E">
              <w:t>13</w:t>
            </w:r>
          </w:p>
        </w:tc>
        <w:tc>
          <w:tcPr>
            <w:tcW w:w="1131" w:type="dxa"/>
          </w:tcPr>
          <w:p w14:paraId="3CB10495" w14:textId="77777777" w:rsidR="00F67DDB" w:rsidRPr="0070080E" w:rsidRDefault="0094076D">
            <w:pPr>
              <w:pStyle w:val="Compact"/>
            </w:pPr>
            <w:r w:rsidRPr="0070080E">
              <w:t>3</w:t>
            </w:r>
          </w:p>
        </w:tc>
        <w:tc>
          <w:tcPr>
            <w:tcW w:w="1131" w:type="dxa"/>
          </w:tcPr>
          <w:p w14:paraId="3CB10496" w14:textId="77777777" w:rsidR="00F67DDB" w:rsidRPr="0070080E" w:rsidRDefault="0094076D">
            <w:pPr>
              <w:pStyle w:val="Compact"/>
            </w:pPr>
            <w:r w:rsidRPr="0070080E">
              <w:t>10</w:t>
            </w:r>
          </w:p>
        </w:tc>
        <w:tc>
          <w:tcPr>
            <w:tcW w:w="1131" w:type="dxa"/>
          </w:tcPr>
          <w:p w14:paraId="3CB10497" w14:textId="77777777" w:rsidR="00F67DDB" w:rsidRPr="0070080E" w:rsidRDefault="0094076D">
            <w:pPr>
              <w:pStyle w:val="Compact"/>
            </w:pPr>
            <w:r w:rsidRPr="0070080E">
              <w:t>3.07%</w:t>
            </w:r>
          </w:p>
        </w:tc>
        <w:tc>
          <w:tcPr>
            <w:tcW w:w="1131" w:type="dxa"/>
          </w:tcPr>
          <w:p w14:paraId="3CB10498" w14:textId="77777777" w:rsidR="00F67DDB" w:rsidRPr="0070080E" w:rsidRDefault="0094076D">
            <w:pPr>
              <w:pStyle w:val="Compact"/>
            </w:pPr>
            <w:r w:rsidRPr="0070080E">
              <w:t>1.42%</w:t>
            </w:r>
          </w:p>
        </w:tc>
        <w:tc>
          <w:tcPr>
            <w:tcW w:w="1131" w:type="dxa"/>
          </w:tcPr>
          <w:p w14:paraId="3CB10499" w14:textId="77777777" w:rsidR="00F67DDB" w:rsidRPr="0070080E" w:rsidRDefault="0094076D">
            <w:pPr>
              <w:pStyle w:val="Compact"/>
            </w:pPr>
            <w:r w:rsidRPr="0070080E">
              <w:t>4.72%</w:t>
            </w:r>
          </w:p>
        </w:tc>
      </w:tr>
    </w:tbl>
    <w:p w14:paraId="3CB1049B" w14:textId="77777777" w:rsidR="00F67DDB" w:rsidRPr="0070080E" w:rsidRDefault="0094076D" w:rsidP="00465F21">
      <w:pPr>
        <w:pStyle w:val="BodyText"/>
        <w:ind w:firstLine="0"/>
      </w:pPr>
      <w:r w:rsidRPr="0070080E">
        <w:rPr>
          <w:i/>
          <w:iCs/>
        </w:rPr>
        <w:t>Note.</w:t>
      </w:r>
      <w:r w:rsidRPr="0070080E">
        <w:t xml:space="preserve"> NRS responses on a 7-point scale (1 = Strongly reduce concentration, 7 = Strongly increase concentration). N = 53 respondents, 424 total observations. Percentages may not sum to 100% due to rounding.</w:t>
      </w:r>
    </w:p>
    <w:p w14:paraId="3CB1049C" w14:textId="1F4183E6" w:rsidR="00F67DDB" w:rsidRPr="0070080E" w:rsidRDefault="0094076D">
      <w:pPr>
        <w:pStyle w:val="BodyText"/>
      </w:pPr>
      <w:r w:rsidRPr="0070080E">
        <w:t>The normality of the data used in hypothesis testing is assessed statistically rather than inferred from sample size. Because the dependent variable is a bounded seven-point ordinal scale, its marginal distribution is not expected to be normal and is not required to be; the assumption relevant to ordinary least squares inference concerns the regression residuals. A Shapiro-Wilk test applied to the residuals of the primary H1 specification rejects the null hypothesis of normality (W = 0.9849, p = 0.0002; Table 5.6), so the residuals are treated as statistically non-normal. This result, rather than the number of observations or an appeal to the central limit theorem, determines the choice of inference method. Exact small-sample t and F inference would require normally distributed residuals and is therefore not relied upon here. Inference is instead based on the asymptotic normality of the ordinary least squares coefficient estimator combined with two-way cluster-robust standard errors, clustered by manager and by event, which remain valid under non-normal, heteroscedastic, and within-cluster-correlated errors (</w:t>
      </w:r>
      <w:hyperlink r:id="rId344">
        <w:r w:rsidRPr="0070080E">
          <w:rPr>
            <w:rStyle w:val="Hyperlink"/>
          </w:rPr>
          <w:t>MacKinnon &amp; White, 1985</w:t>
        </w:r>
      </w:hyperlink>
      <w:r w:rsidRPr="0070080E">
        <w:t xml:space="preserve">; </w:t>
      </w:r>
      <w:hyperlink r:id="rId345">
        <w:r w:rsidRPr="0070080E">
          <w:rPr>
            <w:rStyle w:val="Hyperlink"/>
          </w:rPr>
          <w:t>Cameron</w:t>
        </w:r>
        <w:r w:rsidR="00E169DA">
          <w:rPr>
            <w:rStyle w:val="Hyperlink"/>
          </w:rPr>
          <w:t xml:space="preserve"> et al.</w:t>
        </w:r>
        <w:r w:rsidRPr="0070080E">
          <w:rPr>
            <w:rStyle w:val="Hyperlink"/>
          </w:rPr>
          <w:t>, 2011</w:t>
        </w:r>
      </w:hyperlink>
      <w:r w:rsidRPr="0070080E">
        <w:t xml:space="preserve">; </w:t>
      </w:r>
      <w:hyperlink r:id="rId346">
        <w:r w:rsidRPr="0070080E">
          <w:rPr>
            <w:rStyle w:val="Hyperlink"/>
          </w:rPr>
          <w:t>Petersen, 2009</w:t>
        </w:r>
      </w:hyperlink>
      <w:r w:rsidRPr="0070080E">
        <w:t xml:space="preserve">). The validity of this approach rests on the number of clusters rather than on the distribution of the residuals, so the statistical rejection of residual normality does not undermine the hypothesis tests reported below. Because the event dimension comprises a limited number of clusters (24 scenarios), the primary H1 conclusion is additionally corroborated by HC3 heteroscedasticity-robust standard errors (p &lt; 0.0001) and by the respondent within-estimator (β₁ = -0.1846, p = 0.0008; Table 5.8), and therefore does not rest on the cluster-count </w:t>
      </w:r>
      <w:proofErr w:type="spellStart"/>
      <w:r w:rsidRPr="0070080E">
        <w:t>asymptotics</w:t>
      </w:r>
      <w:proofErr w:type="spellEnd"/>
      <w:r w:rsidRPr="0070080E">
        <w:t xml:space="preserve"> alone.</w:t>
      </w:r>
    </w:p>
    <w:p w14:paraId="3CB1049D" w14:textId="5879198F" w:rsidR="00F67DDB" w:rsidRPr="0070080E" w:rsidRDefault="0094076D">
      <w:pPr>
        <w:pStyle w:val="BodyText"/>
      </w:pPr>
      <w:r w:rsidRPr="0070080E">
        <w:t xml:space="preserve">Inter-rater reliability is assessed using the intraclass correlation coefficient </w:t>
      </w:r>
      <w:proofErr w:type="gramStart"/>
      <w:r w:rsidRPr="0070080E">
        <w:t>ICC(</w:t>
      </w:r>
      <w:proofErr w:type="gramEnd"/>
      <w:r w:rsidRPr="0070080E">
        <w:t>2,1)</w:t>
      </w:r>
      <w:r w:rsidR="000A66AA">
        <w:t>—</w:t>
      </w:r>
      <w:r w:rsidRPr="0070080E">
        <w:t xml:space="preserve">two-way random effects, single measures, absolute agreement (Koo &amp; Li, 2016). For each block, mean NRS per scenario is computed separately for counterbalancing Version 1 and Version 2 respondents. </w:t>
      </w:r>
      <w:proofErr w:type="gramStart"/>
      <w:r w:rsidRPr="0070080E">
        <w:t>ICC(</w:t>
      </w:r>
      <w:proofErr w:type="gramEnd"/>
      <w:r w:rsidRPr="0070080E">
        <w:t>2,1) is then computed treating scenarios as targets and versions as raters. This tests whether V1 and V2 respondents agree on the relative ordering and absolute level of NRS across scenarios within a block, which is the appropriate reliability question for a heterogeneous-scenario instrument.</w:t>
      </w:r>
    </w:p>
    <w:p w14:paraId="3CB1049E" w14:textId="77777777" w:rsidR="00F67DDB" w:rsidRPr="0070080E" w:rsidRDefault="0094076D" w:rsidP="00465F21">
      <w:pPr>
        <w:pStyle w:val="Tableid"/>
      </w:pPr>
      <w:r w:rsidRPr="0070080E">
        <w:t>Table 5.5</w:t>
      </w:r>
    </w:p>
    <w:p w14:paraId="3CB1049F" w14:textId="15C62D42" w:rsidR="00F67DDB" w:rsidRPr="0070080E" w:rsidRDefault="0094076D" w:rsidP="00B300EE">
      <w:pPr>
        <w:pStyle w:val="TableCaption"/>
      </w:pPr>
      <w:r w:rsidRPr="0070080E">
        <w:t>Instrument Reliability</w:t>
      </w:r>
      <w:r w:rsidR="000A66AA">
        <w:t>—</w:t>
      </w:r>
      <w:r w:rsidRPr="0070080E">
        <w:t xml:space="preserve">Mean </w:t>
      </w:r>
      <w:proofErr w:type="gramStart"/>
      <w:r w:rsidRPr="0070080E">
        <w:t>ICC(</w:t>
      </w:r>
      <w:proofErr w:type="gramEnd"/>
      <w:r w:rsidRPr="0070080E">
        <w:t>2,1) by Block</w:t>
      </w:r>
    </w:p>
    <w:tbl>
      <w:tblPr>
        <w:tblStyle w:val="Table"/>
        <w:tblW w:w="5000" w:type="pct"/>
        <w:tblLayout w:type="fixed"/>
        <w:tblLook w:val="0020" w:firstRow="1" w:lastRow="0" w:firstColumn="0" w:lastColumn="0" w:noHBand="0" w:noVBand="0"/>
      </w:tblPr>
      <w:tblGrid>
        <w:gridCol w:w="949"/>
        <w:gridCol w:w="1899"/>
        <w:gridCol w:w="2035"/>
        <w:gridCol w:w="2849"/>
        <w:gridCol w:w="1628"/>
      </w:tblGrid>
      <w:tr w:rsidR="00F67DDB" w:rsidRPr="0070080E" w14:paraId="3CB104A5"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803" w:type="dxa"/>
          </w:tcPr>
          <w:p w14:paraId="3CB104A0" w14:textId="77777777" w:rsidR="00F67DDB" w:rsidRPr="0070080E" w:rsidRDefault="0094076D">
            <w:pPr>
              <w:pStyle w:val="Compact"/>
            </w:pPr>
            <w:r w:rsidRPr="0070080E">
              <w:t>Block</w:t>
            </w:r>
          </w:p>
        </w:tc>
        <w:tc>
          <w:tcPr>
            <w:tcW w:w="1606" w:type="dxa"/>
          </w:tcPr>
          <w:p w14:paraId="3CB104A1" w14:textId="77777777" w:rsidR="00F67DDB" w:rsidRPr="0070080E" w:rsidRDefault="0094076D">
            <w:pPr>
              <w:pStyle w:val="Compact"/>
            </w:pPr>
            <w:r w:rsidRPr="0070080E">
              <w:t>N respondents</w:t>
            </w:r>
          </w:p>
        </w:tc>
        <w:tc>
          <w:tcPr>
            <w:tcW w:w="1721" w:type="dxa"/>
          </w:tcPr>
          <w:p w14:paraId="3CB104A2" w14:textId="77777777" w:rsidR="00F67DDB" w:rsidRPr="0070080E" w:rsidRDefault="0094076D">
            <w:pPr>
              <w:pStyle w:val="Compact"/>
            </w:pPr>
            <w:r w:rsidRPr="0070080E">
              <w:t xml:space="preserve">Mean </w:t>
            </w:r>
            <w:proofErr w:type="gramStart"/>
            <w:r w:rsidRPr="0070080E">
              <w:t>ICC(</w:t>
            </w:r>
            <w:proofErr w:type="gramEnd"/>
            <w:r w:rsidRPr="0070080E">
              <w:t>2,1)</w:t>
            </w:r>
          </w:p>
        </w:tc>
        <w:tc>
          <w:tcPr>
            <w:tcW w:w="2410" w:type="dxa"/>
          </w:tcPr>
          <w:p w14:paraId="3CB104A3" w14:textId="77777777" w:rsidR="00F67DDB" w:rsidRPr="0070080E" w:rsidRDefault="0094076D">
            <w:pPr>
              <w:pStyle w:val="Compact"/>
            </w:pPr>
            <w:r w:rsidRPr="0070080E">
              <w:t>Threshold (≥ 0.70)</w:t>
            </w:r>
          </w:p>
        </w:tc>
        <w:tc>
          <w:tcPr>
            <w:tcW w:w="1377" w:type="dxa"/>
          </w:tcPr>
          <w:p w14:paraId="3CB104A4" w14:textId="77777777" w:rsidR="00F67DDB" w:rsidRPr="0070080E" w:rsidRDefault="0094076D">
            <w:pPr>
              <w:pStyle w:val="Compact"/>
            </w:pPr>
            <w:r w:rsidRPr="0070080E">
              <w:t>Assessment</w:t>
            </w:r>
          </w:p>
        </w:tc>
      </w:tr>
      <w:tr w:rsidR="00F67DDB" w:rsidRPr="0070080E" w14:paraId="3CB104AB" w14:textId="77777777">
        <w:tc>
          <w:tcPr>
            <w:tcW w:w="803" w:type="dxa"/>
          </w:tcPr>
          <w:p w14:paraId="3CB104A6" w14:textId="77777777" w:rsidR="00F67DDB" w:rsidRPr="0070080E" w:rsidRDefault="0094076D">
            <w:pPr>
              <w:pStyle w:val="Compact"/>
            </w:pPr>
            <w:r w:rsidRPr="0070080E">
              <w:t>Block 1</w:t>
            </w:r>
          </w:p>
        </w:tc>
        <w:tc>
          <w:tcPr>
            <w:tcW w:w="1606" w:type="dxa"/>
          </w:tcPr>
          <w:p w14:paraId="3CB104A7" w14:textId="77777777" w:rsidR="00F67DDB" w:rsidRPr="0070080E" w:rsidRDefault="0094076D">
            <w:pPr>
              <w:pStyle w:val="Compact"/>
            </w:pPr>
            <w:r w:rsidRPr="0070080E">
              <w:t>21</w:t>
            </w:r>
          </w:p>
        </w:tc>
        <w:tc>
          <w:tcPr>
            <w:tcW w:w="1721" w:type="dxa"/>
          </w:tcPr>
          <w:p w14:paraId="3CB104A8" w14:textId="77777777" w:rsidR="00F67DDB" w:rsidRPr="0070080E" w:rsidRDefault="0094076D">
            <w:pPr>
              <w:pStyle w:val="Compact"/>
            </w:pPr>
            <w:r w:rsidRPr="0070080E">
              <w:t>0.8425</w:t>
            </w:r>
          </w:p>
        </w:tc>
        <w:tc>
          <w:tcPr>
            <w:tcW w:w="2410" w:type="dxa"/>
          </w:tcPr>
          <w:p w14:paraId="3CB104A9" w14:textId="77777777" w:rsidR="00F67DDB" w:rsidRPr="0070080E" w:rsidRDefault="0094076D">
            <w:pPr>
              <w:pStyle w:val="Compact"/>
            </w:pPr>
            <w:r w:rsidRPr="0070080E">
              <w:t>Above</w:t>
            </w:r>
          </w:p>
        </w:tc>
        <w:tc>
          <w:tcPr>
            <w:tcW w:w="1377" w:type="dxa"/>
          </w:tcPr>
          <w:p w14:paraId="3CB104AA" w14:textId="77777777" w:rsidR="00F67DDB" w:rsidRPr="0070080E" w:rsidRDefault="0094076D">
            <w:pPr>
              <w:pStyle w:val="Compact"/>
            </w:pPr>
            <w:r w:rsidRPr="0070080E">
              <w:t>Acceptable</w:t>
            </w:r>
          </w:p>
        </w:tc>
      </w:tr>
      <w:tr w:rsidR="00F67DDB" w:rsidRPr="0070080E" w14:paraId="3CB104B1" w14:textId="77777777">
        <w:tc>
          <w:tcPr>
            <w:tcW w:w="803" w:type="dxa"/>
          </w:tcPr>
          <w:p w14:paraId="3CB104AC" w14:textId="77777777" w:rsidR="00F67DDB" w:rsidRPr="0070080E" w:rsidRDefault="0094076D">
            <w:pPr>
              <w:pStyle w:val="Compact"/>
            </w:pPr>
            <w:r w:rsidRPr="0070080E">
              <w:t>Block 2</w:t>
            </w:r>
          </w:p>
        </w:tc>
        <w:tc>
          <w:tcPr>
            <w:tcW w:w="1606" w:type="dxa"/>
          </w:tcPr>
          <w:p w14:paraId="3CB104AD" w14:textId="77777777" w:rsidR="00F67DDB" w:rsidRPr="0070080E" w:rsidRDefault="0094076D">
            <w:pPr>
              <w:pStyle w:val="Compact"/>
            </w:pPr>
            <w:r w:rsidRPr="0070080E">
              <w:t>17</w:t>
            </w:r>
          </w:p>
        </w:tc>
        <w:tc>
          <w:tcPr>
            <w:tcW w:w="1721" w:type="dxa"/>
          </w:tcPr>
          <w:p w14:paraId="3CB104AE" w14:textId="77777777" w:rsidR="00F67DDB" w:rsidRPr="0070080E" w:rsidRDefault="0094076D">
            <w:pPr>
              <w:pStyle w:val="Compact"/>
            </w:pPr>
            <w:r w:rsidRPr="0070080E">
              <w:t>0.9026</w:t>
            </w:r>
          </w:p>
        </w:tc>
        <w:tc>
          <w:tcPr>
            <w:tcW w:w="2410" w:type="dxa"/>
          </w:tcPr>
          <w:p w14:paraId="3CB104AF" w14:textId="77777777" w:rsidR="00F67DDB" w:rsidRPr="0070080E" w:rsidRDefault="0094076D">
            <w:pPr>
              <w:pStyle w:val="Compact"/>
            </w:pPr>
            <w:r w:rsidRPr="0070080E">
              <w:t>Above</w:t>
            </w:r>
          </w:p>
        </w:tc>
        <w:tc>
          <w:tcPr>
            <w:tcW w:w="1377" w:type="dxa"/>
          </w:tcPr>
          <w:p w14:paraId="3CB104B0" w14:textId="77777777" w:rsidR="00F67DDB" w:rsidRPr="0070080E" w:rsidRDefault="0094076D">
            <w:pPr>
              <w:pStyle w:val="Compact"/>
            </w:pPr>
            <w:r w:rsidRPr="0070080E">
              <w:t>Acceptable</w:t>
            </w:r>
          </w:p>
        </w:tc>
      </w:tr>
      <w:tr w:rsidR="00F67DDB" w:rsidRPr="0070080E" w14:paraId="3CB104B7" w14:textId="77777777" w:rsidTr="008723D3">
        <w:trPr>
          <w:trHeight w:val="369"/>
        </w:trPr>
        <w:tc>
          <w:tcPr>
            <w:tcW w:w="803" w:type="dxa"/>
          </w:tcPr>
          <w:p w14:paraId="3CB104B2" w14:textId="77777777" w:rsidR="00F67DDB" w:rsidRPr="0070080E" w:rsidRDefault="0094076D">
            <w:pPr>
              <w:pStyle w:val="Compact"/>
            </w:pPr>
            <w:r w:rsidRPr="0070080E">
              <w:t>Block 3</w:t>
            </w:r>
          </w:p>
        </w:tc>
        <w:tc>
          <w:tcPr>
            <w:tcW w:w="1606" w:type="dxa"/>
          </w:tcPr>
          <w:p w14:paraId="3CB104B3" w14:textId="77777777" w:rsidR="00F67DDB" w:rsidRPr="0070080E" w:rsidRDefault="0094076D">
            <w:pPr>
              <w:pStyle w:val="Compact"/>
            </w:pPr>
            <w:r w:rsidRPr="0070080E">
              <w:t>15</w:t>
            </w:r>
          </w:p>
        </w:tc>
        <w:tc>
          <w:tcPr>
            <w:tcW w:w="1721" w:type="dxa"/>
          </w:tcPr>
          <w:p w14:paraId="3CB104B4" w14:textId="77777777" w:rsidR="00F67DDB" w:rsidRPr="0070080E" w:rsidRDefault="0094076D">
            <w:pPr>
              <w:pStyle w:val="Compact"/>
            </w:pPr>
            <w:r w:rsidRPr="0070080E">
              <w:t>0.9369</w:t>
            </w:r>
          </w:p>
        </w:tc>
        <w:tc>
          <w:tcPr>
            <w:tcW w:w="2410" w:type="dxa"/>
          </w:tcPr>
          <w:p w14:paraId="3CB104B5" w14:textId="77777777" w:rsidR="00F67DDB" w:rsidRPr="0070080E" w:rsidRDefault="0094076D">
            <w:pPr>
              <w:pStyle w:val="Compact"/>
            </w:pPr>
            <w:r w:rsidRPr="0070080E">
              <w:t>Above</w:t>
            </w:r>
          </w:p>
        </w:tc>
        <w:tc>
          <w:tcPr>
            <w:tcW w:w="1377" w:type="dxa"/>
          </w:tcPr>
          <w:p w14:paraId="3CB104B6" w14:textId="77777777" w:rsidR="00F67DDB" w:rsidRPr="0070080E" w:rsidRDefault="0094076D">
            <w:pPr>
              <w:pStyle w:val="Compact"/>
            </w:pPr>
            <w:r w:rsidRPr="0070080E">
              <w:t>Acceptable</w:t>
            </w:r>
          </w:p>
        </w:tc>
      </w:tr>
    </w:tbl>
    <w:p w14:paraId="3CB104B8" w14:textId="77777777" w:rsidR="00F67DDB" w:rsidRPr="0070080E" w:rsidRDefault="0094076D" w:rsidP="00B300EE">
      <w:pPr>
        <w:pStyle w:val="BodyText"/>
        <w:ind w:firstLine="0"/>
      </w:pPr>
      <w:r w:rsidRPr="0070080E">
        <w:rPr>
          <w:i/>
          <w:iCs/>
        </w:rPr>
        <w:t>Note.</w:t>
      </w:r>
      <w:r w:rsidRPr="0070080E">
        <w:t xml:space="preserve"> </w:t>
      </w:r>
      <w:proofErr w:type="gramStart"/>
      <w:r w:rsidRPr="0070080E">
        <w:t>ICC(</w:t>
      </w:r>
      <w:proofErr w:type="gramEnd"/>
      <w:r w:rsidRPr="0070080E">
        <w:t>2,1) computed per block using mean NRS per scenario × version (V1/V2) as the data structure; scenarios are targets, versions are raters. Threshold of ICC ≥ 0.70 follows Koo and Mae (2016). Blocks with no respondents in the current sample are marked as pending.</w:t>
      </w:r>
    </w:p>
    <w:p w14:paraId="33D4CDB2" w14:textId="77777777" w:rsidR="00B300EE" w:rsidRPr="0070080E" w:rsidRDefault="00B300EE">
      <w:pPr>
        <w:spacing w:after="200" w:line="240" w:lineRule="auto"/>
        <w:ind w:firstLine="0"/>
        <w:rPr>
          <w:b/>
          <w:bCs/>
        </w:rPr>
      </w:pPr>
      <w:r w:rsidRPr="0070080E">
        <w:rPr>
          <w:b/>
          <w:bCs/>
        </w:rPr>
        <w:br w:type="page"/>
      </w:r>
    </w:p>
    <w:p w14:paraId="3CB104B9" w14:textId="45D5BD87" w:rsidR="00F67DDB" w:rsidRPr="0070080E" w:rsidRDefault="0094076D" w:rsidP="00B300EE">
      <w:pPr>
        <w:pStyle w:val="Tableid"/>
      </w:pPr>
      <w:r w:rsidRPr="0070080E">
        <w:t>Table 5.6</w:t>
      </w:r>
    </w:p>
    <w:p w14:paraId="3CB104BA" w14:textId="4B15FB34" w:rsidR="00F67DDB" w:rsidRPr="0070080E" w:rsidRDefault="0094076D" w:rsidP="00B300EE">
      <w:pPr>
        <w:pStyle w:val="TableCaption"/>
      </w:pPr>
      <w:r w:rsidRPr="0070080E">
        <w:t>OLS Residual Normality</w:t>
      </w:r>
      <w:r w:rsidR="000A66AA">
        <w:t>—</w:t>
      </w:r>
      <w:r w:rsidRPr="0070080E">
        <w:t>Primary H1 Regression</w:t>
      </w:r>
    </w:p>
    <w:tbl>
      <w:tblPr>
        <w:tblStyle w:val="Table"/>
        <w:tblW w:w="4944" w:type="pct"/>
        <w:tblLayout w:type="fixed"/>
        <w:tblLook w:val="0020" w:firstRow="1" w:lastRow="0" w:firstColumn="0" w:lastColumn="0" w:noHBand="0" w:noVBand="0"/>
      </w:tblPr>
      <w:tblGrid>
        <w:gridCol w:w="1979"/>
        <w:gridCol w:w="1145"/>
        <w:gridCol w:w="1452"/>
        <w:gridCol w:w="1583"/>
        <w:gridCol w:w="939"/>
        <w:gridCol w:w="2157"/>
      </w:tblGrid>
      <w:tr w:rsidR="00F67DDB" w:rsidRPr="0070080E" w14:paraId="3CB104C1" w14:textId="77777777" w:rsidTr="00BD40B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B104BB" w14:textId="77777777" w:rsidR="00F67DDB" w:rsidRPr="0070080E" w:rsidRDefault="00F67DDB">
            <w:pPr>
              <w:pStyle w:val="Compact"/>
            </w:pPr>
          </w:p>
        </w:tc>
        <w:tc>
          <w:tcPr>
            <w:tcW w:w="1145" w:type="dxa"/>
          </w:tcPr>
          <w:p w14:paraId="3CB104BC" w14:textId="77777777" w:rsidR="00F67DDB" w:rsidRPr="0070080E" w:rsidRDefault="0094076D">
            <w:pPr>
              <w:pStyle w:val="Compact"/>
            </w:pPr>
            <w:r w:rsidRPr="0070080E">
              <w:t>Skewness</w:t>
            </w:r>
          </w:p>
        </w:tc>
        <w:tc>
          <w:tcPr>
            <w:tcW w:w="1452" w:type="dxa"/>
          </w:tcPr>
          <w:p w14:paraId="3CB104BD" w14:textId="77777777" w:rsidR="00F67DDB" w:rsidRPr="0070080E" w:rsidRDefault="0094076D">
            <w:pPr>
              <w:pStyle w:val="Compact"/>
            </w:pPr>
            <w:r w:rsidRPr="0070080E">
              <w:t>Excess kurtosis</w:t>
            </w:r>
          </w:p>
        </w:tc>
        <w:tc>
          <w:tcPr>
            <w:tcW w:w="1583" w:type="dxa"/>
          </w:tcPr>
          <w:p w14:paraId="3CB104BE" w14:textId="77777777" w:rsidR="00F67DDB" w:rsidRPr="0070080E" w:rsidRDefault="0094076D">
            <w:pPr>
              <w:pStyle w:val="Compact"/>
            </w:pPr>
            <w:r w:rsidRPr="0070080E">
              <w:t>Shapiro-Wilk W</w:t>
            </w:r>
          </w:p>
        </w:tc>
        <w:tc>
          <w:tcPr>
            <w:tcW w:w="939" w:type="dxa"/>
          </w:tcPr>
          <w:p w14:paraId="3CB104BF" w14:textId="77777777" w:rsidR="00F67DDB" w:rsidRPr="0070080E" w:rsidRDefault="0094076D">
            <w:pPr>
              <w:pStyle w:val="Compact"/>
            </w:pPr>
            <w:r w:rsidRPr="0070080E">
              <w:t>p-value</w:t>
            </w:r>
          </w:p>
        </w:tc>
        <w:tc>
          <w:tcPr>
            <w:tcW w:w="2157" w:type="dxa"/>
          </w:tcPr>
          <w:p w14:paraId="2B74014D" w14:textId="77777777" w:rsidR="00BD40B9" w:rsidRPr="0070080E" w:rsidRDefault="0094076D">
            <w:pPr>
              <w:pStyle w:val="Compact"/>
            </w:pPr>
            <w:r w:rsidRPr="0070080E">
              <w:t xml:space="preserve">Normality rejected </w:t>
            </w:r>
          </w:p>
          <w:p w14:paraId="3CB104C0" w14:textId="6FC67499" w:rsidR="00F67DDB" w:rsidRPr="0070080E" w:rsidRDefault="0094076D">
            <w:pPr>
              <w:pStyle w:val="Compact"/>
            </w:pPr>
            <w:r w:rsidRPr="0070080E">
              <w:t>(α = 0.05)</w:t>
            </w:r>
          </w:p>
        </w:tc>
      </w:tr>
      <w:tr w:rsidR="00F67DDB" w:rsidRPr="0070080E" w14:paraId="3CB104C8" w14:textId="77777777" w:rsidTr="00BD40B9">
        <w:tc>
          <w:tcPr>
            <w:tcW w:w="1980" w:type="dxa"/>
          </w:tcPr>
          <w:p w14:paraId="3CB104C2" w14:textId="77777777" w:rsidR="00F67DDB" w:rsidRPr="0070080E" w:rsidRDefault="0094076D">
            <w:pPr>
              <w:pStyle w:val="Compact"/>
            </w:pPr>
            <w:r w:rsidRPr="0070080E">
              <w:t>Raw NRS response</w:t>
            </w:r>
          </w:p>
        </w:tc>
        <w:tc>
          <w:tcPr>
            <w:tcW w:w="1145" w:type="dxa"/>
          </w:tcPr>
          <w:p w14:paraId="3CB104C3" w14:textId="77777777" w:rsidR="00F67DDB" w:rsidRPr="0070080E" w:rsidRDefault="0094076D">
            <w:pPr>
              <w:pStyle w:val="Compact"/>
            </w:pPr>
            <w:r w:rsidRPr="0070080E">
              <w:t>-0.1846</w:t>
            </w:r>
          </w:p>
        </w:tc>
        <w:tc>
          <w:tcPr>
            <w:tcW w:w="1452" w:type="dxa"/>
          </w:tcPr>
          <w:p w14:paraId="3CB104C4" w14:textId="77777777" w:rsidR="00F67DDB" w:rsidRPr="0070080E" w:rsidRDefault="0094076D">
            <w:pPr>
              <w:pStyle w:val="Compact"/>
            </w:pPr>
            <w:r w:rsidRPr="0070080E">
              <w:t>-0.2561</w:t>
            </w:r>
          </w:p>
        </w:tc>
        <w:tc>
          <w:tcPr>
            <w:tcW w:w="1583" w:type="dxa"/>
          </w:tcPr>
          <w:p w14:paraId="3CB104C5" w14:textId="77777777" w:rsidR="00F67DDB" w:rsidRPr="0070080E" w:rsidRDefault="0094076D">
            <w:pPr>
              <w:pStyle w:val="Compact"/>
            </w:pPr>
            <w:r w:rsidRPr="0070080E">
              <w:t>0.9455</w:t>
            </w:r>
          </w:p>
        </w:tc>
        <w:tc>
          <w:tcPr>
            <w:tcW w:w="939" w:type="dxa"/>
          </w:tcPr>
          <w:p w14:paraId="3CB104C6" w14:textId="77777777" w:rsidR="00F67DDB" w:rsidRPr="0070080E" w:rsidRDefault="0094076D">
            <w:pPr>
              <w:pStyle w:val="Compact"/>
            </w:pPr>
            <w:r w:rsidRPr="0070080E">
              <w:t>&lt;0.0001</w:t>
            </w:r>
          </w:p>
        </w:tc>
        <w:tc>
          <w:tcPr>
            <w:tcW w:w="2157" w:type="dxa"/>
          </w:tcPr>
          <w:p w14:paraId="3CB104C7" w14:textId="77777777" w:rsidR="00F67DDB" w:rsidRPr="0070080E" w:rsidRDefault="0094076D">
            <w:pPr>
              <w:pStyle w:val="Compact"/>
            </w:pPr>
            <w:r w:rsidRPr="0070080E">
              <w:t>Yes</w:t>
            </w:r>
          </w:p>
        </w:tc>
      </w:tr>
      <w:tr w:rsidR="00F67DDB" w:rsidRPr="0070080E" w14:paraId="3CB104CF" w14:textId="77777777" w:rsidTr="00BD40B9">
        <w:trPr>
          <w:trHeight w:val="594"/>
        </w:trPr>
        <w:tc>
          <w:tcPr>
            <w:tcW w:w="1980" w:type="dxa"/>
          </w:tcPr>
          <w:p w14:paraId="3CB104C9" w14:textId="77777777" w:rsidR="00F67DDB" w:rsidRPr="0070080E" w:rsidRDefault="0094076D">
            <w:pPr>
              <w:pStyle w:val="Compact"/>
            </w:pPr>
            <w:r w:rsidRPr="0070080E">
              <w:t>Primary H1 residuals</w:t>
            </w:r>
          </w:p>
        </w:tc>
        <w:tc>
          <w:tcPr>
            <w:tcW w:w="1145" w:type="dxa"/>
          </w:tcPr>
          <w:p w14:paraId="3CB104CA" w14:textId="77777777" w:rsidR="00F67DDB" w:rsidRPr="0070080E" w:rsidRDefault="0094076D">
            <w:pPr>
              <w:pStyle w:val="Compact"/>
            </w:pPr>
            <w:r w:rsidRPr="0070080E">
              <w:t>0.0205</w:t>
            </w:r>
          </w:p>
        </w:tc>
        <w:tc>
          <w:tcPr>
            <w:tcW w:w="1452" w:type="dxa"/>
          </w:tcPr>
          <w:p w14:paraId="3CB104CB" w14:textId="77777777" w:rsidR="00F67DDB" w:rsidRPr="0070080E" w:rsidRDefault="0094076D">
            <w:pPr>
              <w:pStyle w:val="Compact"/>
            </w:pPr>
            <w:r w:rsidRPr="0070080E">
              <w:t>0.5096</w:t>
            </w:r>
          </w:p>
        </w:tc>
        <w:tc>
          <w:tcPr>
            <w:tcW w:w="1583" w:type="dxa"/>
          </w:tcPr>
          <w:p w14:paraId="3CB104CC" w14:textId="77777777" w:rsidR="00F67DDB" w:rsidRPr="0070080E" w:rsidRDefault="0094076D">
            <w:pPr>
              <w:pStyle w:val="Compact"/>
            </w:pPr>
            <w:r w:rsidRPr="0070080E">
              <w:t>0.9849</w:t>
            </w:r>
          </w:p>
        </w:tc>
        <w:tc>
          <w:tcPr>
            <w:tcW w:w="939" w:type="dxa"/>
          </w:tcPr>
          <w:p w14:paraId="3CB104CD" w14:textId="77777777" w:rsidR="00F67DDB" w:rsidRPr="0070080E" w:rsidRDefault="0094076D">
            <w:pPr>
              <w:pStyle w:val="Compact"/>
            </w:pPr>
            <w:r w:rsidRPr="0070080E">
              <w:t>0.0002</w:t>
            </w:r>
          </w:p>
        </w:tc>
        <w:tc>
          <w:tcPr>
            <w:tcW w:w="2157" w:type="dxa"/>
          </w:tcPr>
          <w:p w14:paraId="3CB104CE" w14:textId="77777777" w:rsidR="00F67DDB" w:rsidRPr="0070080E" w:rsidRDefault="0094076D">
            <w:pPr>
              <w:pStyle w:val="Compact"/>
            </w:pPr>
            <w:r w:rsidRPr="0070080E">
              <w:t>Yes</w:t>
            </w:r>
          </w:p>
        </w:tc>
      </w:tr>
    </w:tbl>
    <w:p w14:paraId="3CB104D0" w14:textId="77777777" w:rsidR="00F67DDB" w:rsidRPr="0070080E" w:rsidRDefault="0094076D" w:rsidP="00B300EE">
      <w:pPr>
        <w:pStyle w:val="BodyText"/>
        <w:ind w:firstLine="0"/>
      </w:pPr>
      <w:r w:rsidRPr="0070080E">
        <w:rPr>
          <w:i/>
          <w:iCs/>
        </w:rPr>
        <w:t>Note.</w:t>
      </w:r>
      <w:r w:rsidRPr="0070080E">
        <w:t xml:space="preserve"> N = 424 observations. Skewness and excess kurtosis are sample-adjusted (bias-corrected) estimates; excess kurtosis follows the Fisher convention (normal = 0). The Shapiro-Wilk test is applied to the OLS residuals of the primary H1 regression and, separately, to the raw NRS responses. Residual normality is the relevant OLS assumption; the marginal distribution of the bounded seven-point NRS scale is not required to be normal. Inference for the primary specification uses two-way cluster-robust standard errors (clustered by respondent and scenario), whose validity does not depend on residual normality.</w:t>
      </w:r>
    </w:p>
    <w:p w14:paraId="3CB104D1" w14:textId="77777777" w:rsidR="00F67DDB" w:rsidRPr="0070080E" w:rsidRDefault="0094076D" w:rsidP="00B300EE">
      <w:pPr>
        <w:pStyle w:val="Tableid"/>
      </w:pPr>
      <w:r w:rsidRPr="0070080E">
        <w:t>Figure 5.6</w:t>
      </w:r>
    </w:p>
    <w:p w14:paraId="3CB104D2" w14:textId="77777777" w:rsidR="00F67DDB" w:rsidRPr="0070080E" w:rsidRDefault="0094076D" w:rsidP="00B300EE">
      <w:pPr>
        <w:pStyle w:val="TableCaption"/>
      </w:pPr>
      <w:r w:rsidRPr="0070080E">
        <w:t>Residual-Normality Diagnostics for the Primary H1 Regression</w:t>
      </w:r>
    </w:p>
    <w:p w14:paraId="3CB104D3" w14:textId="77777777" w:rsidR="00F67DDB" w:rsidRPr="0070080E" w:rsidRDefault="0094076D" w:rsidP="00BD40B9">
      <w:pPr>
        <w:pStyle w:val="Compact"/>
      </w:pPr>
      <w:r w:rsidRPr="0070080E">
        <w:rPr>
          <w:noProof/>
        </w:rPr>
        <w:drawing>
          <wp:inline distT="0" distB="0" distL="0" distR="0" wp14:anchorId="3CB1082B" wp14:editId="3CB1082C">
            <wp:extent cx="5943600" cy="2435410"/>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results/figures/fig_residual_normality.png"/>
                    <pic:cNvPicPr>
                      <a:picLocks noChangeAspect="1" noChangeArrowheads="1"/>
                    </pic:cNvPicPr>
                  </pic:nvPicPr>
                  <pic:blipFill>
                    <a:blip r:embed="rId347"/>
                    <a:stretch>
                      <a:fillRect/>
                    </a:stretch>
                  </pic:blipFill>
                  <pic:spPr bwMode="auto">
                    <a:xfrm>
                      <a:off x="0" y="0"/>
                      <a:ext cx="5943600" cy="2435410"/>
                    </a:xfrm>
                    <a:prstGeom prst="rect">
                      <a:avLst/>
                    </a:prstGeom>
                    <a:noFill/>
                    <a:ln w="9525">
                      <a:noFill/>
                      <a:headEnd/>
                      <a:tailEnd/>
                    </a:ln>
                  </pic:spPr>
                </pic:pic>
              </a:graphicData>
            </a:graphic>
          </wp:inline>
        </w:drawing>
      </w:r>
    </w:p>
    <w:p w14:paraId="3CB104D4" w14:textId="107DF416" w:rsidR="00F67DDB" w:rsidRPr="0070080E" w:rsidRDefault="0094076D" w:rsidP="00B300EE">
      <w:pPr>
        <w:pStyle w:val="BodyText"/>
        <w:ind w:firstLine="0"/>
      </w:pPr>
      <w:r w:rsidRPr="0070080E">
        <w:rPr>
          <w:i/>
          <w:iCs/>
        </w:rPr>
        <w:t>Note.</w:t>
      </w:r>
      <w:r w:rsidRPr="0070080E">
        <w:t xml:space="preserve"> Panel (a) shows the distribution of the primary H1 OLS residuals (N = 424) with a fitted normal density overlaid; panel (b) is a normal quantile-quantile plot of the same residuals against the theoretical normal quantiles. Near-linear alignment in panel (b) and the approximately symmetric histogram in panel (a) indicate only mild departures from normality. Original figure created for this study</w:t>
      </w:r>
      <w:r w:rsidR="00683655">
        <w:t xml:space="preserve"> (2026)</w:t>
      </w:r>
      <w:r w:rsidRPr="0070080E">
        <w:t>.</w:t>
      </w:r>
    </w:p>
    <w:p w14:paraId="3CB104D5" w14:textId="77777777" w:rsidR="00F67DDB" w:rsidRPr="0070080E" w:rsidRDefault="0094076D">
      <w:pPr>
        <w:pStyle w:val="Heading2"/>
      </w:pPr>
      <w:bookmarkStart w:id="156" w:name="_Toc231913463"/>
      <w:bookmarkStart w:id="157" w:name="hypothesis-testing"/>
      <w:bookmarkEnd w:id="155"/>
      <w:r w:rsidRPr="0070080E">
        <w:t>5.5 Hypothesis Testing</w:t>
      </w:r>
      <w:bookmarkEnd w:id="156"/>
    </w:p>
    <w:p w14:paraId="3CB104D6" w14:textId="77777777" w:rsidR="00F67DDB" w:rsidRPr="0070080E" w:rsidRDefault="0094076D">
      <w:pPr>
        <w:pStyle w:val="Heading3"/>
      </w:pPr>
      <w:bookmarkStart w:id="158" w:name="testing-of-hypothesis-h1"/>
      <w:r w:rsidRPr="0070080E">
        <w:t>5.5.1 Testing of Hypothesis H1</w:t>
      </w:r>
    </w:p>
    <w:p w14:paraId="3CB104D7" w14:textId="77777777" w:rsidR="00F67DDB" w:rsidRPr="0070080E" w:rsidRDefault="0094076D">
      <w:pPr>
        <w:pStyle w:val="FirstParagraph"/>
      </w:pPr>
      <w:r w:rsidRPr="0070080E">
        <w:rPr>
          <w:b/>
          <w:bCs/>
        </w:rPr>
        <w:t>Step 1. State the null and alternative hypotheses.</w:t>
      </w:r>
    </w:p>
    <w:p w14:paraId="3CB104D8" w14:textId="77777777" w:rsidR="00F67DDB" w:rsidRPr="0070080E" w:rsidRDefault="0094076D">
      <w:pPr>
        <w:pStyle w:val="BodyText"/>
      </w:pPr>
      <w:r w:rsidRPr="0070080E">
        <w:t>H1₀: The intensity of external financial information shocks has no statistically significant effect on managers’ Net Risk Stance responses.</w:t>
      </w:r>
    </w:p>
    <w:p w14:paraId="3CB104D9" w14:textId="77777777" w:rsidR="00F67DDB" w:rsidRPr="0070080E" w:rsidRDefault="0094076D">
      <w:pPr>
        <w:pStyle w:val="BodyText"/>
      </w:pPr>
      <w:r w:rsidRPr="0070080E">
        <w:t>H1ₐ: The intensity of external financial information shocks has a statistically significant effect on managers’ Net Risk Stance responses.</w:t>
      </w:r>
    </w:p>
    <w:p w14:paraId="3CB104DA" w14:textId="77777777" w:rsidR="00F67DDB" w:rsidRPr="0070080E" w:rsidRDefault="0094076D">
      <w:pPr>
        <w:pStyle w:val="BodyText"/>
      </w:pPr>
      <w:r w:rsidRPr="0070080E">
        <w:rPr>
          <w:b/>
          <w:bCs/>
        </w:rPr>
        <w:t>Step 2. Select a level of significance.</w:t>
      </w:r>
    </w:p>
    <w:p w14:paraId="3CB104DB" w14:textId="77777777" w:rsidR="00F67DDB" w:rsidRPr="0070080E" w:rsidRDefault="0094076D">
      <w:pPr>
        <w:pStyle w:val="BodyText"/>
      </w:pPr>
      <w:r w:rsidRPr="0070080E">
        <w:t>The analysis is conducted at the conventional five percent level of significance (α = 0.05).</w:t>
      </w:r>
    </w:p>
    <w:p w14:paraId="3CB104DC" w14:textId="77777777" w:rsidR="00F67DDB" w:rsidRPr="0070080E" w:rsidRDefault="0094076D">
      <w:pPr>
        <w:pStyle w:val="BodyText"/>
      </w:pPr>
      <w:r w:rsidRPr="0070080E">
        <w:rPr>
          <w:b/>
          <w:bCs/>
        </w:rPr>
        <w:t>Step 3. Identify the test statistic.</w:t>
      </w:r>
    </w:p>
    <w:p w14:paraId="3CB104DD" w14:textId="77777777" w:rsidR="00F67DDB" w:rsidRPr="0070080E" w:rsidRDefault="0094076D">
      <w:pPr>
        <w:pStyle w:val="BodyText"/>
      </w:pPr>
      <w:r w:rsidRPr="0070080E">
        <w:t xml:space="preserve">The primary test statistic is the t-ratio on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coefficient (β₁) in the OLS regression specified in Section 4.5.1. The regression is estimated with two-way cluster-robust standard errors, clustered by manager and by event, with block fixed effects; HC3 heteroscedasticity-robust standard errors are retained as a robustness specification (Section 4.5.2). Under the null hypothesis, β₁ = 0; as set out in Section 5.4, inference relies on the asymptotic normality of the coefficient estimator under cluster-robust standard errors rather than on an assumption of normally distributed residuals.</w:t>
      </w:r>
    </w:p>
    <w:p w14:paraId="3CB104DE" w14:textId="77777777" w:rsidR="00F67DDB" w:rsidRPr="0070080E" w:rsidRDefault="0094076D">
      <w:pPr>
        <w:pStyle w:val="BodyText"/>
      </w:pPr>
      <w:r w:rsidRPr="0070080E">
        <w:rPr>
          <w:b/>
          <w:bCs/>
        </w:rPr>
        <w:t>Step 4. Formulate a decision rule.</w:t>
      </w:r>
    </w:p>
    <w:p w14:paraId="3CB104DF" w14:textId="77777777" w:rsidR="00F67DDB" w:rsidRPr="0070080E" w:rsidRDefault="0094076D">
      <w:pPr>
        <w:pStyle w:val="BodyText"/>
      </w:pPr>
      <w:r w:rsidRPr="0070080E">
        <w:t>Fail to reject H1₀ if the two-tailed p-value associated with β₁ is greater than or equal to 0.05. Support for the alternative hypothesis H1ₐ is indicated if p &lt; 0.05.</w:t>
      </w:r>
    </w:p>
    <w:p w14:paraId="3CB104E0" w14:textId="77777777" w:rsidR="00F67DDB" w:rsidRPr="0070080E" w:rsidRDefault="0094076D">
      <w:pPr>
        <w:pStyle w:val="BodyText"/>
      </w:pPr>
      <w:r w:rsidRPr="0070080E">
        <w:rPr>
          <w:b/>
          <w:bCs/>
        </w:rPr>
        <w:t>Step 5. Arrive at a decision.</w:t>
      </w:r>
    </w:p>
    <w:p w14:paraId="3CB104E1" w14:textId="40AFD118" w:rsidR="00F67DDB" w:rsidRPr="0070080E" w:rsidRDefault="0094076D">
      <w:pPr>
        <w:pStyle w:val="BodyText"/>
      </w:pPr>
      <w:r w:rsidRPr="0070080E">
        <w:t xml:space="preserve">At the α = 0.05 level of significance, the null hypothesis H1₀ is rejected in favor of the alternative hypothesis H1ₐ. The OLS regression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on Net Risk Stance (NRS)</w:t>
      </w:r>
      <w:r w:rsidR="000A66AA">
        <w:t>—</w:t>
      </w:r>
      <w:r w:rsidRPr="0070080E">
        <w:t>controlling for the ShowSC treatment indicator, years of experience, and block fixed effects</w:t>
      </w:r>
      <w:r w:rsidR="000A66AA">
        <w:t>—</w:t>
      </w:r>
      <w:r w:rsidRPr="0070080E">
        <w:t>yields β₁ = -0.4874 (two-way cluster-robust SE = 0.1532, t = -3.1825, p = 0.0015, 95% CI [-0.7876, -0.1872]). Higher shock intensity is associated with lower mean NRS responses, indicating a risk-reducing shift in portfolio managers’ stance. The cluster-robust standard error (0.1532) is materially larger than the HC3 standard error (0.0551) because it accounts for the strong within-manager and within-event correlation present in the panel (block-level intraclass correlations of 0.8425, 0.9026, and 0.9369; Table 5.5); the more conservative clustered estimate is therefore the appropriate basis for inference, and the null is rejected even under this wider interval. Robustness checks using quintile dummies, respondent fixed effects, decomposed components, and an interaction term are reported in Table 5.8.</w:t>
      </w:r>
    </w:p>
    <w:p w14:paraId="3CB104E2" w14:textId="77777777" w:rsidR="00F67DDB" w:rsidRPr="0070080E" w:rsidRDefault="0094076D" w:rsidP="00B300EE">
      <w:pPr>
        <w:pStyle w:val="Tableid"/>
      </w:pPr>
      <w:r w:rsidRPr="0070080E">
        <w:t>Table 5.7</w:t>
      </w:r>
    </w:p>
    <w:p w14:paraId="3CB104E3" w14:textId="77777777" w:rsidR="00F67DDB" w:rsidRPr="0070080E" w:rsidRDefault="0094076D" w:rsidP="00B300EE">
      <w:pPr>
        <w:pStyle w:val="TableCaption"/>
      </w:pPr>
      <w:r w:rsidRPr="0070080E">
        <w:t>H1 Primary Regression Result</w:t>
      </w:r>
    </w:p>
    <w:tbl>
      <w:tblPr>
        <w:tblStyle w:val="Table"/>
        <w:tblW w:w="5319" w:type="pct"/>
        <w:tblLayout w:type="fixed"/>
        <w:tblLook w:val="0020" w:firstRow="1" w:lastRow="0" w:firstColumn="0" w:lastColumn="0" w:noHBand="0" w:noVBand="0"/>
      </w:tblPr>
      <w:tblGrid>
        <w:gridCol w:w="2125"/>
        <w:gridCol w:w="1338"/>
        <w:gridCol w:w="1338"/>
        <w:gridCol w:w="1338"/>
        <w:gridCol w:w="1338"/>
        <w:gridCol w:w="1423"/>
        <w:gridCol w:w="1057"/>
      </w:tblGrid>
      <w:tr w:rsidR="00F67DDB" w:rsidRPr="0070080E" w14:paraId="3CB104EB" w14:textId="77777777" w:rsidTr="00B300EE">
        <w:trPr>
          <w:cnfStyle w:val="100000000000" w:firstRow="1" w:lastRow="0" w:firstColumn="0" w:lastColumn="0" w:oddVBand="0" w:evenVBand="0" w:oddHBand="0" w:evenHBand="0" w:firstRowFirstColumn="0" w:firstRowLastColumn="0" w:lastRowFirstColumn="0" w:lastRowLastColumn="0"/>
          <w:tblHeader/>
        </w:trPr>
        <w:tc>
          <w:tcPr>
            <w:tcW w:w="2178" w:type="dxa"/>
          </w:tcPr>
          <w:p w14:paraId="3CB104E4" w14:textId="77777777" w:rsidR="00F67DDB" w:rsidRPr="0070080E" w:rsidRDefault="0094076D">
            <w:pPr>
              <w:pStyle w:val="Compact"/>
            </w:pPr>
            <w:r w:rsidRPr="0070080E">
              <w:t>Covariate</w:t>
            </w:r>
          </w:p>
        </w:tc>
        <w:tc>
          <w:tcPr>
            <w:tcW w:w="1368" w:type="dxa"/>
          </w:tcPr>
          <w:p w14:paraId="3CB104E5" w14:textId="77777777" w:rsidR="00F67DDB" w:rsidRPr="0070080E" w:rsidRDefault="0094076D">
            <w:pPr>
              <w:pStyle w:val="Compact"/>
            </w:pPr>
            <w:r w:rsidRPr="0070080E">
              <w:t>β</w:t>
            </w:r>
          </w:p>
        </w:tc>
        <w:tc>
          <w:tcPr>
            <w:tcW w:w="1368" w:type="dxa"/>
          </w:tcPr>
          <w:p w14:paraId="3CB104E6" w14:textId="77777777" w:rsidR="00F67DDB" w:rsidRPr="0070080E" w:rsidRDefault="0094076D">
            <w:pPr>
              <w:pStyle w:val="Compact"/>
            </w:pPr>
            <w:r w:rsidRPr="0070080E">
              <w:t>SE</w:t>
            </w:r>
          </w:p>
        </w:tc>
        <w:tc>
          <w:tcPr>
            <w:tcW w:w="1368" w:type="dxa"/>
          </w:tcPr>
          <w:p w14:paraId="3CB104E7" w14:textId="77777777" w:rsidR="00F67DDB" w:rsidRPr="0070080E" w:rsidRDefault="0094076D">
            <w:pPr>
              <w:pStyle w:val="Compact"/>
            </w:pPr>
            <w:r w:rsidRPr="0070080E">
              <w:t>t</w:t>
            </w:r>
          </w:p>
        </w:tc>
        <w:tc>
          <w:tcPr>
            <w:tcW w:w="1368" w:type="dxa"/>
          </w:tcPr>
          <w:p w14:paraId="3CB104E8" w14:textId="77777777" w:rsidR="00F67DDB" w:rsidRPr="0070080E" w:rsidRDefault="0094076D">
            <w:pPr>
              <w:pStyle w:val="Compact"/>
            </w:pPr>
            <w:r w:rsidRPr="0070080E">
              <w:t>p</w:t>
            </w:r>
          </w:p>
        </w:tc>
        <w:tc>
          <w:tcPr>
            <w:tcW w:w="1456" w:type="dxa"/>
          </w:tcPr>
          <w:p w14:paraId="3CB104E9" w14:textId="77777777" w:rsidR="00F67DDB" w:rsidRPr="0070080E" w:rsidRDefault="0094076D">
            <w:pPr>
              <w:pStyle w:val="Compact"/>
            </w:pPr>
            <w:r w:rsidRPr="0070080E">
              <w:t>CI_lo</w:t>
            </w:r>
          </w:p>
        </w:tc>
        <w:tc>
          <w:tcPr>
            <w:tcW w:w="1080" w:type="dxa"/>
          </w:tcPr>
          <w:p w14:paraId="3CB104EA" w14:textId="77777777" w:rsidR="00F67DDB" w:rsidRPr="0070080E" w:rsidRDefault="0094076D">
            <w:pPr>
              <w:pStyle w:val="Compact"/>
            </w:pPr>
            <w:r w:rsidRPr="0070080E">
              <w:t>CI_hi</w:t>
            </w:r>
          </w:p>
        </w:tc>
      </w:tr>
      <w:tr w:rsidR="00F67DDB" w:rsidRPr="0070080E" w14:paraId="3CB104F3" w14:textId="77777777" w:rsidTr="00B300EE">
        <w:tc>
          <w:tcPr>
            <w:tcW w:w="2178" w:type="dxa"/>
          </w:tcPr>
          <w:p w14:paraId="3CB104EC" w14:textId="77777777" w:rsidR="00F67DDB" w:rsidRPr="0070080E" w:rsidRDefault="0094076D">
            <w:pPr>
              <w:pStyle w:val="Compact"/>
            </w:pPr>
            <w:r w:rsidRPr="0070080E">
              <w:t>Constant</w:t>
            </w:r>
          </w:p>
        </w:tc>
        <w:tc>
          <w:tcPr>
            <w:tcW w:w="1368" w:type="dxa"/>
          </w:tcPr>
          <w:p w14:paraId="3CB104ED" w14:textId="77777777" w:rsidR="00F67DDB" w:rsidRPr="0070080E" w:rsidRDefault="0094076D">
            <w:pPr>
              <w:pStyle w:val="Compact"/>
            </w:pPr>
            <w:r w:rsidRPr="0070080E">
              <w:t>4.1293</w:t>
            </w:r>
          </w:p>
        </w:tc>
        <w:tc>
          <w:tcPr>
            <w:tcW w:w="1368" w:type="dxa"/>
          </w:tcPr>
          <w:p w14:paraId="3CB104EE" w14:textId="77777777" w:rsidR="00F67DDB" w:rsidRPr="0070080E" w:rsidRDefault="0094076D">
            <w:pPr>
              <w:pStyle w:val="Compact"/>
            </w:pPr>
            <w:r w:rsidRPr="0070080E">
              <w:t>0.4522</w:t>
            </w:r>
          </w:p>
        </w:tc>
        <w:tc>
          <w:tcPr>
            <w:tcW w:w="1368" w:type="dxa"/>
          </w:tcPr>
          <w:p w14:paraId="3CB104EF" w14:textId="77777777" w:rsidR="00F67DDB" w:rsidRPr="0070080E" w:rsidRDefault="0094076D">
            <w:pPr>
              <w:pStyle w:val="Compact"/>
            </w:pPr>
            <w:r w:rsidRPr="0070080E">
              <w:t>9.1322</w:t>
            </w:r>
          </w:p>
        </w:tc>
        <w:tc>
          <w:tcPr>
            <w:tcW w:w="1368" w:type="dxa"/>
          </w:tcPr>
          <w:p w14:paraId="3CB104F0" w14:textId="77777777" w:rsidR="00F67DDB" w:rsidRPr="0070080E" w:rsidRDefault="0094076D">
            <w:pPr>
              <w:pStyle w:val="Compact"/>
            </w:pPr>
            <w:r w:rsidRPr="0070080E">
              <w:t>&lt;0.0001</w:t>
            </w:r>
          </w:p>
        </w:tc>
        <w:tc>
          <w:tcPr>
            <w:tcW w:w="1456" w:type="dxa"/>
          </w:tcPr>
          <w:p w14:paraId="3CB104F1" w14:textId="77777777" w:rsidR="00F67DDB" w:rsidRPr="0070080E" w:rsidRDefault="0094076D">
            <w:pPr>
              <w:pStyle w:val="Compact"/>
            </w:pPr>
            <w:r w:rsidRPr="0070080E">
              <w:t>3.243</w:t>
            </w:r>
          </w:p>
        </w:tc>
        <w:tc>
          <w:tcPr>
            <w:tcW w:w="1080" w:type="dxa"/>
          </w:tcPr>
          <w:p w14:paraId="3CB104F2" w14:textId="77777777" w:rsidR="00F67DDB" w:rsidRPr="0070080E" w:rsidRDefault="0094076D">
            <w:pPr>
              <w:pStyle w:val="Compact"/>
            </w:pPr>
            <w:r w:rsidRPr="0070080E">
              <w:t>5.0155</w:t>
            </w:r>
          </w:p>
        </w:tc>
      </w:tr>
      <w:tr w:rsidR="00F67DDB" w:rsidRPr="0070080E" w14:paraId="3CB104FB" w14:textId="77777777" w:rsidTr="00B300EE">
        <w:tc>
          <w:tcPr>
            <w:tcW w:w="2178" w:type="dxa"/>
          </w:tcPr>
          <w:p w14:paraId="3CB104F4" w14:textId="77777777" w:rsidR="00F67DDB" w:rsidRPr="0070080E" w:rsidRDefault="0094076D">
            <w:pPr>
              <w:pStyle w:val="Compact"/>
              <w:rPr>
                <w:b/>
                <w:bCs/>
              </w:rPr>
            </w:pPr>
            <w:r w:rsidRPr="0070080E">
              <w:rPr>
                <w:b/>
                <w:bCs/>
              </w:rPr>
              <w:t>Shock Score</w:t>
            </w:r>
          </w:p>
        </w:tc>
        <w:tc>
          <w:tcPr>
            <w:tcW w:w="1368" w:type="dxa"/>
          </w:tcPr>
          <w:p w14:paraId="3CB104F5" w14:textId="77777777" w:rsidR="00F67DDB" w:rsidRPr="0070080E" w:rsidRDefault="0094076D">
            <w:pPr>
              <w:pStyle w:val="Compact"/>
              <w:rPr>
                <w:b/>
                <w:bCs/>
              </w:rPr>
            </w:pPr>
            <w:r w:rsidRPr="0070080E">
              <w:rPr>
                <w:b/>
                <w:bCs/>
              </w:rPr>
              <w:t>-0.4874</w:t>
            </w:r>
          </w:p>
        </w:tc>
        <w:tc>
          <w:tcPr>
            <w:tcW w:w="1368" w:type="dxa"/>
          </w:tcPr>
          <w:p w14:paraId="3CB104F6" w14:textId="77777777" w:rsidR="00F67DDB" w:rsidRPr="0070080E" w:rsidRDefault="0094076D">
            <w:pPr>
              <w:pStyle w:val="Compact"/>
              <w:rPr>
                <w:b/>
                <w:bCs/>
              </w:rPr>
            </w:pPr>
            <w:r w:rsidRPr="0070080E">
              <w:rPr>
                <w:b/>
                <w:bCs/>
              </w:rPr>
              <w:t>0.1532</w:t>
            </w:r>
          </w:p>
        </w:tc>
        <w:tc>
          <w:tcPr>
            <w:tcW w:w="1368" w:type="dxa"/>
          </w:tcPr>
          <w:p w14:paraId="3CB104F7" w14:textId="77777777" w:rsidR="00F67DDB" w:rsidRPr="0070080E" w:rsidRDefault="0094076D">
            <w:pPr>
              <w:pStyle w:val="Compact"/>
              <w:rPr>
                <w:b/>
                <w:bCs/>
              </w:rPr>
            </w:pPr>
            <w:r w:rsidRPr="0070080E">
              <w:rPr>
                <w:b/>
                <w:bCs/>
              </w:rPr>
              <w:t>-3.1825</w:t>
            </w:r>
          </w:p>
        </w:tc>
        <w:tc>
          <w:tcPr>
            <w:tcW w:w="1368" w:type="dxa"/>
          </w:tcPr>
          <w:p w14:paraId="3CB104F8" w14:textId="77777777" w:rsidR="00F67DDB" w:rsidRPr="0070080E" w:rsidRDefault="0094076D">
            <w:pPr>
              <w:pStyle w:val="Compact"/>
              <w:rPr>
                <w:b/>
                <w:bCs/>
              </w:rPr>
            </w:pPr>
            <w:r w:rsidRPr="0070080E">
              <w:rPr>
                <w:b/>
                <w:bCs/>
              </w:rPr>
              <w:t>0.0015</w:t>
            </w:r>
          </w:p>
        </w:tc>
        <w:tc>
          <w:tcPr>
            <w:tcW w:w="1456" w:type="dxa"/>
          </w:tcPr>
          <w:p w14:paraId="3CB104F9" w14:textId="77777777" w:rsidR="00F67DDB" w:rsidRPr="0070080E" w:rsidRDefault="0094076D">
            <w:pPr>
              <w:pStyle w:val="Compact"/>
              <w:rPr>
                <w:b/>
                <w:bCs/>
              </w:rPr>
            </w:pPr>
            <w:r w:rsidRPr="0070080E">
              <w:rPr>
                <w:b/>
                <w:bCs/>
              </w:rPr>
              <w:t>-0.7876</w:t>
            </w:r>
          </w:p>
        </w:tc>
        <w:tc>
          <w:tcPr>
            <w:tcW w:w="1080" w:type="dxa"/>
          </w:tcPr>
          <w:p w14:paraId="3CB104FA" w14:textId="77777777" w:rsidR="00F67DDB" w:rsidRPr="0070080E" w:rsidRDefault="0094076D">
            <w:pPr>
              <w:pStyle w:val="Compact"/>
              <w:rPr>
                <w:b/>
                <w:bCs/>
              </w:rPr>
            </w:pPr>
            <w:r w:rsidRPr="0070080E">
              <w:rPr>
                <w:b/>
                <w:bCs/>
              </w:rPr>
              <w:t>-0.1872</w:t>
            </w:r>
          </w:p>
        </w:tc>
      </w:tr>
      <w:tr w:rsidR="00F67DDB" w:rsidRPr="0070080E" w14:paraId="3CB10503" w14:textId="77777777" w:rsidTr="00B300EE">
        <w:tc>
          <w:tcPr>
            <w:tcW w:w="2178" w:type="dxa"/>
          </w:tcPr>
          <w:p w14:paraId="3CB104FC" w14:textId="77777777" w:rsidR="00F67DDB" w:rsidRPr="0070080E" w:rsidRDefault="0094076D">
            <w:pPr>
              <w:pStyle w:val="Compact"/>
            </w:pPr>
            <w:r w:rsidRPr="0070080E">
              <w:t>ShowSC (dashboard shown)</w:t>
            </w:r>
          </w:p>
        </w:tc>
        <w:tc>
          <w:tcPr>
            <w:tcW w:w="1368" w:type="dxa"/>
          </w:tcPr>
          <w:p w14:paraId="3CB104FD" w14:textId="77777777" w:rsidR="00F67DDB" w:rsidRPr="0070080E" w:rsidRDefault="0094076D">
            <w:pPr>
              <w:pStyle w:val="Compact"/>
            </w:pPr>
            <w:r w:rsidRPr="0070080E">
              <w:t>-0.0787</w:t>
            </w:r>
          </w:p>
        </w:tc>
        <w:tc>
          <w:tcPr>
            <w:tcW w:w="1368" w:type="dxa"/>
          </w:tcPr>
          <w:p w14:paraId="3CB104FE" w14:textId="77777777" w:rsidR="00F67DDB" w:rsidRPr="0070080E" w:rsidRDefault="0094076D">
            <w:pPr>
              <w:pStyle w:val="Compact"/>
            </w:pPr>
            <w:r w:rsidRPr="0070080E">
              <w:t>0.1166</w:t>
            </w:r>
          </w:p>
        </w:tc>
        <w:tc>
          <w:tcPr>
            <w:tcW w:w="1368" w:type="dxa"/>
          </w:tcPr>
          <w:p w14:paraId="3CB104FF" w14:textId="77777777" w:rsidR="00F67DDB" w:rsidRPr="0070080E" w:rsidRDefault="0094076D">
            <w:pPr>
              <w:pStyle w:val="Compact"/>
            </w:pPr>
            <w:r w:rsidRPr="0070080E">
              <w:t>-0.6755</w:t>
            </w:r>
          </w:p>
        </w:tc>
        <w:tc>
          <w:tcPr>
            <w:tcW w:w="1368" w:type="dxa"/>
          </w:tcPr>
          <w:p w14:paraId="3CB10500" w14:textId="77777777" w:rsidR="00F67DDB" w:rsidRPr="0070080E" w:rsidRDefault="0094076D">
            <w:pPr>
              <w:pStyle w:val="Compact"/>
            </w:pPr>
            <w:r w:rsidRPr="0070080E">
              <w:t>0.4994</w:t>
            </w:r>
          </w:p>
        </w:tc>
        <w:tc>
          <w:tcPr>
            <w:tcW w:w="1456" w:type="dxa"/>
          </w:tcPr>
          <w:p w14:paraId="3CB10501" w14:textId="77777777" w:rsidR="00F67DDB" w:rsidRPr="0070080E" w:rsidRDefault="0094076D">
            <w:pPr>
              <w:pStyle w:val="Compact"/>
            </w:pPr>
            <w:r w:rsidRPr="0070080E">
              <w:t>-0.3072</w:t>
            </w:r>
          </w:p>
        </w:tc>
        <w:tc>
          <w:tcPr>
            <w:tcW w:w="1080" w:type="dxa"/>
          </w:tcPr>
          <w:p w14:paraId="3CB10502" w14:textId="77777777" w:rsidR="00F67DDB" w:rsidRPr="0070080E" w:rsidRDefault="0094076D">
            <w:pPr>
              <w:pStyle w:val="Compact"/>
            </w:pPr>
            <w:r w:rsidRPr="0070080E">
              <w:t>0.1497</w:t>
            </w:r>
          </w:p>
        </w:tc>
      </w:tr>
      <w:tr w:rsidR="00F67DDB" w:rsidRPr="0070080E" w14:paraId="3CB1050B" w14:textId="77777777" w:rsidTr="00B300EE">
        <w:tc>
          <w:tcPr>
            <w:tcW w:w="2178" w:type="dxa"/>
          </w:tcPr>
          <w:p w14:paraId="3CB10504" w14:textId="77777777" w:rsidR="00F67DDB" w:rsidRPr="0070080E" w:rsidRDefault="0094076D">
            <w:pPr>
              <w:pStyle w:val="Compact"/>
            </w:pPr>
            <w:r w:rsidRPr="0070080E">
              <w:t>Experience &lt; 5 years</w:t>
            </w:r>
          </w:p>
        </w:tc>
        <w:tc>
          <w:tcPr>
            <w:tcW w:w="1368" w:type="dxa"/>
          </w:tcPr>
          <w:p w14:paraId="3CB10505" w14:textId="77777777" w:rsidR="00F67DDB" w:rsidRPr="0070080E" w:rsidRDefault="0094076D">
            <w:pPr>
              <w:pStyle w:val="Compact"/>
            </w:pPr>
            <w:r w:rsidRPr="0070080E">
              <w:t>-0.059</w:t>
            </w:r>
          </w:p>
        </w:tc>
        <w:tc>
          <w:tcPr>
            <w:tcW w:w="1368" w:type="dxa"/>
          </w:tcPr>
          <w:p w14:paraId="3CB10506" w14:textId="77777777" w:rsidR="00F67DDB" w:rsidRPr="0070080E" w:rsidRDefault="0094076D">
            <w:pPr>
              <w:pStyle w:val="Compact"/>
            </w:pPr>
            <w:r w:rsidRPr="0070080E">
              <w:t>0.4253</w:t>
            </w:r>
          </w:p>
        </w:tc>
        <w:tc>
          <w:tcPr>
            <w:tcW w:w="1368" w:type="dxa"/>
          </w:tcPr>
          <w:p w14:paraId="3CB10507" w14:textId="77777777" w:rsidR="00F67DDB" w:rsidRPr="0070080E" w:rsidRDefault="0094076D">
            <w:pPr>
              <w:pStyle w:val="Compact"/>
            </w:pPr>
            <w:r w:rsidRPr="0070080E">
              <w:t>-0.1388</w:t>
            </w:r>
          </w:p>
        </w:tc>
        <w:tc>
          <w:tcPr>
            <w:tcW w:w="1368" w:type="dxa"/>
          </w:tcPr>
          <w:p w14:paraId="3CB10508" w14:textId="77777777" w:rsidR="00F67DDB" w:rsidRPr="0070080E" w:rsidRDefault="0094076D">
            <w:pPr>
              <w:pStyle w:val="Compact"/>
            </w:pPr>
            <w:r w:rsidRPr="0070080E">
              <w:t>0.8896</w:t>
            </w:r>
          </w:p>
        </w:tc>
        <w:tc>
          <w:tcPr>
            <w:tcW w:w="1456" w:type="dxa"/>
          </w:tcPr>
          <w:p w14:paraId="3CB10509" w14:textId="77777777" w:rsidR="00F67DDB" w:rsidRPr="0070080E" w:rsidRDefault="0094076D">
            <w:pPr>
              <w:pStyle w:val="Compact"/>
            </w:pPr>
            <w:r w:rsidRPr="0070080E">
              <w:t>-0.8926</w:t>
            </w:r>
          </w:p>
        </w:tc>
        <w:tc>
          <w:tcPr>
            <w:tcW w:w="1080" w:type="dxa"/>
          </w:tcPr>
          <w:p w14:paraId="3CB1050A" w14:textId="77777777" w:rsidR="00F67DDB" w:rsidRPr="0070080E" w:rsidRDefault="0094076D">
            <w:pPr>
              <w:pStyle w:val="Compact"/>
            </w:pPr>
            <w:r w:rsidRPr="0070080E">
              <w:t>0.7746</w:t>
            </w:r>
          </w:p>
        </w:tc>
      </w:tr>
      <w:tr w:rsidR="00F67DDB" w:rsidRPr="0070080E" w14:paraId="3CB10513" w14:textId="77777777" w:rsidTr="00B300EE">
        <w:tc>
          <w:tcPr>
            <w:tcW w:w="2178" w:type="dxa"/>
          </w:tcPr>
          <w:p w14:paraId="3CB1050C" w14:textId="77777777" w:rsidR="00F67DDB" w:rsidRPr="0070080E" w:rsidRDefault="0094076D">
            <w:pPr>
              <w:pStyle w:val="Compact"/>
            </w:pPr>
            <w:r w:rsidRPr="0070080E">
              <w:t>Mandate: Multi-asset</w:t>
            </w:r>
          </w:p>
        </w:tc>
        <w:tc>
          <w:tcPr>
            <w:tcW w:w="1368" w:type="dxa"/>
          </w:tcPr>
          <w:p w14:paraId="3CB1050D" w14:textId="77777777" w:rsidR="00F67DDB" w:rsidRPr="0070080E" w:rsidRDefault="0094076D">
            <w:pPr>
              <w:pStyle w:val="Compact"/>
            </w:pPr>
            <w:r w:rsidRPr="0070080E">
              <w:t>-0.1284</w:t>
            </w:r>
          </w:p>
        </w:tc>
        <w:tc>
          <w:tcPr>
            <w:tcW w:w="1368" w:type="dxa"/>
          </w:tcPr>
          <w:p w14:paraId="3CB1050E" w14:textId="77777777" w:rsidR="00F67DDB" w:rsidRPr="0070080E" w:rsidRDefault="0094076D">
            <w:pPr>
              <w:pStyle w:val="Compact"/>
            </w:pPr>
            <w:r w:rsidRPr="0070080E">
              <w:t>0.2422</w:t>
            </w:r>
          </w:p>
        </w:tc>
        <w:tc>
          <w:tcPr>
            <w:tcW w:w="1368" w:type="dxa"/>
          </w:tcPr>
          <w:p w14:paraId="3CB1050F" w14:textId="77777777" w:rsidR="00F67DDB" w:rsidRPr="0070080E" w:rsidRDefault="0094076D">
            <w:pPr>
              <w:pStyle w:val="Compact"/>
            </w:pPr>
            <w:r w:rsidRPr="0070080E">
              <w:t>-0.53</w:t>
            </w:r>
          </w:p>
        </w:tc>
        <w:tc>
          <w:tcPr>
            <w:tcW w:w="1368" w:type="dxa"/>
          </w:tcPr>
          <w:p w14:paraId="3CB10510" w14:textId="77777777" w:rsidR="00F67DDB" w:rsidRPr="0070080E" w:rsidRDefault="0094076D">
            <w:pPr>
              <w:pStyle w:val="Compact"/>
            </w:pPr>
            <w:r w:rsidRPr="0070080E">
              <w:t>0.5961</w:t>
            </w:r>
          </w:p>
        </w:tc>
        <w:tc>
          <w:tcPr>
            <w:tcW w:w="1456" w:type="dxa"/>
          </w:tcPr>
          <w:p w14:paraId="3CB10511" w14:textId="77777777" w:rsidR="00F67DDB" w:rsidRPr="0070080E" w:rsidRDefault="0094076D">
            <w:pPr>
              <w:pStyle w:val="Compact"/>
            </w:pPr>
            <w:r w:rsidRPr="0070080E">
              <w:t>-0.6032</w:t>
            </w:r>
          </w:p>
        </w:tc>
        <w:tc>
          <w:tcPr>
            <w:tcW w:w="1080" w:type="dxa"/>
          </w:tcPr>
          <w:p w14:paraId="3CB10512" w14:textId="77777777" w:rsidR="00F67DDB" w:rsidRPr="0070080E" w:rsidRDefault="0094076D">
            <w:pPr>
              <w:pStyle w:val="Compact"/>
            </w:pPr>
            <w:r w:rsidRPr="0070080E">
              <w:t>0.3464</w:t>
            </w:r>
          </w:p>
        </w:tc>
      </w:tr>
      <w:tr w:rsidR="00F67DDB" w:rsidRPr="0070080E" w14:paraId="3CB1051B" w14:textId="77777777" w:rsidTr="00B300EE">
        <w:tc>
          <w:tcPr>
            <w:tcW w:w="2178" w:type="dxa"/>
          </w:tcPr>
          <w:p w14:paraId="3CB10514" w14:textId="77777777" w:rsidR="00F67DDB" w:rsidRPr="0070080E" w:rsidRDefault="0094076D">
            <w:pPr>
              <w:pStyle w:val="Compact"/>
            </w:pPr>
            <w:r w:rsidRPr="0070080E">
              <w:t>Mandate: Other</w:t>
            </w:r>
          </w:p>
        </w:tc>
        <w:tc>
          <w:tcPr>
            <w:tcW w:w="1368" w:type="dxa"/>
          </w:tcPr>
          <w:p w14:paraId="3CB10515" w14:textId="77777777" w:rsidR="00F67DDB" w:rsidRPr="0070080E" w:rsidRDefault="0094076D">
            <w:pPr>
              <w:pStyle w:val="Compact"/>
            </w:pPr>
            <w:r w:rsidRPr="0070080E">
              <w:t>-0.9713</w:t>
            </w:r>
          </w:p>
        </w:tc>
        <w:tc>
          <w:tcPr>
            <w:tcW w:w="1368" w:type="dxa"/>
          </w:tcPr>
          <w:p w14:paraId="3CB10516" w14:textId="77777777" w:rsidR="00F67DDB" w:rsidRPr="0070080E" w:rsidRDefault="0094076D">
            <w:pPr>
              <w:pStyle w:val="Compact"/>
            </w:pPr>
            <w:r w:rsidRPr="0070080E">
              <w:t>0.0461</w:t>
            </w:r>
          </w:p>
        </w:tc>
        <w:tc>
          <w:tcPr>
            <w:tcW w:w="1368" w:type="dxa"/>
          </w:tcPr>
          <w:p w14:paraId="3CB10517" w14:textId="77777777" w:rsidR="00F67DDB" w:rsidRPr="0070080E" w:rsidRDefault="0094076D">
            <w:pPr>
              <w:pStyle w:val="Compact"/>
            </w:pPr>
            <w:r w:rsidRPr="0070080E">
              <w:t>-21.0737</w:t>
            </w:r>
          </w:p>
        </w:tc>
        <w:tc>
          <w:tcPr>
            <w:tcW w:w="1368" w:type="dxa"/>
          </w:tcPr>
          <w:p w14:paraId="3CB10518" w14:textId="77777777" w:rsidR="00F67DDB" w:rsidRPr="0070080E" w:rsidRDefault="0094076D">
            <w:pPr>
              <w:pStyle w:val="Compact"/>
            </w:pPr>
            <w:r w:rsidRPr="0070080E">
              <w:t>&lt;0.0001</w:t>
            </w:r>
          </w:p>
        </w:tc>
        <w:tc>
          <w:tcPr>
            <w:tcW w:w="1456" w:type="dxa"/>
          </w:tcPr>
          <w:p w14:paraId="3CB10519" w14:textId="77777777" w:rsidR="00F67DDB" w:rsidRPr="0070080E" w:rsidRDefault="0094076D">
            <w:pPr>
              <w:pStyle w:val="Compact"/>
            </w:pPr>
            <w:r w:rsidRPr="0070080E">
              <w:t>-1.0617</w:t>
            </w:r>
          </w:p>
        </w:tc>
        <w:tc>
          <w:tcPr>
            <w:tcW w:w="1080" w:type="dxa"/>
          </w:tcPr>
          <w:p w14:paraId="3CB1051A" w14:textId="77777777" w:rsidR="00F67DDB" w:rsidRPr="0070080E" w:rsidRDefault="0094076D">
            <w:pPr>
              <w:pStyle w:val="Compact"/>
            </w:pPr>
            <w:r w:rsidRPr="0070080E">
              <w:t>-0.881</w:t>
            </w:r>
          </w:p>
        </w:tc>
      </w:tr>
      <w:tr w:rsidR="00F67DDB" w:rsidRPr="0070080E" w14:paraId="3CB10523" w14:textId="77777777" w:rsidTr="00B300EE">
        <w:tc>
          <w:tcPr>
            <w:tcW w:w="2178" w:type="dxa"/>
          </w:tcPr>
          <w:p w14:paraId="3CB1051C" w14:textId="77777777" w:rsidR="00F67DDB" w:rsidRPr="0070080E" w:rsidRDefault="0094076D">
            <w:pPr>
              <w:pStyle w:val="Compact"/>
            </w:pPr>
            <w:r w:rsidRPr="0070080E">
              <w:t>Event type: Analyst</w:t>
            </w:r>
          </w:p>
        </w:tc>
        <w:tc>
          <w:tcPr>
            <w:tcW w:w="1368" w:type="dxa"/>
          </w:tcPr>
          <w:p w14:paraId="3CB1051D" w14:textId="77777777" w:rsidR="00F67DDB" w:rsidRPr="0070080E" w:rsidRDefault="0094076D">
            <w:pPr>
              <w:pStyle w:val="Compact"/>
            </w:pPr>
            <w:r w:rsidRPr="0070080E">
              <w:t>-1.0947</w:t>
            </w:r>
          </w:p>
        </w:tc>
        <w:tc>
          <w:tcPr>
            <w:tcW w:w="1368" w:type="dxa"/>
          </w:tcPr>
          <w:p w14:paraId="3CB1051E" w14:textId="77777777" w:rsidR="00F67DDB" w:rsidRPr="0070080E" w:rsidRDefault="0094076D">
            <w:pPr>
              <w:pStyle w:val="Compact"/>
            </w:pPr>
            <w:r w:rsidRPr="0070080E">
              <w:t>0.4327</w:t>
            </w:r>
          </w:p>
        </w:tc>
        <w:tc>
          <w:tcPr>
            <w:tcW w:w="1368" w:type="dxa"/>
          </w:tcPr>
          <w:p w14:paraId="3CB1051F" w14:textId="77777777" w:rsidR="00F67DDB" w:rsidRPr="0070080E" w:rsidRDefault="0094076D">
            <w:pPr>
              <w:pStyle w:val="Compact"/>
            </w:pPr>
            <w:r w:rsidRPr="0070080E">
              <w:t>-2.5298</w:t>
            </w:r>
          </w:p>
        </w:tc>
        <w:tc>
          <w:tcPr>
            <w:tcW w:w="1368" w:type="dxa"/>
          </w:tcPr>
          <w:p w14:paraId="3CB10520" w14:textId="77777777" w:rsidR="00F67DDB" w:rsidRPr="0070080E" w:rsidRDefault="0094076D">
            <w:pPr>
              <w:pStyle w:val="Compact"/>
            </w:pPr>
            <w:r w:rsidRPr="0070080E">
              <w:t>0.0114</w:t>
            </w:r>
          </w:p>
        </w:tc>
        <w:tc>
          <w:tcPr>
            <w:tcW w:w="1456" w:type="dxa"/>
          </w:tcPr>
          <w:p w14:paraId="3CB10521" w14:textId="77777777" w:rsidR="00F67DDB" w:rsidRPr="0070080E" w:rsidRDefault="0094076D">
            <w:pPr>
              <w:pStyle w:val="Compact"/>
            </w:pPr>
            <w:r w:rsidRPr="0070080E">
              <w:t>-1.9428</w:t>
            </w:r>
          </w:p>
        </w:tc>
        <w:tc>
          <w:tcPr>
            <w:tcW w:w="1080" w:type="dxa"/>
          </w:tcPr>
          <w:p w14:paraId="3CB10522" w14:textId="77777777" w:rsidR="00F67DDB" w:rsidRPr="0070080E" w:rsidRDefault="0094076D">
            <w:pPr>
              <w:pStyle w:val="Compact"/>
            </w:pPr>
            <w:r w:rsidRPr="0070080E">
              <w:t>-0.2466</w:t>
            </w:r>
          </w:p>
        </w:tc>
      </w:tr>
      <w:tr w:rsidR="00F67DDB" w:rsidRPr="0070080E" w14:paraId="3CB1052B" w14:textId="77777777" w:rsidTr="00B300EE">
        <w:tc>
          <w:tcPr>
            <w:tcW w:w="2178" w:type="dxa"/>
          </w:tcPr>
          <w:p w14:paraId="3CB10524" w14:textId="77777777" w:rsidR="00F67DDB" w:rsidRPr="0070080E" w:rsidRDefault="0094076D">
            <w:pPr>
              <w:pStyle w:val="Compact"/>
            </w:pPr>
            <w:r w:rsidRPr="0070080E">
              <w:t>Event type: Management</w:t>
            </w:r>
          </w:p>
        </w:tc>
        <w:tc>
          <w:tcPr>
            <w:tcW w:w="1368" w:type="dxa"/>
          </w:tcPr>
          <w:p w14:paraId="3CB10525" w14:textId="77777777" w:rsidR="00F67DDB" w:rsidRPr="0070080E" w:rsidRDefault="0094076D">
            <w:pPr>
              <w:pStyle w:val="Compact"/>
            </w:pPr>
            <w:r w:rsidRPr="0070080E">
              <w:t>-1.7726</w:t>
            </w:r>
          </w:p>
        </w:tc>
        <w:tc>
          <w:tcPr>
            <w:tcW w:w="1368" w:type="dxa"/>
          </w:tcPr>
          <w:p w14:paraId="3CB10526" w14:textId="77777777" w:rsidR="00F67DDB" w:rsidRPr="0070080E" w:rsidRDefault="0094076D">
            <w:pPr>
              <w:pStyle w:val="Compact"/>
            </w:pPr>
            <w:r w:rsidRPr="0070080E">
              <w:t>0.4719</w:t>
            </w:r>
          </w:p>
        </w:tc>
        <w:tc>
          <w:tcPr>
            <w:tcW w:w="1368" w:type="dxa"/>
          </w:tcPr>
          <w:p w14:paraId="3CB10527" w14:textId="77777777" w:rsidR="00F67DDB" w:rsidRPr="0070080E" w:rsidRDefault="0094076D">
            <w:pPr>
              <w:pStyle w:val="Compact"/>
            </w:pPr>
            <w:r w:rsidRPr="0070080E">
              <w:t>-3.7564</w:t>
            </w:r>
          </w:p>
        </w:tc>
        <w:tc>
          <w:tcPr>
            <w:tcW w:w="1368" w:type="dxa"/>
          </w:tcPr>
          <w:p w14:paraId="3CB10528" w14:textId="77777777" w:rsidR="00F67DDB" w:rsidRPr="0070080E" w:rsidRDefault="0094076D">
            <w:pPr>
              <w:pStyle w:val="Compact"/>
            </w:pPr>
            <w:r w:rsidRPr="0070080E">
              <w:t>0.0002</w:t>
            </w:r>
          </w:p>
        </w:tc>
        <w:tc>
          <w:tcPr>
            <w:tcW w:w="1456" w:type="dxa"/>
          </w:tcPr>
          <w:p w14:paraId="3CB10529" w14:textId="77777777" w:rsidR="00F67DDB" w:rsidRPr="0070080E" w:rsidRDefault="0094076D">
            <w:pPr>
              <w:pStyle w:val="Compact"/>
            </w:pPr>
            <w:r w:rsidRPr="0070080E">
              <w:t>-2.6974</w:t>
            </w:r>
          </w:p>
        </w:tc>
        <w:tc>
          <w:tcPr>
            <w:tcW w:w="1080" w:type="dxa"/>
          </w:tcPr>
          <w:p w14:paraId="3CB1052A" w14:textId="77777777" w:rsidR="00F67DDB" w:rsidRPr="0070080E" w:rsidRDefault="0094076D">
            <w:pPr>
              <w:pStyle w:val="Compact"/>
            </w:pPr>
            <w:r w:rsidRPr="0070080E">
              <w:t>-0.8477</w:t>
            </w:r>
          </w:p>
        </w:tc>
      </w:tr>
      <w:tr w:rsidR="00F67DDB" w:rsidRPr="0070080E" w14:paraId="3CB10533" w14:textId="77777777" w:rsidTr="00B300EE">
        <w:tc>
          <w:tcPr>
            <w:tcW w:w="2178" w:type="dxa"/>
          </w:tcPr>
          <w:p w14:paraId="3CB1052C" w14:textId="77777777" w:rsidR="00F67DDB" w:rsidRPr="0070080E" w:rsidRDefault="0094076D">
            <w:pPr>
              <w:pStyle w:val="Compact"/>
            </w:pPr>
            <w:r w:rsidRPr="0070080E">
              <w:t>Scenario position</w:t>
            </w:r>
          </w:p>
        </w:tc>
        <w:tc>
          <w:tcPr>
            <w:tcW w:w="1368" w:type="dxa"/>
          </w:tcPr>
          <w:p w14:paraId="3CB1052D" w14:textId="77777777" w:rsidR="00F67DDB" w:rsidRPr="0070080E" w:rsidRDefault="0094076D">
            <w:pPr>
              <w:pStyle w:val="Compact"/>
            </w:pPr>
            <w:r w:rsidRPr="0070080E">
              <w:t>0.1929</w:t>
            </w:r>
          </w:p>
        </w:tc>
        <w:tc>
          <w:tcPr>
            <w:tcW w:w="1368" w:type="dxa"/>
          </w:tcPr>
          <w:p w14:paraId="3CB1052E" w14:textId="77777777" w:rsidR="00F67DDB" w:rsidRPr="0070080E" w:rsidRDefault="0094076D">
            <w:pPr>
              <w:pStyle w:val="Compact"/>
            </w:pPr>
            <w:r w:rsidRPr="0070080E">
              <w:t>0.0651</w:t>
            </w:r>
          </w:p>
        </w:tc>
        <w:tc>
          <w:tcPr>
            <w:tcW w:w="1368" w:type="dxa"/>
          </w:tcPr>
          <w:p w14:paraId="3CB1052F" w14:textId="77777777" w:rsidR="00F67DDB" w:rsidRPr="0070080E" w:rsidRDefault="0094076D">
            <w:pPr>
              <w:pStyle w:val="Compact"/>
            </w:pPr>
            <w:r w:rsidRPr="0070080E">
              <w:t>2.9615</w:t>
            </w:r>
          </w:p>
        </w:tc>
        <w:tc>
          <w:tcPr>
            <w:tcW w:w="1368" w:type="dxa"/>
          </w:tcPr>
          <w:p w14:paraId="3CB10530" w14:textId="77777777" w:rsidR="00F67DDB" w:rsidRPr="0070080E" w:rsidRDefault="0094076D">
            <w:pPr>
              <w:pStyle w:val="Compact"/>
            </w:pPr>
            <w:r w:rsidRPr="0070080E">
              <w:t>0.0031</w:t>
            </w:r>
          </w:p>
        </w:tc>
        <w:tc>
          <w:tcPr>
            <w:tcW w:w="1456" w:type="dxa"/>
          </w:tcPr>
          <w:p w14:paraId="3CB10531" w14:textId="77777777" w:rsidR="00F67DDB" w:rsidRPr="0070080E" w:rsidRDefault="0094076D">
            <w:pPr>
              <w:pStyle w:val="Compact"/>
            </w:pPr>
            <w:r w:rsidRPr="0070080E">
              <w:t>0.0652</w:t>
            </w:r>
          </w:p>
        </w:tc>
        <w:tc>
          <w:tcPr>
            <w:tcW w:w="1080" w:type="dxa"/>
          </w:tcPr>
          <w:p w14:paraId="3CB10532" w14:textId="77777777" w:rsidR="00F67DDB" w:rsidRPr="0070080E" w:rsidRDefault="0094076D">
            <w:pPr>
              <w:pStyle w:val="Compact"/>
            </w:pPr>
            <w:r w:rsidRPr="0070080E">
              <w:t>0.3206</w:t>
            </w:r>
          </w:p>
        </w:tc>
      </w:tr>
      <w:tr w:rsidR="00F67DDB" w:rsidRPr="0070080E" w14:paraId="3CB1053B" w14:textId="77777777" w:rsidTr="00B300EE">
        <w:tc>
          <w:tcPr>
            <w:tcW w:w="2178" w:type="dxa"/>
          </w:tcPr>
          <w:p w14:paraId="3CB10534" w14:textId="77777777" w:rsidR="00F67DDB" w:rsidRPr="0070080E" w:rsidRDefault="0094076D">
            <w:pPr>
              <w:pStyle w:val="Compact"/>
            </w:pPr>
            <w:r w:rsidRPr="0070080E">
              <w:t>Block 2</w:t>
            </w:r>
          </w:p>
        </w:tc>
        <w:tc>
          <w:tcPr>
            <w:tcW w:w="1368" w:type="dxa"/>
          </w:tcPr>
          <w:p w14:paraId="3CB10535" w14:textId="77777777" w:rsidR="00F67DDB" w:rsidRPr="0070080E" w:rsidRDefault="0094076D">
            <w:pPr>
              <w:pStyle w:val="Compact"/>
            </w:pPr>
            <w:r w:rsidRPr="0070080E">
              <w:t>0.0609</w:t>
            </w:r>
          </w:p>
        </w:tc>
        <w:tc>
          <w:tcPr>
            <w:tcW w:w="1368" w:type="dxa"/>
          </w:tcPr>
          <w:p w14:paraId="3CB10536" w14:textId="77777777" w:rsidR="00F67DDB" w:rsidRPr="0070080E" w:rsidRDefault="0094076D">
            <w:pPr>
              <w:pStyle w:val="Compact"/>
            </w:pPr>
            <w:r w:rsidRPr="0070080E">
              <w:t>0.3837</w:t>
            </w:r>
          </w:p>
        </w:tc>
        <w:tc>
          <w:tcPr>
            <w:tcW w:w="1368" w:type="dxa"/>
          </w:tcPr>
          <w:p w14:paraId="3CB10537" w14:textId="77777777" w:rsidR="00F67DDB" w:rsidRPr="0070080E" w:rsidRDefault="0094076D">
            <w:pPr>
              <w:pStyle w:val="Compact"/>
            </w:pPr>
            <w:r w:rsidRPr="0070080E">
              <w:t>0.1587</w:t>
            </w:r>
          </w:p>
        </w:tc>
        <w:tc>
          <w:tcPr>
            <w:tcW w:w="1368" w:type="dxa"/>
          </w:tcPr>
          <w:p w14:paraId="3CB10538" w14:textId="77777777" w:rsidR="00F67DDB" w:rsidRPr="0070080E" w:rsidRDefault="0094076D">
            <w:pPr>
              <w:pStyle w:val="Compact"/>
            </w:pPr>
            <w:r w:rsidRPr="0070080E">
              <w:t>0.8739</w:t>
            </w:r>
          </w:p>
        </w:tc>
        <w:tc>
          <w:tcPr>
            <w:tcW w:w="1456" w:type="dxa"/>
          </w:tcPr>
          <w:p w14:paraId="3CB10539" w14:textId="77777777" w:rsidR="00F67DDB" w:rsidRPr="0070080E" w:rsidRDefault="0094076D">
            <w:pPr>
              <w:pStyle w:val="Compact"/>
            </w:pPr>
            <w:r w:rsidRPr="0070080E">
              <w:t>-0.6911</w:t>
            </w:r>
          </w:p>
        </w:tc>
        <w:tc>
          <w:tcPr>
            <w:tcW w:w="1080" w:type="dxa"/>
          </w:tcPr>
          <w:p w14:paraId="3CB1053A" w14:textId="77777777" w:rsidR="00F67DDB" w:rsidRPr="0070080E" w:rsidRDefault="0094076D">
            <w:pPr>
              <w:pStyle w:val="Compact"/>
            </w:pPr>
            <w:r w:rsidRPr="0070080E">
              <w:t>0.8129</w:t>
            </w:r>
          </w:p>
        </w:tc>
      </w:tr>
      <w:tr w:rsidR="00F67DDB" w:rsidRPr="0070080E" w14:paraId="3CB10543" w14:textId="77777777" w:rsidTr="00B300EE">
        <w:tc>
          <w:tcPr>
            <w:tcW w:w="2178" w:type="dxa"/>
          </w:tcPr>
          <w:p w14:paraId="3CB1053C" w14:textId="77777777" w:rsidR="00F67DDB" w:rsidRPr="0070080E" w:rsidRDefault="0094076D">
            <w:pPr>
              <w:pStyle w:val="Compact"/>
            </w:pPr>
            <w:r w:rsidRPr="0070080E">
              <w:t>Block 3</w:t>
            </w:r>
          </w:p>
        </w:tc>
        <w:tc>
          <w:tcPr>
            <w:tcW w:w="1368" w:type="dxa"/>
          </w:tcPr>
          <w:p w14:paraId="3CB1053D" w14:textId="77777777" w:rsidR="00F67DDB" w:rsidRPr="0070080E" w:rsidRDefault="0094076D">
            <w:pPr>
              <w:pStyle w:val="Compact"/>
            </w:pPr>
            <w:r w:rsidRPr="0070080E">
              <w:t>0.0469</w:t>
            </w:r>
          </w:p>
        </w:tc>
        <w:tc>
          <w:tcPr>
            <w:tcW w:w="1368" w:type="dxa"/>
          </w:tcPr>
          <w:p w14:paraId="3CB1053E" w14:textId="77777777" w:rsidR="00F67DDB" w:rsidRPr="0070080E" w:rsidRDefault="0094076D">
            <w:pPr>
              <w:pStyle w:val="Compact"/>
            </w:pPr>
            <w:r w:rsidRPr="0070080E">
              <w:t>0.5124</w:t>
            </w:r>
          </w:p>
        </w:tc>
        <w:tc>
          <w:tcPr>
            <w:tcW w:w="1368" w:type="dxa"/>
          </w:tcPr>
          <w:p w14:paraId="3CB1053F" w14:textId="77777777" w:rsidR="00F67DDB" w:rsidRPr="0070080E" w:rsidRDefault="0094076D">
            <w:pPr>
              <w:pStyle w:val="Compact"/>
            </w:pPr>
            <w:r w:rsidRPr="0070080E">
              <w:t>0.0915</w:t>
            </w:r>
          </w:p>
        </w:tc>
        <w:tc>
          <w:tcPr>
            <w:tcW w:w="1368" w:type="dxa"/>
          </w:tcPr>
          <w:p w14:paraId="3CB10540" w14:textId="77777777" w:rsidR="00F67DDB" w:rsidRPr="0070080E" w:rsidRDefault="0094076D">
            <w:pPr>
              <w:pStyle w:val="Compact"/>
            </w:pPr>
            <w:r w:rsidRPr="0070080E">
              <w:t>0.9271</w:t>
            </w:r>
          </w:p>
        </w:tc>
        <w:tc>
          <w:tcPr>
            <w:tcW w:w="1456" w:type="dxa"/>
          </w:tcPr>
          <w:p w14:paraId="3CB10541" w14:textId="77777777" w:rsidR="00F67DDB" w:rsidRPr="0070080E" w:rsidRDefault="0094076D">
            <w:pPr>
              <w:pStyle w:val="Compact"/>
            </w:pPr>
            <w:r w:rsidRPr="0070080E">
              <w:t>-0.9575</w:t>
            </w:r>
          </w:p>
        </w:tc>
        <w:tc>
          <w:tcPr>
            <w:tcW w:w="1080" w:type="dxa"/>
          </w:tcPr>
          <w:p w14:paraId="3CB10542" w14:textId="77777777" w:rsidR="00F67DDB" w:rsidRPr="0070080E" w:rsidRDefault="0094076D">
            <w:pPr>
              <w:pStyle w:val="Compact"/>
            </w:pPr>
            <w:r w:rsidRPr="0070080E">
              <w:t>1.0513</w:t>
            </w:r>
          </w:p>
        </w:tc>
      </w:tr>
    </w:tbl>
    <w:p w14:paraId="3CB10544" w14:textId="77777777" w:rsidR="00F67DDB" w:rsidRPr="0070080E" w:rsidRDefault="0094076D" w:rsidP="00B300EE">
      <w:pPr>
        <w:pStyle w:val="BodyText"/>
        <w:ind w:firstLine="0"/>
      </w:pPr>
      <w:r w:rsidRPr="0070080E">
        <w:rPr>
          <w:i/>
          <w:iCs/>
        </w:rPr>
        <w:t>Note.</w:t>
      </w:r>
      <w:r w:rsidRPr="0070080E">
        <w:t xml:space="preserve"> Dependent variable: Net Risk Stance. N = 424 observations from 53 respondents; R² = 0.3571. Standard errors: two-way cluster (respondent, scenario). Reference categories omitted.</w:t>
      </w:r>
    </w:p>
    <w:p w14:paraId="3CB10545" w14:textId="77777777" w:rsidR="00F67DDB" w:rsidRPr="0070080E" w:rsidRDefault="0094076D">
      <w:pPr>
        <w:pStyle w:val="BodyText"/>
      </w:pPr>
      <w:r w:rsidRPr="0070080E">
        <w:t>The decomposed component specification (Spec 3) reveals a notable sign heterogeneity among the four Shock Score components. Sentiment Extremity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sidRPr="0070080E">
        <w:t>: β = −1.2904, p &lt; 0.0001) and Attention Intensity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Pr="0070080E">
        <w:t xml:space="preserve">: β = −0.5668, p &lt; 0.0001) are both significantly negative, consistent with the risk-reducing direction observed in the primary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result. Article Count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Pr="0070080E">
        <w:t>: β = +0.0235, p = 0.1585) is statistically non-significant. Event-Type Severity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Pr="0070080E">
        <w:t>: β = +0.3102, p &lt; 0.0001), however, enters with a positive sign, indicating that higher category-level severity is associated with an increase in NRS, contrary to the direction of the composite effect. This result is interpreted as a contrarian-resolution pattern (</w:t>
      </w:r>
      <w:hyperlink r:id="rId348">
        <w:r w:rsidRPr="0070080E">
          <w:rPr>
            <w:rStyle w:val="Hyperlink"/>
          </w:rPr>
          <w:t>De Bondt &amp; Thaler, 1985</w:t>
        </w:r>
      </w:hyperlink>
      <w:r w:rsidRPr="0070080E">
        <w:t xml:space="preserve">; </w:t>
      </w:r>
      <w:hyperlink r:id="rId349">
        <w:r w:rsidRPr="0070080E">
          <w:rPr>
            <w:rStyle w:val="Hyperlink"/>
          </w:rPr>
          <w:t>Daniel et al., 1998</w:t>
        </w:r>
      </w:hyperlink>
      <w:r w:rsidRPr="0070080E">
        <w:t>): when managers recognize that an event belongs to a historically high-volatility category (e.g., earnings), they may treat elevated category severity as a signal that price adjustment is already priced into expectations, thereby increasing rather than reducing risk exposure. This interpretation is consistent with the contrarian-alignment pattern identified in Section 5.6.1.1 (</w:t>
      </w:r>
      <w:hyperlink r:id="rId350">
        <w:r w:rsidRPr="0070080E">
          <w:rPr>
            <w:rStyle w:val="Hyperlink"/>
          </w:rPr>
          <w:t>Meng et al., 2024</w:t>
        </w:r>
      </w:hyperlink>
      <w:r w:rsidRPr="0070080E">
        <w:t xml:space="preserve">), where overall NRS–sentiment alignment rates fall well below 0.50. The positive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Pr="0070080E">
        <w:t xml:space="preserve"> coefficient does not invalidate the primary H1 finding;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integrates all four components through PCA and its composite effect remains robustly negative. The sign heterogeneity is reported for transparency and as an avenue for future research on component-level behavioral mechanisms.</w:t>
      </w:r>
    </w:p>
    <w:p w14:paraId="3CB10546" w14:textId="77777777" w:rsidR="00F67DDB" w:rsidRPr="0070080E" w:rsidRDefault="0094076D">
      <w:pPr>
        <w:pStyle w:val="BodyText"/>
      </w:pPr>
      <w:r w:rsidRPr="0070080E">
        <w:t xml:space="preserve">The direction-interaction specification (Spec 5) further decomposes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effect by sentiment direction. The main effect for positive-sentiment events is β₁ = −0.4283 (p &lt; 0.0001), indicating a risk-reducing response even when the accompanying news is positive. The interaction term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 </w:t>
      </w:r>
      <m:oMath>
        <m:sSub>
          <m:sSubPr>
            <m:ctrlPr>
              <w:rPr>
                <w:rFonts w:ascii="Cambria Math" w:hAnsi="Cambria Math"/>
              </w:rPr>
            </m:ctrlPr>
          </m:sSubPr>
          <m:e>
            <m:r>
              <w:rPr>
                <w:rFonts w:ascii="Cambria Math" w:hAnsi="Cambria Math"/>
              </w:rPr>
              <m:t>D</m:t>
            </m:r>
          </m:e>
          <m:sub>
            <m:r>
              <m:rPr>
                <m:sty m:val="p"/>
              </m:rPr>
              <w:rPr>
                <w:rFonts w:ascii="Cambria Math" w:hAnsi="Cambria Math"/>
              </w:rPr>
              <m:t>neg</m:t>
            </m:r>
          </m:sub>
        </m:sSub>
      </m:oMath>
      <w:r w:rsidRPr="0070080E">
        <w:t xml:space="preserve"> = +0.1954 (p = 0.5957) is not statistically significant, indicating that no reliable asymmetry between positive- and negative-sentiment events can be established in the current sample. The compound effect for negative-sentiment events is β₁ + β₃ = −0.4283 + 0.1954 = −0.2329, which remains risk-reducing in direction. The absence of a significant direction-interaction implies that the risk-reducing effect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does not differ materially by sentiment polarity at the current sample size. The Spec 5 result is treated as exploratory and the direction-asymmetry hypothesis is noted as a priority for replication on a larger sample.</w:t>
      </w:r>
    </w:p>
    <w:p w14:paraId="3CB10547" w14:textId="77777777" w:rsidR="00F67DDB" w:rsidRPr="0070080E" w:rsidRDefault="0094076D" w:rsidP="00B300EE">
      <w:pPr>
        <w:pStyle w:val="Tableid"/>
      </w:pPr>
      <w:r w:rsidRPr="0070080E">
        <w:t>Figure 5.7</w:t>
      </w:r>
    </w:p>
    <w:p w14:paraId="3CB10548" w14:textId="77777777" w:rsidR="00F67DDB" w:rsidRPr="0070080E" w:rsidRDefault="0094076D" w:rsidP="00B300EE">
      <w:pPr>
        <w:pStyle w:val="TableCaption"/>
      </w:pPr>
      <w:r w:rsidRPr="0070080E">
        <w:t>Forest Plot of OLS Regression Coefficients for the Four Shock Score Components</w:t>
      </w:r>
    </w:p>
    <w:p w14:paraId="3CB10549" w14:textId="77777777" w:rsidR="00F67DDB" w:rsidRPr="0070080E" w:rsidRDefault="0094076D" w:rsidP="00B300EE">
      <w:pPr>
        <w:pStyle w:val="Compact"/>
      </w:pPr>
      <w:r w:rsidRPr="0070080E">
        <w:rPr>
          <w:noProof/>
        </w:rPr>
        <w:drawing>
          <wp:inline distT="0" distB="0" distL="0" distR="0" wp14:anchorId="3CB1082D" wp14:editId="3CB1082E">
            <wp:extent cx="5943600" cy="3231649"/>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results/figures/fig_component_forest.png"/>
                    <pic:cNvPicPr>
                      <a:picLocks noChangeAspect="1" noChangeArrowheads="1"/>
                    </pic:cNvPicPr>
                  </pic:nvPicPr>
                  <pic:blipFill>
                    <a:blip r:embed="rId351"/>
                    <a:stretch>
                      <a:fillRect/>
                    </a:stretch>
                  </pic:blipFill>
                  <pic:spPr bwMode="auto">
                    <a:xfrm>
                      <a:off x="0" y="0"/>
                      <a:ext cx="5943600" cy="3231649"/>
                    </a:xfrm>
                    <a:prstGeom prst="rect">
                      <a:avLst/>
                    </a:prstGeom>
                    <a:noFill/>
                    <a:ln w="9525">
                      <a:noFill/>
                      <a:headEnd/>
                      <a:tailEnd/>
                    </a:ln>
                  </pic:spPr>
                </pic:pic>
              </a:graphicData>
            </a:graphic>
          </wp:inline>
        </w:drawing>
      </w:r>
    </w:p>
    <w:p w14:paraId="3CB1054A" w14:textId="547D71C9" w:rsidR="00F67DDB" w:rsidRPr="0070080E" w:rsidRDefault="0094076D" w:rsidP="00B300EE">
      <w:pPr>
        <w:pStyle w:val="BodyText"/>
        <w:ind w:firstLine="0"/>
      </w:pPr>
      <w:r w:rsidRPr="0070080E">
        <w:rPr>
          <w:i/>
          <w:iCs/>
        </w:rPr>
        <w:t>Note.</w:t>
      </w:r>
      <w:r w:rsidRPr="0070080E">
        <w:t xml:space="preserve"> Spec 3 decomposition, N = 424, HC3 robust standard errors, block fixed effects and ShowSC controlled. Blue markers indicate statistically significant risk-reducing effects; gray indicates non-significance. Horizontal lines represent 95% confidence intervals. Original figure created for this study</w:t>
      </w:r>
      <w:r w:rsidR="00683655">
        <w:t xml:space="preserve"> (2026)</w:t>
      </w:r>
      <w:r w:rsidRPr="0070080E">
        <w:t>.</w:t>
      </w:r>
    </w:p>
    <w:p w14:paraId="262D0339" w14:textId="77777777" w:rsidR="00B300EE" w:rsidRPr="0070080E" w:rsidRDefault="00B300EE" w:rsidP="00B300EE">
      <w:pPr>
        <w:pStyle w:val="Tableid"/>
        <w:sectPr w:rsidR="00B300EE" w:rsidRPr="0070080E" w:rsidSect="00BA36D3">
          <w:footnotePr>
            <w:numRestart w:val="eachSect"/>
          </w:footnotePr>
          <w:pgSz w:w="12240" w:h="15840"/>
          <w:pgMar w:top="1440" w:right="1440" w:bottom="1440" w:left="1440" w:header="630" w:footer="720" w:gutter="0"/>
          <w:cols w:space="720"/>
          <w:docGrid w:linePitch="299"/>
        </w:sectPr>
      </w:pPr>
    </w:p>
    <w:p w14:paraId="3CB1054B" w14:textId="77777777" w:rsidR="00F67DDB" w:rsidRPr="0070080E" w:rsidRDefault="0094076D" w:rsidP="00B300EE">
      <w:pPr>
        <w:pStyle w:val="Tableid"/>
      </w:pPr>
      <w:r w:rsidRPr="0070080E">
        <w:t>Table 5.8</w:t>
      </w:r>
    </w:p>
    <w:p w14:paraId="3CB1054C" w14:textId="77777777" w:rsidR="00F67DDB" w:rsidRPr="0070080E" w:rsidRDefault="0094076D" w:rsidP="00B300EE">
      <w:pPr>
        <w:pStyle w:val="TableCaption"/>
      </w:pPr>
      <w:r w:rsidRPr="0070080E">
        <w:t>H1 Robustness Specification Results</w:t>
      </w:r>
    </w:p>
    <w:tbl>
      <w:tblPr>
        <w:tblStyle w:val="Table"/>
        <w:tblW w:w="5307" w:type="pct"/>
        <w:tblInd w:w="-180" w:type="dxa"/>
        <w:tblLayout w:type="fixed"/>
        <w:tblLook w:val="0020" w:firstRow="1" w:lastRow="0" w:firstColumn="0" w:lastColumn="0" w:noHBand="0" w:noVBand="0"/>
      </w:tblPr>
      <w:tblGrid>
        <w:gridCol w:w="1891"/>
        <w:gridCol w:w="2299"/>
        <w:gridCol w:w="1327"/>
        <w:gridCol w:w="1062"/>
        <w:gridCol w:w="1179"/>
        <w:gridCol w:w="1035"/>
        <w:gridCol w:w="1064"/>
        <w:gridCol w:w="973"/>
        <w:gridCol w:w="977"/>
        <w:gridCol w:w="860"/>
        <w:gridCol w:w="1089"/>
      </w:tblGrid>
      <w:tr w:rsidR="00F67DDB" w:rsidRPr="0070080E" w14:paraId="3CB10558" w14:textId="77777777" w:rsidTr="00A604F2">
        <w:trPr>
          <w:cnfStyle w:val="100000000000" w:firstRow="1" w:lastRow="0" w:firstColumn="0" w:lastColumn="0" w:oddVBand="0" w:evenVBand="0" w:oddHBand="0" w:evenHBand="0" w:firstRowFirstColumn="0" w:firstRowLastColumn="0" w:lastRowFirstColumn="0" w:lastRowLastColumn="0"/>
          <w:tblHeader/>
        </w:trPr>
        <w:tc>
          <w:tcPr>
            <w:tcW w:w="1890" w:type="dxa"/>
          </w:tcPr>
          <w:p w14:paraId="3CB1054D" w14:textId="77777777" w:rsidR="00F67DDB" w:rsidRPr="0070080E" w:rsidRDefault="0094076D">
            <w:pPr>
              <w:pStyle w:val="Compact"/>
              <w:rPr>
                <w:szCs w:val="20"/>
              </w:rPr>
            </w:pPr>
            <w:r w:rsidRPr="0070080E">
              <w:rPr>
                <w:szCs w:val="20"/>
              </w:rPr>
              <w:t>spec</w:t>
            </w:r>
          </w:p>
        </w:tc>
        <w:tc>
          <w:tcPr>
            <w:tcW w:w="2299" w:type="dxa"/>
          </w:tcPr>
          <w:p w14:paraId="3CB1054E" w14:textId="77777777" w:rsidR="00F67DDB" w:rsidRPr="0070080E" w:rsidRDefault="0094076D">
            <w:pPr>
              <w:pStyle w:val="Compact"/>
              <w:rPr>
                <w:szCs w:val="20"/>
              </w:rPr>
            </w:pPr>
            <w:r w:rsidRPr="0070080E">
              <w:rPr>
                <w:szCs w:val="20"/>
              </w:rPr>
              <w:t>note</w:t>
            </w:r>
          </w:p>
        </w:tc>
        <w:tc>
          <w:tcPr>
            <w:tcW w:w="1327" w:type="dxa"/>
          </w:tcPr>
          <w:p w14:paraId="3CB1054F" w14:textId="77777777" w:rsidR="00F67DDB" w:rsidRPr="0070080E" w:rsidRDefault="0094076D">
            <w:pPr>
              <w:pStyle w:val="Compact"/>
              <w:rPr>
                <w:szCs w:val="20"/>
              </w:rPr>
            </w:pPr>
            <w:r w:rsidRPr="0070080E">
              <w:rPr>
                <w:szCs w:val="20"/>
              </w:rPr>
              <w:t>beta1</w:t>
            </w:r>
          </w:p>
        </w:tc>
        <w:tc>
          <w:tcPr>
            <w:tcW w:w="1062" w:type="dxa"/>
          </w:tcPr>
          <w:p w14:paraId="3CB10550" w14:textId="77777777" w:rsidR="00F67DDB" w:rsidRPr="0070080E" w:rsidRDefault="0094076D">
            <w:pPr>
              <w:pStyle w:val="Compact"/>
              <w:rPr>
                <w:szCs w:val="20"/>
              </w:rPr>
            </w:pPr>
            <w:r w:rsidRPr="0070080E">
              <w:rPr>
                <w:szCs w:val="20"/>
              </w:rPr>
              <w:t>se</w:t>
            </w:r>
          </w:p>
        </w:tc>
        <w:tc>
          <w:tcPr>
            <w:tcW w:w="1179" w:type="dxa"/>
          </w:tcPr>
          <w:p w14:paraId="3CB10551" w14:textId="77777777" w:rsidR="00F67DDB" w:rsidRPr="0070080E" w:rsidRDefault="0094076D">
            <w:pPr>
              <w:pStyle w:val="Compact"/>
              <w:rPr>
                <w:szCs w:val="20"/>
              </w:rPr>
            </w:pPr>
            <w:r w:rsidRPr="0070080E">
              <w:rPr>
                <w:szCs w:val="20"/>
              </w:rPr>
              <w:t>t</w:t>
            </w:r>
          </w:p>
        </w:tc>
        <w:tc>
          <w:tcPr>
            <w:tcW w:w="1035" w:type="dxa"/>
          </w:tcPr>
          <w:p w14:paraId="3CB10552" w14:textId="77777777" w:rsidR="00F67DDB" w:rsidRPr="0070080E" w:rsidRDefault="0094076D">
            <w:pPr>
              <w:pStyle w:val="Compact"/>
              <w:rPr>
                <w:szCs w:val="20"/>
              </w:rPr>
            </w:pPr>
            <w:r w:rsidRPr="0070080E">
              <w:rPr>
                <w:szCs w:val="20"/>
              </w:rPr>
              <w:t>p</w:t>
            </w:r>
          </w:p>
        </w:tc>
        <w:tc>
          <w:tcPr>
            <w:tcW w:w="1064" w:type="dxa"/>
          </w:tcPr>
          <w:p w14:paraId="3CB10553" w14:textId="77777777" w:rsidR="00F67DDB" w:rsidRPr="0070080E" w:rsidRDefault="0094076D">
            <w:pPr>
              <w:pStyle w:val="Compact"/>
              <w:rPr>
                <w:szCs w:val="20"/>
              </w:rPr>
            </w:pPr>
            <w:r w:rsidRPr="0070080E">
              <w:rPr>
                <w:szCs w:val="20"/>
              </w:rPr>
              <w:t>ci_lo</w:t>
            </w:r>
          </w:p>
        </w:tc>
        <w:tc>
          <w:tcPr>
            <w:tcW w:w="973" w:type="dxa"/>
          </w:tcPr>
          <w:p w14:paraId="3CB10554" w14:textId="77777777" w:rsidR="00F67DDB" w:rsidRPr="0070080E" w:rsidRDefault="0094076D">
            <w:pPr>
              <w:pStyle w:val="Compact"/>
              <w:rPr>
                <w:szCs w:val="20"/>
              </w:rPr>
            </w:pPr>
            <w:r w:rsidRPr="0070080E">
              <w:rPr>
                <w:szCs w:val="20"/>
              </w:rPr>
              <w:t>ci_hi</w:t>
            </w:r>
          </w:p>
        </w:tc>
        <w:tc>
          <w:tcPr>
            <w:tcW w:w="977" w:type="dxa"/>
          </w:tcPr>
          <w:p w14:paraId="3CB10555" w14:textId="77777777" w:rsidR="00F67DDB" w:rsidRPr="0070080E" w:rsidRDefault="0094076D">
            <w:pPr>
              <w:pStyle w:val="Compact"/>
              <w:rPr>
                <w:szCs w:val="20"/>
              </w:rPr>
            </w:pPr>
            <w:r w:rsidRPr="0070080E">
              <w:rPr>
                <w:szCs w:val="20"/>
              </w:rPr>
              <w:t>r2</w:t>
            </w:r>
          </w:p>
        </w:tc>
        <w:tc>
          <w:tcPr>
            <w:tcW w:w="860" w:type="dxa"/>
          </w:tcPr>
          <w:p w14:paraId="3CB10556" w14:textId="77777777" w:rsidR="00F67DDB" w:rsidRPr="0070080E" w:rsidRDefault="0094076D">
            <w:pPr>
              <w:pStyle w:val="Compact"/>
              <w:rPr>
                <w:szCs w:val="20"/>
              </w:rPr>
            </w:pPr>
            <w:r w:rsidRPr="0070080E">
              <w:rPr>
                <w:szCs w:val="20"/>
              </w:rPr>
              <w:t>n_obs</w:t>
            </w:r>
          </w:p>
        </w:tc>
        <w:tc>
          <w:tcPr>
            <w:tcW w:w="1089" w:type="dxa"/>
          </w:tcPr>
          <w:p w14:paraId="3CB10557" w14:textId="77777777" w:rsidR="00F67DDB" w:rsidRPr="0070080E" w:rsidRDefault="0094076D">
            <w:pPr>
              <w:pStyle w:val="Compact"/>
              <w:rPr>
                <w:szCs w:val="20"/>
              </w:rPr>
            </w:pPr>
            <w:r w:rsidRPr="0070080E">
              <w:rPr>
                <w:szCs w:val="20"/>
              </w:rPr>
              <w:t>clustering</w:t>
            </w:r>
          </w:p>
        </w:tc>
      </w:tr>
      <w:tr w:rsidR="00F67DDB" w:rsidRPr="0070080E" w14:paraId="3CB10564" w14:textId="77777777" w:rsidTr="00A604F2">
        <w:trPr>
          <w:trHeight w:val="666"/>
        </w:trPr>
        <w:tc>
          <w:tcPr>
            <w:tcW w:w="1890" w:type="dxa"/>
          </w:tcPr>
          <w:p w14:paraId="3CB10559" w14:textId="77777777" w:rsidR="00F67DDB" w:rsidRPr="0070080E" w:rsidRDefault="0094076D">
            <w:pPr>
              <w:pStyle w:val="Compact"/>
              <w:rPr>
                <w:szCs w:val="20"/>
              </w:rPr>
            </w:pPr>
            <w:r w:rsidRPr="0070080E">
              <w:rPr>
                <w:szCs w:val="20"/>
              </w:rPr>
              <w:t>spec_1_quintiles</w:t>
            </w:r>
          </w:p>
        </w:tc>
        <w:tc>
          <w:tcPr>
            <w:tcW w:w="2299" w:type="dxa"/>
          </w:tcPr>
          <w:p w14:paraId="3CB1055A" w14:textId="77777777" w:rsidR="00F67DDB" w:rsidRPr="0070080E" w:rsidRDefault="0094076D">
            <w:pPr>
              <w:pStyle w:val="Compact"/>
              <w:rPr>
                <w:szCs w:val="20"/>
              </w:rPr>
            </w:pPr>
            <w:r w:rsidRPr="0070080E">
              <w:rPr>
                <w:szCs w:val="20"/>
              </w:rPr>
              <w:t>Shock Score quintile dummies</w:t>
            </w:r>
          </w:p>
        </w:tc>
        <w:tc>
          <w:tcPr>
            <w:tcW w:w="1327" w:type="dxa"/>
          </w:tcPr>
          <w:p w14:paraId="3CB1055B" w14:textId="77777777" w:rsidR="00F67DDB" w:rsidRPr="0070080E" w:rsidRDefault="0094076D">
            <w:pPr>
              <w:pStyle w:val="Compact"/>
              <w:rPr>
                <w:szCs w:val="20"/>
              </w:rPr>
            </w:pPr>
            <w:r w:rsidRPr="0070080E">
              <w:rPr>
                <w:szCs w:val="20"/>
              </w:rPr>
              <w:t>see quintile coefficients</w:t>
            </w:r>
          </w:p>
        </w:tc>
        <w:tc>
          <w:tcPr>
            <w:tcW w:w="1062" w:type="dxa"/>
          </w:tcPr>
          <w:p w14:paraId="3CB1055C" w14:textId="77777777" w:rsidR="00F67DDB" w:rsidRPr="0070080E" w:rsidRDefault="00F67DDB">
            <w:pPr>
              <w:pStyle w:val="Compact"/>
              <w:rPr>
                <w:szCs w:val="20"/>
              </w:rPr>
            </w:pPr>
          </w:p>
        </w:tc>
        <w:tc>
          <w:tcPr>
            <w:tcW w:w="1179" w:type="dxa"/>
          </w:tcPr>
          <w:p w14:paraId="3CB1055D" w14:textId="77777777" w:rsidR="00F67DDB" w:rsidRPr="0070080E" w:rsidRDefault="00F67DDB">
            <w:pPr>
              <w:pStyle w:val="Compact"/>
              <w:rPr>
                <w:szCs w:val="20"/>
              </w:rPr>
            </w:pPr>
          </w:p>
        </w:tc>
        <w:tc>
          <w:tcPr>
            <w:tcW w:w="1035" w:type="dxa"/>
          </w:tcPr>
          <w:p w14:paraId="3CB1055E" w14:textId="77777777" w:rsidR="00F67DDB" w:rsidRPr="0070080E" w:rsidRDefault="0094076D">
            <w:pPr>
              <w:pStyle w:val="Compact"/>
              <w:rPr>
                <w:szCs w:val="20"/>
              </w:rPr>
            </w:pPr>
            <w:r w:rsidRPr="0070080E">
              <w:rPr>
                <w:szCs w:val="20"/>
              </w:rPr>
              <w:t>nan</w:t>
            </w:r>
          </w:p>
        </w:tc>
        <w:tc>
          <w:tcPr>
            <w:tcW w:w="1064" w:type="dxa"/>
          </w:tcPr>
          <w:p w14:paraId="3CB1055F" w14:textId="77777777" w:rsidR="00F67DDB" w:rsidRPr="0070080E" w:rsidRDefault="00F67DDB">
            <w:pPr>
              <w:pStyle w:val="Compact"/>
              <w:rPr>
                <w:szCs w:val="20"/>
              </w:rPr>
            </w:pPr>
          </w:p>
        </w:tc>
        <w:tc>
          <w:tcPr>
            <w:tcW w:w="973" w:type="dxa"/>
          </w:tcPr>
          <w:p w14:paraId="3CB10560" w14:textId="77777777" w:rsidR="00F67DDB" w:rsidRPr="0070080E" w:rsidRDefault="00F67DDB">
            <w:pPr>
              <w:pStyle w:val="Compact"/>
              <w:rPr>
                <w:szCs w:val="20"/>
              </w:rPr>
            </w:pPr>
          </w:p>
        </w:tc>
        <w:tc>
          <w:tcPr>
            <w:tcW w:w="977" w:type="dxa"/>
          </w:tcPr>
          <w:p w14:paraId="3CB10561" w14:textId="77777777" w:rsidR="00F67DDB" w:rsidRPr="0070080E" w:rsidRDefault="0094076D">
            <w:pPr>
              <w:pStyle w:val="Compact"/>
              <w:rPr>
                <w:szCs w:val="20"/>
              </w:rPr>
            </w:pPr>
            <w:r w:rsidRPr="0070080E">
              <w:rPr>
                <w:szCs w:val="20"/>
              </w:rPr>
              <w:t>0.3715</w:t>
            </w:r>
          </w:p>
        </w:tc>
        <w:tc>
          <w:tcPr>
            <w:tcW w:w="860" w:type="dxa"/>
          </w:tcPr>
          <w:p w14:paraId="3CB10562" w14:textId="77777777" w:rsidR="00F67DDB" w:rsidRPr="0070080E" w:rsidRDefault="0094076D">
            <w:pPr>
              <w:pStyle w:val="Compact"/>
              <w:rPr>
                <w:szCs w:val="20"/>
              </w:rPr>
            </w:pPr>
            <w:r w:rsidRPr="0070080E">
              <w:rPr>
                <w:szCs w:val="20"/>
              </w:rPr>
              <w:t>424</w:t>
            </w:r>
          </w:p>
        </w:tc>
        <w:tc>
          <w:tcPr>
            <w:tcW w:w="1089" w:type="dxa"/>
          </w:tcPr>
          <w:p w14:paraId="3CB10563" w14:textId="77777777" w:rsidR="00F67DDB" w:rsidRPr="0070080E" w:rsidRDefault="0094076D">
            <w:pPr>
              <w:pStyle w:val="Compact"/>
              <w:rPr>
                <w:szCs w:val="20"/>
              </w:rPr>
            </w:pPr>
            <w:r w:rsidRPr="0070080E">
              <w:rPr>
                <w:szCs w:val="20"/>
              </w:rPr>
              <w:t>HC3</w:t>
            </w:r>
          </w:p>
        </w:tc>
      </w:tr>
      <w:tr w:rsidR="00F67DDB" w:rsidRPr="0070080E" w14:paraId="3CB10570" w14:textId="77777777" w:rsidTr="00A604F2">
        <w:trPr>
          <w:trHeight w:val="540"/>
        </w:trPr>
        <w:tc>
          <w:tcPr>
            <w:tcW w:w="1890" w:type="dxa"/>
          </w:tcPr>
          <w:p w14:paraId="3CB10565" w14:textId="77777777" w:rsidR="00F67DDB" w:rsidRPr="0070080E" w:rsidRDefault="0094076D">
            <w:pPr>
              <w:pStyle w:val="Compact"/>
              <w:rPr>
                <w:szCs w:val="20"/>
              </w:rPr>
            </w:pPr>
            <w:r w:rsidRPr="0070080E">
              <w:rPr>
                <w:szCs w:val="20"/>
              </w:rPr>
              <w:t>spec_2_within</w:t>
            </w:r>
          </w:p>
        </w:tc>
        <w:tc>
          <w:tcPr>
            <w:tcW w:w="2299" w:type="dxa"/>
          </w:tcPr>
          <w:p w14:paraId="3CB10566" w14:textId="77777777" w:rsidR="00F67DDB" w:rsidRPr="0070080E" w:rsidRDefault="0094076D">
            <w:pPr>
              <w:pStyle w:val="Compact"/>
              <w:rPr>
                <w:szCs w:val="20"/>
              </w:rPr>
            </w:pPr>
            <w:r w:rsidRPr="0070080E">
              <w:rPr>
                <w:szCs w:val="20"/>
              </w:rPr>
              <w:t>Respondent FE (within)</w:t>
            </w:r>
          </w:p>
        </w:tc>
        <w:tc>
          <w:tcPr>
            <w:tcW w:w="1327" w:type="dxa"/>
          </w:tcPr>
          <w:p w14:paraId="3CB10567" w14:textId="77777777" w:rsidR="00F67DDB" w:rsidRPr="0070080E" w:rsidRDefault="0094076D">
            <w:pPr>
              <w:pStyle w:val="Compact"/>
              <w:rPr>
                <w:szCs w:val="20"/>
              </w:rPr>
            </w:pPr>
            <w:r w:rsidRPr="0070080E">
              <w:rPr>
                <w:szCs w:val="20"/>
              </w:rPr>
              <w:t>-0.1846</w:t>
            </w:r>
          </w:p>
        </w:tc>
        <w:tc>
          <w:tcPr>
            <w:tcW w:w="1062" w:type="dxa"/>
          </w:tcPr>
          <w:p w14:paraId="3CB10568" w14:textId="77777777" w:rsidR="00F67DDB" w:rsidRPr="0070080E" w:rsidRDefault="0094076D">
            <w:pPr>
              <w:pStyle w:val="Compact"/>
              <w:rPr>
                <w:szCs w:val="20"/>
              </w:rPr>
            </w:pPr>
            <w:r w:rsidRPr="0070080E">
              <w:rPr>
                <w:szCs w:val="20"/>
              </w:rPr>
              <w:t>0.0549</w:t>
            </w:r>
          </w:p>
        </w:tc>
        <w:tc>
          <w:tcPr>
            <w:tcW w:w="1179" w:type="dxa"/>
          </w:tcPr>
          <w:p w14:paraId="3CB10569" w14:textId="77777777" w:rsidR="00F67DDB" w:rsidRPr="0070080E" w:rsidRDefault="0094076D">
            <w:pPr>
              <w:pStyle w:val="Compact"/>
              <w:rPr>
                <w:szCs w:val="20"/>
              </w:rPr>
            </w:pPr>
            <w:r w:rsidRPr="0070080E">
              <w:rPr>
                <w:szCs w:val="20"/>
              </w:rPr>
              <w:t>-3.3604</w:t>
            </w:r>
          </w:p>
        </w:tc>
        <w:tc>
          <w:tcPr>
            <w:tcW w:w="1035" w:type="dxa"/>
          </w:tcPr>
          <w:p w14:paraId="3CB1056A" w14:textId="77777777" w:rsidR="00F67DDB" w:rsidRPr="0070080E" w:rsidRDefault="0094076D">
            <w:pPr>
              <w:pStyle w:val="Compact"/>
              <w:rPr>
                <w:szCs w:val="20"/>
              </w:rPr>
            </w:pPr>
            <w:r w:rsidRPr="0070080E">
              <w:rPr>
                <w:szCs w:val="20"/>
              </w:rPr>
              <w:t>0.0008</w:t>
            </w:r>
          </w:p>
        </w:tc>
        <w:tc>
          <w:tcPr>
            <w:tcW w:w="1064" w:type="dxa"/>
          </w:tcPr>
          <w:p w14:paraId="3CB1056B" w14:textId="77777777" w:rsidR="00F67DDB" w:rsidRPr="0070080E" w:rsidRDefault="0094076D">
            <w:pPr>
              <w:pStyle w:val="Compact"/>
              <w:rPr>
                <w:szCs w:val="20"/>
              </w:rPr>
            </w:pPr>
            <w:r w:rsidRPr="0070080E">
              <w:rPr>
                <w:szCs w:val="20"/>
              </w:rPr>
              <w:t>-0.2922</w:t>
            </w:r>
          </w:p>
        </w:tc>
        <w:tc>
          <w:tcPr>
            <w:tcW w:w="973" w:type="dxa"/>
          </w:tcPr>
          <w:p w14:paraId="3CB1056C" w14:textId="77777777" w:rsidR="00F67DDB" w:rsidRPr="0070080E" w:rsidRDefault="0094076D">
            <w:pPr>
              <w:pStyle w:val="Compact"/>
              <w:rPr>
                <w:szCs w:val="20"/>
              </w:rPr>
            </w:pPr>
            <w:r w:rsidRPr="0070080E">
              <w:rPr>
                <w:szCs w:val="20"/>
              </w:rPr>
              <w:t>-0.0769</w:t>
            </w:r>
          </w:p>
        </w:tc>
        <w:tc>
          <w:tcPr>
            <w:tcW w:w="977" w:type="dxa"/>
          </w:tcPr>
          <w:p w14:paraId="3CB1056D" w14:textId="77777777" w:rsidR="00F67DDB" w:rsidRPr="0070080E" w:rsidRDefault="0094076D">
            <w:pPr>
              <w:pStyle w:val="Compact"/>
              <w:rPr>
                <w:szCs w:val="20"/>
              </w:rPr>
            </w:pPr>
            <w:r w:rsidRPr="0070080E">
              <w:rPr>
                <w:szCs w:val="20"/>
              </w:rPr>
              <w:t>0.0356</w:t>
            </w:r>
          </w:p>
        </w:tc>
        <w:tc>
          <w:tcPr>
            <w:tcW w:w="860" w:type="dxa"/>
          </w:tcPr>
          <w:p w14:paraId="3CB1056E" w14:textId="77777777" w:rsidR="00F67DDB" w:rsidRPr="0070080E" w:rsidRDefault="0094076D">
            <w:pPr>
              <w:pStyle w:val="Compact"/>
              <w:rPr>
                <w:szCs w:val="20"/>
              </w:rPr>
            </w:pPr>
            <w:r w:rsidRPr="0070080E">
              <w:rPr>
                <w:szCs w:val="20"/>
              </w:rPr>
              <w:t>424</w:t>
            </w:r>
          </w:p>
        </w:tc>
        <w:tc>
          <w:tcPr>
            <w:tcW w:w="1089" w:type="dxa"/>
          </w:tcPr>
          <w:p w14:paraId="3CB1056F" w14:textId="77777777" w:rsidR="00F67DDB" w:rsidRPr="0070080E" w:rsidRDefault="0094076D">
            <w:pPr>
              <w:pStyle w:val="Compact"/>
              <w:rPr>
                <w:szCs w:val="20"/>
              </w:rPr>
            </w:pPr>
            <w:r w:rsidRPr="0070080E">
              <w:rPr>
                <w:szCs w:val="20"/>
              </w:rPr>
              <w:t>HC3</w:t>
            </w:r>
          </w:p>
        </w:tc>
      </w:tr>
      <w:tr w:rsidR="00F67DDB" w:rsidRPr="0070080E" w14:paraId="3CB1057C" w14:textId="77777777" w:rsidTr="00A604F2">
        <w:tc>
          <w:tcPr>
            <w:tcW w:w="1890" w:type="dxa"/>
          </w:tcPr>
          <w:p w14:paraId="3CB10571" w14:textId="1FEA2E63" w:rsidR="00F67DDB" w:rsidRPr="0070080E" w:rsidRDefault="0094076D">
            <w:pPr>
              <w:pStyle w:val="Compact"/>
              <w:rPr>
                <w:szCs w:val="20"/>
              </w:rPr>
            </w:pPr>
            <w:r w:rsidRPr="0070080E">
              <w:rPr>
                <w:szCs w:val="20"/>
              </w:rPr>
              <w:t>spec_3</w:t>
            </w:r>
          </w:p>
        </w:tc>
        <w:tc>
          <w:tcPr>
            <w:tcW w:w="2299" w:type="dxa"/>
          </w:tcPr>
          <w:p w14:paraId="3CB10572" w14:textId="77777777" w:rsidR="00F67DDB" w:rsidRPr="0070080E" w:rsidRDefault="0094076D">
            <w:pPr>
              <w:pStyle w:val="Compact"/>
              <w:rPr>
                <w:szCs w:val="20"/>
              </w:rPr>
            </w:pPr>
            <w:r w:rsidRPr="0070080E">
              <w:rPr>
                <w:szCs w:val="20"/>
              </w:rPr>
              <w:t>Component: ac_e</w:t>
            </w:r>
          </w:p>
        </w:tc>
        <w:tc>
          <w:tcPr>
            <w:tcW w:w="1327" w:type="dxa"/>
          </w:tcPr>
          <w:p w14:paraId="3CB10573" w14:textId="77777777" w:rsidR="00F67DDB" w:rsidRPr="0070080E" w:rsidRDefault="0094076D">
            <w:pPr>
              <w:pStyle w:val="Compact"/>
              <w:rPr>
                <w:szCs w:val="20"/>
              </w:rPr>
            </w:pPr>
            <w:r w:rsidRPr="0070080E">
              <w:rPr>
                <w:szCs w:val="20"/>
              </w:rPr>
              <w:t>0.0235</w:t>
            </w:r>
          </w:p>
        </w:tc>
        <w:tc>
          <w:tcPr>
            <w:tcW w:w="1062" w:type="dxa"/>
          </w:tcPr>
          <w:p w14:paraId="3CB10574" w14:textId="77777777" w:rsidR="00F67DDB" w:rsidRPr="0070080E" w:rsidRDefault="0094076D">
            <w:pPr>
              <w:pStyle w:val="Compact"/>
              <w:rPr>
                <w:szCs w:val="20"/>
              </w:rPr>
            </w:pPr>
            <w:r w:rsidRPr="0070080E">
              <w:rPr>
                <w:szCs w:val="20"/>
              </w:rPr>
              <w:t>0.0167</w:t>
            </w:r>
          </w:p>
        </w:tc>
        <w:tc>
          <w:tcPr>
            <w:tcW w:w="1179" w:type="dxa"/>
          </w:tcPr>
          <w:p w14:paraId="3CB10575" w14:textId="77777777" w:rsidR="00F67DDB" w:rsidRPr="0070080E" w:rsidRDefault="0094076D">
            <w:pPr>
              <w:pStyle w:val="Compact"/>
              <w:rPr>
                <w:szCs w:val="20"/>
              </w:rPr>
            </w:pPr>
            <w:r w:rsidRPr="0070080E">
              <w:rPr>
                <w:szCs w:val="20"/>
              </w:rPr>
              <w:t>1.4101</w:t>
            </w:r>
          </w:p>
        </w:tc>
        <w:tc>
          <w:tcPr>
            <w:tcW w:w="1035" w:type="dxa"/>
          </w:tcPr>
          <w:p w14:paraId="3CB10576" w14:textId="77777777" w:rsidR="00F67DDB" w:rsidRPr="0070080E" w:rsidRDefault="0094076D">
            <w:pPr>
              <w:pStyle w:val="Compact"/>
              <w:rPr>
                <w:szCs w:val="20"/>
              </w:rPr>
            </w:pPr>
            <w:r w:rsidRPr="0070080E">
              <w:rPr>
                <w:szCs w:val="20"/>
              </w:rPr>
              <w:t>0.1585</w:t>
            </w:r>
          </w:p>
        </w:tc>
        <w:tc>
          <w:tcPr>
            <w:tcW w:w="1064" w:type="dxa"/>
          </w:tcPr>
          <w:p w14:paraId="3CB10577" w14:textId="77777777" w:rsidR="00F67DDB" w:rsidRPr="0070080E" w:rsidRDefault="0094076D">
            <w:pPr>
              <w:pStyle w:val="Compact"/>
              <w:rPr>
                <w:szCs w:val="20"/>
              </w:rPr>
            </w:pPr>
            <w:r w:rsidRPr="0070080E">
              <w:rPr>
                <w:szCs w:val="20"/>
              </w:rPr>
              <w:t>-0.0092</w:t>
            </w:r>
          </w:p>
        </w:tc>
        <w:tc>
          <w:tcPr>
            <w:tcW w:w="973" w:type="dxa"/>
          </w:tcPr>
          <w:p w14:paraId="3CB10578" w14:textId="77777777" w:rsidR="00F67DDB" w:rsidRPr="0070080E" w:rsidRDefault="0094076D">
            <w:pPr>
              <w:pStyle w:val="Compact"/>
              <w:rPr>
                <w:szCs w:val="20"/>
              </w:rPr>
            </w:pPr>
            <w:r w:rsidRPr="0070080E">
              <w:rPr>
                <w:szCs w:val="20"/>
              </w:rPr>
              <w:t>0.0562</w:t>
            </w:r>
          </w:p>
        </w:tc>
        <w:tc>
          <w:tcPr>
            <w:tcW w:w="977" w:type="dxa"/>
          </w:tcPr>
          <w:p w14:paraId="3CB10579" w14:textId="77777777" w:rsidR="00F67DDB" w:rsidRPr="0070080E" w:rsidRDefault="0094076D">
            <w:pPr>
              <w:pStyle w:val="Compact"/>
              <w:rPr>
                <w:szCs w:val="20"/>
              </w:rPr>
            </w:pPr>
            <w:r w:rsidRPr="0070080E">
              <w:rPr>
                <w:szCs w:val="20"/>
              </w:rPr>
              <w:t>0.5372</w:t>
            </w:r>
          </w:p>
        </w:tc>
        <w:tc>
          <w:tcPr>
            <w:tcW w:w="860" w:type="dxa"/>
          </w:tcPr>
          <w:p w14:paraId="3CB1057A" w14:textId="77777777" w:rsidR="00F67DDB" w:rsidRPr="0070080E" w:rsidRDefault="0094076D">
            <w:pPr>
              <w:pStyle w:val="Compact"/>
              <w:rPr>
                <w:szCs w:val="20"/>
              </w:rPr>
            </w:pPr>
            <w:r w:rsidRPr="0070080E">
              <w:rPr>
                <w:szCs w:val="20"/>
              </w:rPr>
              <w:t>424</w:t>
            </w:r>
          </w:p>
        </w:tc>
        <w:tc>
          <w:tcPr>
            <w:tcW w:w="1089" w:type="dxa"/>
          </w:tcPr>
          <w:p w14:paraId="3CB1057B" w14:textId="77777777" w:rsidR="00F67DDB" w:rsidRPr="0070080E" w:rsidRDefault="0094076D">
            <w:pPr>
              <w:pStyle w:val="Compact"/>
              <w:rPr>
                <w:szCs w:val="20"/>
              </w:rPr>
            </w:pPr>
            <w:r w:rsidRPr="0070080E">
              <w:rPr>
                <w:szCs w:val="20"/>
              </w:rPr>
              <w:t>HC3</w:t>
            </w:r>
          </w:p>
        </w:tc>
      </w:tr>
      <w:tr w:rsidR="00F67DDB" w:rsidRPr="0070080E" w14:paraId="3CB10588" w14:textId="77777777" w:rsidTr="00A604F2">
        <w:tc>
          <w:tcPr>
            <w:tcW w:w="1890" w:type="dxa"/>
          </w:tcPr>
          <w:p w14:paraId="3CB1057D" w14:textId="7AF4E460" w:rsidR="00F67DDB" w:rsidRPr="0070080E" w:rsidRDefault="0094076D">
            <w:pPr>
              <w:pStyle w:val="Compact"/>
              <w:rPr>
                <w:szCs w:val="20"/>
              </w:rPr>
            </w:pPr>
            <w:r w:rsidRPr="0070080E">
              <w:rPr>
                <w:szCs w:val="20"/>
              </w:rPr>
              <w:t>spec_3</w:t>
            </w:r>
          </w:p>
        </w:tc>
        <w:tc>
          <w:tcPr>
            <w:tcW w:w="2299" w:type="dxa"/>
          </w:tcPr>
          <w:p w14:paraId="3CB1057E" w14:textId="77777777" w:rsidR="00F67DDB" w:rsidRPr="0070080E" w:rsidRDefault="0094076D">
            <w:pPr>
              <w:pStyle w:val="Compact"/>
              <w:rPr>
                <w:szCs w:val="20"/>
              </w:rPr>
            </w:pPr>
            <w:r w:rsidRPr="0070080E">
              <w:rPr>
                <w:szCs w:val="20"/>
              </w:rPr>
              <w:t>Component: se_e</w:t>
            </w:r>
          </w:p>
        </w:tc>
        <w:tc>
          <w:tcPr>
            <w:tcW w:w="1327" w:type="dxa"/>
          </w:tcPr>
          <w:p w14:paraId="3CB1057F" w14:textId="77777777" w:rsidR="00F67DDB" w:rsidRPr="0070080E" w:rsidRDefault="0094076D">
            <w:pPr>
              <w:pStyle w:val="Compact"/>
              <w:rPr>
                <w:szCs w:val="20"/>
              </w:rPr>
            </w:pPr>
            <w:r w:rsidRPr="0070080E">
              <w:rPr>
                <w:szCs w:val="20"/>
              </w:rPr>
              <w:t>-1.2904</w:t>
            </w:r>
          </w:p>
        </w:tc>
        <w:tc>
          <w:tcPr>
            <w:tcW w:w="1062" w:type="dxa"/>
          </w:tcPr>
          <w:p w14:paraId="3CB10580" w14:textId="77777777" w:rsidR="00F67DDB" w:rsidRPr="0070080E" w:rsidRDefault="0094076D">
            <w:pPr>
              <w:pStyle w:val="Compact"/>
              <w:rPr>
                <w:szCs w:val="20"/>
              </w:rPr>
            </w:pPr>
            <w:r w:rsidRPr="0070080E">
              <w:rPr>
                <w:szCs w:val="20"/>
              </w:rPr>
              <w:t>0.1684</w:t>
            </w:r>
          </w:p>
        </w:tc>
        <w:tc>
          <w:tcPr>
            <w:tcW w:w="1179" w:type="dxa"/>
          </w:tcPr>
          <w:p w14:paraId="3CB10581" w14:textId="77777777" w:rsidR="00F67DDB" w:rsidRPr="0070080E" w:rsidRDefault="0094076D">
            <w:pPr>
              <w:pStyle w:val="Compact"/>
              <w:rPr>
                <w:szCs w:val="20"/>
              </w:rPr>
            </w:pPr>
            <w:r w:rsidRPr="0070080E">
              <w:rPr>
                <w:szCs w:val="20"/>
              </w:rPr>
              <w:t>-7.6624</w:t>
            </w:r>
          </w:p>
        </w:tc>
        <w:tc>
          <w:tcPr>
            <w:tcW w:w="1035" w:type="dxa"/>
          </w:tcPr>
          <w:p w14:paraId="3CB10582" w14:textId="77777777" w:rsidR="00F67DDB" w:rsidRPr="0070080E" w:rsidRDefault="0094076D">
            <w:pPr>
              <w:pStyle w:val="Compact"/>
              <w:rPr>
                <w:szCs w:val="20"/>
              </w:rPr>
            </w:pPr>
            <w:r w:rsidRPr="0070080E">
              <w:rPr>
                <w:szCs w:val="20"/>
              </w:rPr>
              <w:t>&lt;0.0001</w:t>
            </w:r>
          </w:p>
        </w:tc>
        <w:tc>
          <w:tcPr>
            <w:tcW w:w="1064" w:type="dxa"/>
          </w:tcPr>
          <w:p w14:paraId="3CB10583" w14:textId="77777777" w:rsidR="00F67DDB" w:rsidRPr="0070080E" w:rsidRDefault="0094076D">
            <w:pPr>
              <w:pStyle w:val="Compact"/>
              <w:rPr>
                <w:szCs w:val="20"/>
              </w:rPr>
            </w:pPr>
            <w:r w:rsidRPr="0070080E">
              <w:rPr>
                <w:szCs w:val="20"/>
              </w:rPr>
              <w:t>-1.6204</w:t>
            </w:r>
          </w:p>
        </w:tc>
        <w:tc>
          <w:tcPr>
            <w:tcW w:w="973" w:type="dxa"/>
          </w:tcPr>
          <w:p w14:paraId="3CB10584" w14:textId="77777777" w:rsidR="00F67DDB" w:rsidRPr="0070080E" w:rsidRDefault="0094076D">
            <w:pPr>
              <w:pStyle w:val="Compact"/>
              <w:rPr>
                <w:szCs w:val="20"/>
              </w:rPr>
            </w:pPr>
            <w:r w:rsidRPr="0070080E">
              <w:rPr>
                <w:szCs w:val="20"/>
              </w:rPr>
              <w:t>-0.9603</w:t>
            </w:r>
          </w:p>
        </w:tc>
        <w:tc>
          <w:tcPr>
            <w:tcW w:w="977" w:type="dxa"/>
          </w:tcPr>
          <w:p w14:paraId="3CB10585" w14:textId="77777777" w:rsidR="00F67DDB" w:rsidRPr="0070080E" w:rsidRDefault="0094076D">
            <w:pPr>
              <w:pStyle w:val="Compact"/>
              <w:rPr>
                <w:szCs w:val="20"/>
              </w:rPr>
            </w:pPr>
            <w:r w:rsidRPr="0070080E">
              <w:rPr>
                <w:szCs w:val="20"/>
              </w:rPr>
              <w:t>0.5372</w:t>
            </w:r>
          </w:p>
        </w:tc>
        <w:tc>
          <w:tcPr>
            <w:tcW w:w="860" w:type="dxa"/>
          </w:tcPr>
          <w:p w14:paraId="3CB10586" w14:textId="77777777" w:rsidR="00F67DDB" w:rsidRPr="0070080E" w:rsidRDefault="0094076D">
            <w:pPr>
              <w:pStyle w:val="Compact"/>
              <w:rPr>
                <w:szCs w:val="20"/>
              </w:rPr>
            </w:pPr>
            <w:r w:rsidRPr="0070080E">
              <w:rPr>
                <w:szCs w:val="20"/>
              </w:rPr>
              <w:t>424</w:t>
            </w:r>
          </w:p>
        </w:tc>
        <w:tc>
          <w:tcPr>
            <w:tcW w:w="1089" w:type="dxa"/>
          </w:tcPr>
          <w:p w14:paraId="3CB10587" w14:textId="77777777" w:rsidR="00F67DDB" w:rsidRPr="0070080E" w:rsidRDefault="0094076D">
            <w:pPr>
              <w:pStyle w:val="Compact"/>
              <w:rPr>
                <w:szCs w:val="20"/>
              </w:rPr>
            </w:pPr>
            <w:r w:rsidRPr="0070080E">
              <w:rPr>
                <w:szCs w:val="20"/>
              </w:rPr>
              <w:t>HC3</w:t>
            </w:r>
          </w:p>
        </w:tc>
      </w:tr>
      <w:tr w:rsidR="00F67DDB" w:rsidRPr="0070080E" w14:paraId="3CB10594" w14:textId="77777777" w:rsidTr="00A604F2">
        <w:tc>
          <w:tcPr>
            <w:tcW w:w="1890" w:type="dxa"/>
          </w:tcPr>
          <w:p w14:paraId="3CB10589" w14:textId="76025B03" w:rsidR="00F67DDB" w:rsidRPr="0070080E" w:rsidRDefault="0094076D">
            <w:pPr>
              <w:pStyle w:val="Compact"/>
              <w:rPr>
                <w:szCs w:val="20"/>
              </w:rPr>
            </w:pPr>
            <w:r w:rsidRPr="0070080E">
              <w:rPr>
                <w:szCs w:val="20"/>
              </w:rPr>
              <w:t>spec_3</w:t>
            </w:r>
          </w:p>
        </w:tc>
        <w:tc>
          <w:tcPr>
            <w:tcW w:w="2299" w:type="dxa"/>
          </w:tcPr>
          <w:p w14:paraId="3CB1058A" w14:textId="77777777" w:rsidR="00F67DDB" w:rsidRPr="0070080E" w:rsidRDefault="0094076D">
            <w:pPr>
              <w:pStyle w:val="Compact"/>
              <w:rPr>
                <w:szCs w:val="20"/>
              </w:rPr>
            </w:pPr>
            <w:r w:rsidRPr="0070080E">
              <w:rPr>
                <w:szCs w:val="20"/>
              </w:rPr>
              <w:t>Component: ai_e</w:t>
            </w:r>
          </w:p>
        </w:tc>
        <w:tc>
          <w:tcPr>
            <w:tcW w:w="1327" w:type="dxa"/>
          </w:tcPr>
          <w:p w14:paraId="3CB1058B" w14:textId="77777777" w:rsidR="00F67DDB" w:rsidRPr="0070080E" w:rsidRDefault="0094076D">
            <w:pPr>
              <w:pStyle w:val="Compact"/>
              <w:rPr>
                <w:szCs w:val="20"/>
              </w:rPr>
            </w:pPr>
            <w:r w:rsidRPr="0070080E">
              <w:rPr>
                <w:szCs w:val="20"/>
              </w:rPr>
              <w:t>-0.5668</w:t>
            </w:r>
          </w:p>
        </w:tc>
        <w:tc>
          <w:tcPr>
            <w:tcW w:w="1062" w:type="dxa"/>
          </w:tcPr>
          <w:p w14:paraId="3CB1058C" w14:textId="77777777" w:rsidR="00F67DDB" w:rsidRPr="0070080E" w:rsidRDefault="0094076D">
            <w:pPr>
              <w:pStyle w:val="Compact"/>
              <w:rPr>
                <w:szCs w:val="20"/>
              </w:rPr>
            </w:pPr>
            <w:r w:rsidRPr="0070080E">
              <w:rPr>
                <w:szCs w:val="20"/>
              </w:rPr>
              <w:t>0.0771</w:t>
            </w:r>
          </w:p>
        </w:tc>
        <w:tc>
          <w:tcPr>
            <w:tcW w:w="1179" w:type="dxa"/>
          </w:tcPr>
          <w:p w14:paraId="3CB1058D" w14:textId="77777777" w:rsidR="00F67DDB" w:rsidRPr="0070080E" w:rsidRDefault="0094076D">
            <w:pPr>
              <w:pStyle w:val="Compact"/>
              <w:rPr>
                <w:szCs w:val="20"/>
              </w:rPr>
            </w:pPr>
            <w:r w:rsidRPr="0070080E">
              <w:rPr>
                <w:szCs w:val="20"/>
              </w:rPr>
              <w:t>-7.3553</w:t>
            </w:r>
          </w:p>
        </w:tc>
        <w:tc>
          <w:tcPr>
            <w:tcW w:w="1035" w:type="dxa"/>
          </w:tcPr>
          <w:p w14:paraId="3CB1058E" w14:textId="77777777" w:rsidR="00F67DDB" w:rsidRPr="0070080E" w:rsidRDefault="0094076D">
            <w:pPr>
              <w:pStyle w:val="Compact"/>
              <w:rPr>
                <w:szCs w:val="20"/>
              </w:rPr>
            </w:pPr>
            <w:r w:rsidRPr="0070080E">
              <w:rPr>
                <w:szCs w:val="20"/>
              </w:rPr>
              <w:t>&lt;0.0001</w:t>
            </w:r>
          </w:p>
        </w:tc>
        <w:tc>
          <w:tcPr>
            <w:tcW w:w="1064" w:type="dxa"/>
          </w:tcPr>
          <w:p w14:paraId="3CB1058F" w14:textId="77777777" w:rsidR="00F67DDB" w:rsidRPr="0070080E" w:rsidRDefault="0094076D">
            <w:pPr>
              <w:pStyle w:val="Compact"/>
              <w:rPr>
                <w:szCs w:val="20"/>
              </w:rPr>
            </w:pPr>
            <w:r w:rsidRPr="0070080E">
              <w:rPr>
                <w:szCs w:val="20"/>
              </w:rPr>
              <w:t>-0.7178</w:t>
            </w:r>
          </w:p>
        </w:tc>
        <w:tc>
          <w:tcPr>
            <w:tcW w:w="973" w:type="dxa"/>
          </w:tcPr>
          <w:p w14:paraId="3CB10590" w14:textId="77777777" w:rsidR="00F67DDB" w:rsidRPr="0070080E" w:rsidRDefault="0094076D">
            <w:pPr>
              <w:pStyle w:val="Compact"/>
              <w:rPr>
                <w:szCs w:val="20"/>
              </w:rPr>
            </w:pPr>
            <w:r w:rsidRPr="0070080E">
              <w:rPr>
                <w:szCs w:val="20"/>
              </w:rPr>
              <w:t>-0.4158</w:t>
            </w:r>
          </w:p>
        </w:tc>
        <w:tc>
          <w:tcPr>
            <w:tcW w:w="977" w:type="dxa"/>
          </w:tcPr>
          <w:p w14:paraId="3CB10591" w14:textId="77777777" w:rsidR="00F67DDB" w:rsidRPr="0070080E" w:rsidRDefault="0094076D">
            <w:pPr>
              <w:pStyle w:val="Compact"/>
              <w:rPr>
                <w:szCs w:val="20"/>
              </w:rPr>
            </w:pPr>
            <w:r w:rsidRPr="0070080E">
              <w:rPr>
                <w:szCs w:val="20"/>
              </w:rPr>
              <w:t>0.5372</w:t>
            </w:r>
          </w:p>
        </w:tc>
        <w:tc>
          <w:tcPr>
            <w:tcW w:w="860" w:type="dxa"/>
          </w:tcPr>
          <w:p w14:paraId="3CB10592" w14:textId="77777777" w:rsidR="00F67DDB" w:rsidRPr="0070080E" w:rsidRDefault="0094076D">
            <w:pPr>
              <w:pStyle w:val="Compact"/>
              <w:rPr>
                <w:szCs w:val="20"/>
              </w:rPr>
            </w:pPr>
            <w:r w:rsidRPr="0070080E">
              <w:rPr>
                <w:szCs w:val="20"/>
              </w:rPr>
              <w:t>424</w:t>
            </w:r>
          </w:p>
        </w:tc>
        <w:tc>
          <w:tcPr>
            <w:tcW w:w="1089" w:type="dxa"/>
          </w:tcPr>
          <w:p w14:paraId="3CB10593" w14:textId="77777777" w:rsidR="00F67DDB" w:rsidRPr="0070080E" w:rsidRDefault="0094076D">
            <w:pPr>
              <w:pStyle w:val="Compact"/>
              <w:rPr>
                <w:szCs w:val="20"/>
              </w:rPr>
            </w:pPr>
            <w:r w:rsidRPr="0070080E">
              <w:rPr>
                <w:szCs w:val="20"/>
              </w:rPr>
              <w:t>HC3</w:t>
            </w:r>
          </w:p>
        </w:tc>
      </w:tr>
      <w:tr w:rsidR="00F67DDB" w:rsidRPr="0070080E" w14:paraId="3CB105A0" w14:textId="77777777" w:rsidTr="00A604F2">
        <w:trPr>
          <w:trHeight w:val="522"/>
        </w:trPr>
        <w:tc>
          <w:tcPr>
            <w:tcW w:w="1890" w:type="dxa"/>
          </w:tcPr>
          <w:p w14:paraId="3CB10595" w14:textId="536A7421" w:rsidR="00F67DDB" w:rsidRPr="0070080E" w:rsidRDefault="0094076D">
            <w:pPr>
              <w:pStyle w:val="Compact"/>
              <w:rPr>
                <w:szCs w:val="20"/>
              </w:rPr>
            </w:pPr>
            <w:r w:rsidRPr="0070080E">
              <w:rPr>
                <w:szCs w:val="20"/>
              </w:rPr>
              <w:t>spec_3</w:t>
            </w:r>
          </w:p>
        </w:tc>
        <w:tc>
          <w:tcPr>
            <w:tcW w:w="2299" w:type="dxa"/>
          </w:tcPr>
          <w:p w14:paraId="3CB10596" w14:textId="77777777" w:rsidR="00F67DDB" w:rsidRPr="0070080E" w:rsidRDefault="0094076D">
            <w:pPr>
              <w:pStyle w:val="Compact"/>
              <w:rPr>
                <w:szCs w:val="20"/>
              </w:rPr>
            </w:pPr>
            <w:r w:rsidRPr="0070080E">
              <w:rPr>
                <w:szCs w:val="20"/>
              </w:rPr>
              <w:t>Component: es_raw</w:t>
            </w:r>
          </w:p>
        </w:tc>
        <w:tc>
          <w:tcPr>
            <w:tcW w:w="1327" w:type="dxa"/>
          </w:tcPr>
          <w:p w14:paraId="3CB10597" w14:textId="77777777" w:rsidR="00F67DDB" w:rsidRPr="0070080E" w:rsidRDefault="0094076D">
            <w:pPr>
              <w:pStyle w:val="Compact"/>
              <w:rPr>
                <w:szCs w:val="20"/>
              </w:rPr>
            </w:pPr>
            <w:r w:rsidRPr="0070080E">
              <w:rPr>
                <w:szCs w:val="20"/>
              </w:rPr>
              <w:t>0.3102</w:t>
            </w:r>
          </w:p>
        </w:tc>
        <w:tc>
          <w:tcPr>
            <w:tcW w:w="1062" w:type="dxa"/>
          </w:tcPr>
          <w:p w14:paraId="3CB10598" w14:textId="77777777" w:rsidR="00F67DDB" w:rsidRPr="0070080E" w:rsidRDefault="0094076D">
            <w:pPr>
              <w:pStyle w:val="Compact"/>
              <w:rPr>
                <w:szCs w:val="20"/>
              </w:rPr>
            </w:pPr>
            <w:r w:rsidRPr="0070080E">
              <w:rPr>
                <w:szCs w:val="20"/>
              </w:rPr>
              <w:t>0.0328</w:t>
            </w:r>
          </w:p>
        </w:tc>
        <w:tc>
          <w:tcPr>
            <w:tcW w:w="1179" w:type="dxa"/>
          </w:tcPr>
          <w:p w14:paraId="3CB10599" w14:textId="77777777" w:rsidR="00F67DDB" w:rsidRPr="0070080E" w:rsidRDefault="0094076D">
            <w:pPr>
              <w:pStyle w:val="Compact"/>
              <w:rPr>
                <w:szCs w:val="20"/>
              </w:rPr>
            </w:pPr>
            <w:r w:rsidRPr="0070080E">
              <w:rPr>
                <w:szCs w:val="20"/>
              </w:rPr>
              <w:t>9.4635</w:t>
            </w:r>
          </w:p>
        </w:tc>
        <w:tc>
          <w:tcPr>
            <w:tcW w:w="1035" w:type="dxa"/>
          </w:tcPr>
          <w:p w14:paraId="3CB1059A" w14:textId="77777777" w:rsidR="00F67DDB" w:rsidRPr="0070080E" w:rsidRDefault="0094076D">
            <w:pPr>
              <w:pStyle w:val="Compact"/>
              <w:rPr>
                <w:szCs w:val="20"/>
              </w:rPr>
            </w:pPr>
            <w:r w:rsidRPr="0070080E">
              <w:rPr>
                <w:szCs w:val="20"/>
              </w:rPr>
              <w:t>&lt;0.0001</w:t>
            </w:r>
          </w:p>
        </w:tc>
        <w:tc>
          <w:tcPr>
            <w:tcW w:w="1064" w:type="dxa"/>
          </w:tcPr>
          <w:p w14:paraId="3CB1059B" w14:textId="77777777" w:rsidR="00F67DDB" w:rsidRPr="0070080E" w:rsidRDefault="0094076D">
            <w:pPr>
              <w:pStyle w:val="Compact"/>
              <w:rPr>
                <w:szCs w:val="20"/>
              </w:rPr>
            </w:pPr>
            <w:r w:rsidRPr="0070080E">
              <w:rPr>
                <w:szCs w:val="20"/>
              </w:rPr>
              <w:t>0.246</w:t>
            </w:r>
          </w:p>
        </w:tc>
        <w:tc>
          <w:tcPr>
            <w:tcW w:w="973" w:type="dxa"/>
          </w:tcPr>
          <w:p w14:paraId="3CB1059C" w14:textId="77777777" w:rsidR="00F67DDB" w:rsidRPr="0070080E" w:rsidRDefault="0094076D">
            <w:pPr>
              <w:pStyle w:val="Compact"/>
              <w:rPr>
                <w:szCs w:val="20"/>
              </w:rPr>
            </w:pPr>
            <w:r w:rsidRPr="0070080E">
              <w:rPr>
                <w:szCs w:val="20"/>
              </w:rPr>
              <w:t>0.3745</w:t>
            </w:r>
          </w:p>
        </w:tc>
        <w:tc>
          <w:tcPr>
            <w:tcW w:w="977" w:type="dxa"/>
          </w:tcPr>
          <w:p w14:paraId="3CB1059D" w14:textId="77777777" w:rsidR="00F67DDB" w:rsidRPr="0070080E" w:rsidRDefault="0094076D">
            <w:pPr>
              <w:pStyle w:val="Compact"/>
              <w:rPr>
                <w:szCs w:val="20"/>
              </w:rPr>
            </w:pPr>
            <w:r w:rsidRPr="0070080E">
              <w:rPr>
                <w:szCs w:val="20"/>
              </w:rPr>
              <w:t>0.5372</w:t>
            </w:r>
          </w:p>
        </w:tc>
        <w:tc>
          <w:tcPr>
            <w:tcW w:w="860" w:type="dxa"/>
          </w:tcPr>
          <w:p w14:paraId="3CB1059E" w14:textId="77777777" w:rsidR="00F67DDB" w:rsidRPr="0070080E" w:rsidRDefault="0094076D">
            <w:pPr>
              <w:pStyle w:val="Compact"/>
              <w:rPr>
                <w:szCs w:val="20"/>
              </w:rPr>
            </w:pPr>
            <w:r w:rsidRPr="0070080E">
              <w:rPr>
                <w:szCs w:val="20"/>
              </w:rPr>
              <w:t>424</w:t>
            </w:r>
          </w:p>
        </w:tc>
        <w:tc>
          <w:tcPr>
            <w:tcW w:w="1089" w:type="dxa"/>
          </w:tcPr>
          <w:p w14:paraId="3CB1059F" w14:textId="77777777" w:rsidR="00F67DDB" w:rsidRPr="0070080E" w:rsidRDefault="0094076D">
            <w:pPr>
              <w:pStyle w:val="Compact"/>
              <w:rPr>
                <w:szCs w:val="20"/>
              </w:rPr>
            </w:pPr>
            <w:r w:rsidRPr="0070080E">
              <w:rPr>
                <w:szCs w:val="20"/>
              </w:rPr>
              <w:t>HC3</w:t>
            </w:r>
          </w:p>
        </w:tc>
      </w:tr>
      <w:tr w:rsidR="00F67DDB" w:rsidRPr="0070080E" w14:paraId="3CB105AC" w14:textId="77777777" w:rsidTr="00A604F2">
        <w:trPr>
          <w:trHeight w:val="720"/>
        </w:trPr>
        <w:tc>
          <w:tcPr>
            <w:tcW w:w="1890" w:type="dxa"/>
          </w:tcPr>
          <w:p w14:paraId="3CB105A1" w14:textId="476B50B3" w:rsidR="00F67DDB" w:rsidRPr="0070080E" w:rsidRDefault="0094076D">
            <w:pPr>
              <w:pStyle w:val="Compact"/>
              <w:rPr>
                <w:szCs w:val="20"/>
              </w:rPr>
            </w:pPr>
            <w:r w:rsidRPr="0070080E">
              <w:rPr>
                <w:szCs w:val="20"/>
              </w:rPr>
              <w:t>spec_4</w:t>
            </w:r>
            <w:r w:rsidR="00A604F2" w:rsidRPr="0070080E">
              <w:rPr>
                <w:szCs w:val="20"/>
              </w:rPr>
              <w:t xml:space="preserve"> </w:t>
            </w:r>
            <w:r w:rsidRPr="0070080E">
              <w:rPr>
                <w:szCs w:val="20"/>
              </w:rPr>
              <w:t>interaction</w:t>
            </w:r>
          </w:p>
        </w:tc>
        <w:tc>
          <w:tcPr>
            <w:tcW w:w="2299" w:type="dxa"/>
          </w:tcPr>
          <w:p w14:paraId="3CB105A2" w14:textId="77777777" w:rsidR="00F67DDB" w:rsidRPr="0070080E" w:rsidRDefault="0094076D">
            <w:pPr>
              <w:pStyle w:val="Compact"/>
              <w:rPr>
                <w:szCs w:val="20"/>
              </w:rPr>
            </w:pPr>
            <w:r w:rsidRPr="0070080E">
              <w:rPr>
                <w:szCs w:val="20"/>
              </w:rPr>
              <w:t>Shock Score × ShowSC interaction</w:t>
            </w:r>
          </w:p>
        </w:tc>
        <w:tc>
          <w:tcPr>
            <w:tcW w:w="1327" w:type="dxa"/>
          </w:tcPr>
          <w:p w14:paraId="3CB105A3" w14:textId="77777777" w:rsidR="00F67DDB" w:rsidRPr="0070080E" w:rsidRDefault="0094076D">
            <w:pPr>
              <w:pStyle w:val="Compact"/>
              <w:rPr>
                <w:szCs w:val="20"/>
              </w:rPr>
            </w:pPr>
            <w:r w:rsidRPr="0070080E">
              <w:rPr>
                <w:szCs w:val="20"/>
              </w:rPr>
              <w:t>-0.0067</w:t>
            </w:r>
          </w:p>
        </w:tc>
        <w:tc>
          <w:tcPr>
            <w:tcW w:w="1062" w:type="dxa"/>
          </w:tcPr>
          <w:p w14:paraId="3CB105A4" w14:textId="77777777" w:rsidR="00F67DDB" w:rsidRPr="0070080E" w:rsidRDefault="0094076D">
            <w:pPr>
              <w:pStyle w:val="Compact"/>
              <w:rPr>
                <w:szCs w:val="20"/>
              </w:rPr>
            </w:pPr>
            <w:r w:rsidRPr="0070080E">
              <w:rPr>
                <w:szCs w:val="20"/>
              </w:rPr>
              <w:t>0.083</w:t>
            </w:r>
          </w:p>
        </w:tc>
        <w:tc>
          <w:tcPr>
            <w:tcW w:w="1179" w:type="dxa"/>
          </w:tcPr>
          <w:p w14:paraId="3CB105A5" w14:textId="77777777" w:rsidR="00F67DDB" w:rsidRPr="0070080E" w:rsidRDefault="0094076D">
            <w:pPr>
              <w:pStyle w:val="Compact"/>
              <w:rPr>
                <w:szCs w:val="20"/>
              </w:rPr>
            </w:pPr>
            <w:r w:rsidRPr="0070080E">
              <w:rPr>
                <w:szCs w:val="20"/>
              </w:rPr>
              <w:t>-0.0806</w:t>
            </w:r>
          </w:p>
        </w:tc>
        <w:tc>
          <w:tcPr>
            <w:tcW w:w="1035" w:type="dxa"/>
          </w:tcPr>
          <w:p w14:paraId="3CB105A6" w14:textId="77777777" w:rsidR="00F67DDB" w:rsidRPr="0070080E" w:rsidRDefault="0094076D">
            <w:pPr>
              <w:pStyle w:val="Compact"/>
              <w:rPr>
                <w:szCs w:val="20"/>
              </w:rPr>
            </w:pPr>
            <w:r w:rsidRPr="0070080E">
              <w:rPr>
                <w:szCs w:val="20"/>
              </w:rPr>
              <w:t>0.9358</w:t>
            </w:r>
          </w:p>
        </w:tc>
        <w:tc>
          <w:tcPr>
            <w:tcW w:w="1064" w:type="dxa"/>
          </w:tcPr>
          <w:p w14:paraId="3CB105A7" w14:textId="77777777" w:rsidR="00F67DDB" w:rsidRPr="0070080E" w:rsidRDefault="0094076D">
            <w:pPr>
              <w:pStyle w:val="Compact"/>
              <w:rPr>
                <w:szCs w:val="20"/>
              </w:rPr>
            </w:pPr>
            <w:r w:rsidRPr="0070080E">
              <w:rPr>
                <w:szCs w:val="20"/>
              </w:rPr>
              <w:t>-0.1694</w:t>
            </w:r>
          </w:p>
        </w:tc>
        <w:tc>
          <w:tcPr>
            <w:tcW w:w="973" w:type="dxa"/>
          </w:tcPr>
          <w:p w14:paraId="3CB105A8" w14:textId="77777777" w:rsidR="00F67DDB" w:rsidRPr="0070080E" w:rsidRDefault="0094076D">
            <w:pPr>
              <w:pStyle w:val="Compact"/>
              <w:rPr>
                <w:szCs w:val="20"/>
              </w:rPr>
            </w:pPr>
            <w:r w:rsidRPr="0070080E">
              <w:rPr>
                <w:szCs w:val="20"/>
              </w:rPr>
              <w:t>0.1561</w:t>
            </w:r>
          </w:p>
        </w:tc>
        <w:tc>
          <w:tcPr>
            <w:tcW w:w="977" w:type="dxa"/>
          </w:tcPr>
          <w:p w14:paraId="3CB105A9" w14:textId="77777777" w:rsidR="00F67DDB" w:rsidRPr="0070080E" w:rsidRDefault="0094076D">
            <w:pPr>
              <w:pStyle w:val="Compact"/>
              <w:rPr>
                <w:szCs w:val="20"/>
              </w:rPr>
            </w:pPr>
            <w:r w:rsidRPr="0070080E">
              <w:rPr>
                <w:szCs w:val="20"/>
              </w:rPr>
              <w:t>0.3571</w:t>
            </w:r>
          </w:p>
        </w:tc>
        <w:tc>
          <w:tcPr>
            <w:tcW w:w="860" w:type="dxa"/>
          </w:tcPr>
          <w:p w14:paraId="3CB105AA" w14:textId="77777777" w:rsidR="00F67DDB" w:rsidRPr="0070080E" w:rsidRDefault="0094076D">
            <w:pPr>
              <w:pStyle w:val="Compact"/>
              <w:rPr>
                <w:szCs w:val="20"/>
              </w:rPr>
            </w:pPr>
            <w:r w:rsidRPr="0070080E">
              <w:rPr>
                <w:szCs w:val="20"/>
              </w:rPr>
              <w:t>424</w:t>
            </w:r>
          </w:p>
        </w:tc>
        <w:tc>
          <w:tcPr>
            <w:tcW w:w="1089" w:type="dxa"/>
          </w:tcPr>
          <w:p w14:paraId="3CB105AB" w14:textId="77777777" w:rsidR="00F67DDB" w:rsidRPr="0070080E" w:rsidRDefault="0094076D">
            <w:pPr>
              <w:pStyle w:val="Compact"/>
              <w:rPr>
                <w:szCs w:val="20"/>
              </w:rPr>
            </w:pPr>
            <w:r w:rsidRPr="0070080E">
              <w:rPr>
                <w:szCs w:val="20"/>
              </w:rPr>
              <w:t>HC3</w:t>
            </w:r>
          </w:p>
        </w:tc>
      </w:tr>
      <w:tr w:rsidR="00F67DDB" w:rsidRPr="0070080E" w14:paraId="3CB105B8" w14:textId="77777777" w:rsidTr="00A604F2">
        <w:trPr>
          <w:trHeight w:val="882"/>
        </w:trPr>
        <w:tc>
          <w:tcPr>
            <w:tcW w:w="1890" w:type="dxa"/>
          </w:tcPr>
          <w:p w14:paraId="3CB105AD" w14:textId="5A5FC994" w:rsidR="00F67DDB" w:rsidRPr="0070080E" w:rsidRDefault="0094076D">
            <w:pPr>
              <w:pStyle w:val="Compact"/>
              <w:rPr>
                <w:szCs w:val="20"/>
              </w:rPr>
            </w:pPr>
            <w:r w:rsidRPr="0070080E">
              <w:rPr>
                <w:szCs w:val="20"/>
              </w:rPr>
              <w:t>spec_5</w:t>
            </w:r>
            <w:r w:rsidR="00A604F2" w:rsidRPr="0070080E">
              <w:rPr>
                <w:szCs w:val="20"/>
              </w:rPr>
              <w:t xml:space="preserve"> </w:t>
            </w:r>
            <w:r w:rsidRPr="0070080E">
              <w:rPr>
                <w:szCs w:val="20"/>
              </w:rPr>
              <w:t>direction_b1</w:t>
            </w:r>
          </w:p>
        </w:tc>
        <w:tc>
          <w:tcPr>
            <w:tcW w:w="2299" w:type="dxa"/>
          </w:tcPr>
          <w:p w14:paraId="3CB105AE" w14:textId="77777777" w:rsidR="00F67DDB" w:rsidRPr="0070080E" w:rsidRDefault="0094076D">
            <w:pPr>
              <w:pStyle w:val="Compact"/>
              <w:rPr>
                <w:szCs w:val="20"/>
              </w:rPr>
            </w:pPr>
            <w:r w:rsidRPr="0070080E">
              <w:rPr>
                <w:szCs w:val="20"/>
              </w:rPr>
              <w:t>Shock Score main effect (positive events)</w:t>
            </w:r>
          </w:p>
        </w:tc>
        <w:tc>
          <w:tcPr>
            <w:tcW w:w="1327" w:type="dxa"/>
          </w:tcPr>
          <w:p w14:paraId="3CB105AF" w14:textId="77777777" w:rsidR="00F67DDB" w:rsidRPr="0070080E" w:rsidRDefault="0094076D">
            <w:pPr>
              <w:pStyle w:val="Compact"/>
              <w:rPr>
                <w:szCs w:val="20"/>
              </w:rPr>
            </w:pPr>
            <w:r w:rsidRPr="0070080E">
              <w:rPr>
                <w:szCs w:val="20"/>
              </w:rPr>
              <w:t>-0.4283</w:t>
            </w:r>
          </w:p>
        </w:tc>
        <w:tc>
          <w:tcPr>
            <w:tcW w:w="1062" w:type="dxa"/>
          </w:tcPr>
          <w:p w14:paraId="3CB105B0" w14:textId="77777777" w:rsidR="00F67DDB" w:rsidRPr="0070080E" w:rsidRDefault="0094076D">
            <w:pPr>
              <w:pStyle w:val="Compact"/>
              <w:rPr>
                <w:szCs w:val="20"/>
              </w:rPr>
            </w:pPr>
            <w:r w:rsidRPr="0070080E">
              <w:rPr>
                <w:szCs w:val="20"/>
              </w:rPr>
              <w:t>0.0603</w:t>
            </w:r>
          </w:p>
        </w:tc>
        <w:tc>
          <w:tcPr>
            <w:tcW w:w="1179" w:type="dxa"/>
          </w:tcPr>
          <w:p w14:paraId="3CB105B1" w14:textId="77777777" w:rsidR="00F67DDB" w:rsidRPr="0070080E" w:rsidRDefault="0094076D">
            <w:pPr>
              <w:pStyle w:val="Compact"/>
              <w:rPr>
                <w:szCs w:val="20"/>
              </w:rPr>
            </w:pPr>
            <w:r w:rsidRPr="0070080E">
              <w:rPr>
                <w:szCs w:val="20"/>
              </w:rPr>
              <w:t>-7.1072</w:t>
            </w:r>
          </w:p>
        </w:tc>
        <w:tc>
          <w:tcPr>
            <w:tcW w:w="1035" w:type="dxa"/>
          </w:tcPr>
          <w:p w14:paraId="3CB105B2" w14:textId="77777777" w:rsidR="00F67DDB" w:rsidRPr="0070080E" w:rsidRDefault="0094076D">
            <w:pPr>
              <w:pStyle w:val="Compact"/>
              <w:rPr>
                <w:szCs w:val="20"/>
              </w:rPr>
            </w:pPr>
            <w:r w:rsidRPr="0070080E">
              <w:rPr>
                <w:szCs w:val="20"/>
              </w:rPr>
              <w:t>&lt;0.0001</w:t>
            </w:r>
          </w:p>
        </w:tc>
        <w:tc>
          <w:tcPr>
            <w:tcW w:w="1064" w:type="dxa"/>
          </w:tcPr>
          <w:p w14:paraId="3CB105B3" w14:textId="77777777" w:rsidR="00F67DDB" w:rsidRPr="0070080E" w:rsidRDefault="0094076D">
            <w:pPr>
              <w:pStyle w:val="Compact"/>
              <w:rPr>
                <w:szCs w:val="20"/>
              </w:rPr>
            </w:pPr>
            <w:r w:rsidRPr="0070080E">
              <w:rPr>
                <w:szCs w:val="20"/>
              </w:rPr>
              <w:t>-0.5464</w:t>
            </w:r>
          </w:p>
        </w:tc>
        <w:tc>
          <w:tcPr>
            <w:tcW w:w="973" w:type="dxa"/>
          </w:tcPr>
          <w:p w14:paraId="3CB105B4" w14:textId="77777777" w:rsidR="00F67DDB" w:rsidRPr="0070080E" w:rsidRDefault="0094076D">
            <w:pPr>
              <w:pStyle w:val="Compact"/>
              <w:rPr>
                <w:szCs w:val="20"/>
              </w:rPr>
            </w:pPr>
            <w:r w:rsidRPr="0070080E">
              <w:rPr>
                <w:szCs w:val="20"/>
              </w:rPr>
              <w:t>-0.3102</w:t>
            </w:r>
          </w:p>
        </w:tc>
        <w:tc>
          <w:tcPr>
            <w:tcW w:w="977" w:type="dxa"/>
          </w:tcPr>
          <w:p w14:paraId="3CB105B5" w14:textId="77777777" w:rsidR="00F67DDB" w:rsidRPr="0070080E" w:rsidRDefault="0094076D">
            <w:pPr>
              <w:pStyle w:val="Compact"/>
              <w:rPr>
                <w:szCs w:val="20"/>
              </w:rPr>
            </w:pPr>
            <w:r w:rsidRPr="0070080E">
              <w:rPr>
                <w:szCs w:val="20"/>
              </w:rPr>
              <w:t>0.3701</w:t>
            </w:r>
          </w:p>
        </w:tc>
        <w:tc>
          <w:tcPr>
            <w:tcW w:w="860" w:type="dxa"/>
          </w:tcPr>
          <w:p w14:paraId="3CB105B6" w14:textId="77777777" w:rsidR="00F67DDB" w:rsidRPr="0070080E" w:rsidRDefault="0094076D">
            <w:pPr>
              <w:pStyle w:val="Compact"/>
              <w:rPr>
                <w:szCs w:val="20"/>
              </w:rPr>
            </w:pPr>
            <w:r w:rsidRPr="0070080E">
              <w:rPr>
                <w:szCs w:val="20"/>
              </w:rPr>
              <w:t>424</w:t>
            </w:r>
          </w:p>
        </w:tc>
        <w:tc>
          <w:tcPr>
            <w:tcW w:w="1089" w:type="dxa"/>
          </w:tcPr>
          <w:p w14:paraId="3CB105B7" w14:textId="77777777" w:rsidR="00F67DDB" w:rsidRPr="0070080E" w:rsidRDefault="0094076D">
            <w:pPr>
              <w:pStyle w:val="Compact"/>
              <w:rPr>
                <w:szCs w:val="20"/>
              </w:rPr>
            </w:pPr>
            <w:r w:rsidRPr="0070080E">
              <w:rPr>
                <w:szCs w:val="20"/>
              </w:rPr>
              <w:t>HC3</w:t>
            </w:r>
          </w:p>
        </w:tc>
      </w:tr>
      <w:tr w:rsidR="00F67DDB" w:rsidRPr="0070080E" w14:paraId="3CB105C4" w14:textId="77777777" w:rsidTr="00A604F2">
        <w:trPr>
          <w:trHeight w:val="1062"/>
        </w:trPr>
        <w:tc>
          <w:tcPr>
            <w:tcW w:w="1890" w:type="dxa"/>
          </w:tcPr>
          <w:p w14:paraId="3CB105B9" w14:textId="50A643C5" w:rsidR="00F67DDB" w:rsidRPr="0070080E" w:rsidRDefault="0094076D">
            <w:pPr>
              <w:pStyle w:val="Compact"/>
              <w:rPr>
                <w:szCs w:val="20"/>
              </w:rPr>
            </w:pPr>
            <w:r w:rsidRPr="0070080E">
              <w:rPr>
                <w:szCs w:val="20"/>
              </w:rPr>
              <w:t>spec_5</w:t>
            </w:r>
            <w:r w:rsidR="00A604F2" w:rsidRPr="0070080E">
              <w:rPr>
                <w:szCs w:val="20"/>
              </w:rPr>
              <w:t xml:space="preserve"> </w:t>
            </w:r>
            <w:r w:rsidRPr="0070080E">
              <w:rPr>
                <w:szCs w:val="20"/>
              </w:rPr>
              <w:t>direction_b3</w:t>
            </w:r>
          </w:p>
        </w:tc>
        <w:tc>
          <w:tcPr>
            <w:tcW w:w="2299" w:type="dxa"/>
          </w:tcPr>
          <w:p w14:paraId="3CB105BA" w14:textId="77777777" w:rsidR="00F67DDB" w:rsidRPr="0070080E" w:rsidRDefault="0094076D">
            <w:pPr>
              <w:pStyle w:val="Compact"/>
              <w:rPr>
                <w:szCs w:val="20"/>
              </w:rPr>
            </w:pPr>
            <w:r w:rsidRPr="0070080E">
              <w:rPr>
                <w:szCs w:val="20"/>
              </w:rPr>
              <w:t>Shock Score × negative-sentiment amplification (negative events)</w:t>
            </w:r>
          </w:p>
        </w:tc>
        <w:tc>
          <w:tcPr>
            <w:tcW w:w="1327" w:type="dxa"/>
          </w:tcPr>
          <w:p w14:paraId="3CB105BB" w14:textId="77777777" w:rsidR="00F67DDB" w:rsidRPr="0070080E" w:rsidRDefault="0094076D">
            <w:pPr>
              <w:pStyle w:val="Compact"/>
              <w:rPr>
                <w:szCs w:val="20"/>
              </w:rPr>
            </w:pPr>
            <w:r w:rsidRPr="0070080E">
              <w:rPr>
                <w:szCs w:val="20"/>
              </w:rPr>
              <w:t>0.1954</w:t>
            </w:r>
          </w:p>
        </w:tc>
        <w:tc>
          <w:tcPr>
            <w:tcW w:w="1062" w:type="dxa"/>
          </w:tcPr>
          <w:p w14:paraId="3CB105BC" w14:textId="77777777" w:rsidR="00F67DDB" w:rsidRPr="0070080E" w:rsidRDefault="0094076D">
            <w:pPr>
              <w:pStyle w:val="Compact"/>
              <w:rPr>
                <w:szCs w:val="20"/>
              </w:rPr>
            </w:pPr>
            <w:r w:rsidRPr="0070080E">
              <w:rPr>
                <w:szCs w:val="20"/>
              </w:rPr>
              <w:t>0.3684</w:t>
            </w:r>
          </w:p>
        </w:tc>
        <w:tc>
          <w:tcPr>
            <w:tcW w:w="1179" w:type="dxa"/>
          </w:tcPr>
          <w:p w14:paraId="3CB105BD" w14:textId="77777777" w:rsidR="00F67DDB" w:rsidRPr="0070080E" w:rsidRDefault="0094076D">
            <w:pPr>
              <w:pStyle w:val="Compact"/>
              <w:rPr>
                <w:szCs w:val="20"/>
              </w:rPr>
            </w:pPr>
            <w:r w:rsidRPr="0070080E">
              <w:rPr>
                <w:szCs w:val="20"/>
              </w:rPr>
              <w:t>0.5305</w:t>
            </w:r>
          </w:p>
        </w:tc>
        <w:tc>
          <w:tcPr>
            <w:tcW w:w="1035" w:type="dxa"/>
          </w:tcPr>
          <w:p w14:paraId="3CB105BE" w14:textId="77777777" w:rsidR="00F67DDB" w:rsidRPr="0070080E" w:rsidRDefault="0094076D">
            <w:pPr>
              <w:pStyle w:val="Compact"/>
              <w:rPr>
                <w:szCs w:val="20"/>
              </w:rPr>
            </w:pPr>
            <w:r w:rsidRPr="0070080E">
              <w:rPr>
                <w:szCs w:val="20"/>
              </w:rPr>
              <w:t>0.5957</w:t>
            </w:r>
          </w:p>
        </w:tc>
        <w:tc>
          <w:tcPr>
            <w:tcW w:w="1064" w:type="dxa"/>
          </w:tcPr>
          <w:p w14:paraId="3CB105BF" w14:textId="77777777" w:rsidR="00F67DDB" w:rsidRPr="0070080E" w:rsidRDefault="0094076D">
            <w:pPr>
              <w:pStyle w:val="Compact"/>
              <w:rPr>
                <w:szCs w:val="20"/>
              </w:rPr>
            </w:pPr>
            <w:r w:rsidRPr="0070080E">
              <w:rPr>
                <w:szCs w:val="20"/>
              </w:rPr>
              <w:t>-0.5266</w:t>
            </w:r>
          </w:p>
        </w:tc>
        <w:tc>
          <w:tcPr>
            <w:tcW w:w="973" w:type="dxa"/>
          </w:tcPr>
          <w:p w14:paraId="3CB105C0" w14:textId="77777777" w:rsidR="00F67DDB" w:rsidRPr="0070080E" w:rsidRDefault="0094076D">
            <w:pPr>
              <w:pStyle w:val="Compact"/>
              <w:rPr>
                <w:szCs w:val="20"/>
              </w:rPr>
            </w:pPr>
            <w:r w:rsidRPr="0070080E">
              <w:rPr>
                <w:szCs w:val="20"/>
              </w:rPr>
              <w:t>0.9174</w:t>
            </w:r>
          </w:p>
        </w:tc>
        <w:tc>
          <w:tcPr>
            <w:tcW w:w="977" w:type="dxa"/>
          </w:tcPr>
          <w:p w14:paraId="3CB105C1" w14:textId="77777777" w:rsidR="00F67DDB" w:rsidRPr="0070080E" w:rsidRDefault="0094076D">
            <w:pPr>
              <w:pStyle w:val="Compact"/>
              <w:rPr>
                <w:szCs w:val="20"/>
              </w:rPr>
            </w:pPr>
            <w:r w:rsidRPr="0070080E">
              <w:rPr>
                <w:szCs w:val="20"/>
              </w:rPr>
              <w:t>0.3701</w:t>
            </w:r>
          </w:p>
        </w:tc>
        <w:tc>
          <w:tcPr>
            <w:tcW w:w="860" w:type="dxa"/>
          </w:tcPr>
          <w:p w14:paraId="3CB105C2" w14:textId="77777777" w:rsidR="00F67DDB" w:rsidRPr="0070080E" w:rsidRDefault="0094076D">
            <w:pPr>
              <w:pStyle w:val="Compact"/>
              <w:rPr>
                <w:szCs w:val="20"/>
              </w:rPr>
            </w:pPr>
            <w:r w:rsidRPr="0070080E">
              <w:rPr>
                <w:szCs w:val="20"/>
              </w:rPr>
              <w:t>424</w:t>
            </w:r>
          </w:p>
        </w:tc>
        <w:tc>
          <w:tcPr>
            <w:tcW w:w="1089" w:type="dxa"/>
          </w:tcPr>
          <w:p w14:paraId="3CB105C3" w14:textId="77777777" w:rsidR="00F67DDB" w:rsidRPr="0070080E" w:rsidRDefault="0094076D">
            <w:pPr>
              <w:pStyle w:val="Compact"/>
              <w:rPr>
                <w:szCs w:val="20"/>
              </w:rPr>
            </w:pPr>
            <w:r w:rsidRPr="0070080E">
              <w:rPr>
                <w:szCs w:val="20"/>
              </w:rPr>
              <w:t>HC3</w:t>
            </w:r>
          </w:p>
        </w:tc>
      </w:tr>
      <w:tr w:rsidR="00F67DDB" w:rsidRPr="0070080E" w14:paraId="3CB105D0" w14:textId="77777777" w:rsidTr="00A604F2">
        <w:tc>
          <w:tcPr>
            <w:tcW w:w="1890" w:type="dxa"/>
          </w:tcPr>
          <w:p w14:paraId="3CB105C5" w14:textId="77777777" w:rsidR="00F67DDB" w:rsidRPr="0070080E" w:rsidRDefault="0094076D">
            <w:pPr>
              <w:pStyle w:val="Compact"/>
              <w:rPr>
                <w:szCs w:val="20"/>
              </w:rPr>
            </w:pPr>
            <w:r w:rsidRPr="0070080E">
              <w:rPr>
                <w:szCs w:val="20"/>
              </w:rPr>
              <w:t>spec_6_hc3</w:t>
            </w:r>
          </w:p>
        </w:tc>
        <w:tc>
          <w:tcPr>
            <w:tcW w:w="2299" w:type="dxa"/>
          </w:tcPr>
          <w:p w14:paraId="3CB105C6" w14:textId="77777777" w:rsidR="00F67DDB" w:rsidRPr="0070080E" w:rsidRDefault="0094076D">
            <w:pPr>
              <w:pStyle w:val="Compact"/>
              <w:rPr>
                <w:szCs w:val="20"/>
              </w:rPr>
            </w:pPr>
            <w:r w:rsidRPr="0070080E">
              <w:rPr>
                <w:szCs w:val="20"/>
              </w:rPr>
              <w:t>Primary specification with HC3 SEs</w:t>
            </w:r>
          </w:p>
        </w:tc>
        <w:tc>
          <w:tcPr>
            <w:tcW w:w="1327" w:type="dxa"/>
          </w:tcPr>
          <w:p w14:paraId="3CB105C7" w14:textId="77777777" w:rsidR="00F67DDB" w:rsidRPr="0070080E" w:rsidRDefault="0094076D">
            <w:pPr>
              <w:pStyle w:val="Compact"/>
              <w:rPr>
                <w:szCs w:val="20"/>
              </w:rPr>
            </w:pPr>
            <w:r w:rsidRPr="0070080E">
              <w:rPr>
                <w:szCs w:val="20"/>
              </w:rPr>
              <w:t>-0.4874</w:t>
            </w:r>
          </w:p>
        </w:tc>
        <w:tc>
          <w:tcPr>
            <w:tcW w:w="1062" w:type="dxa"/>
          </w:tcPr>
          <w:p w14:paraId="3CB105C8" w14:textId="77777777" w:rsidR="00F67DDB" w:rsidRPr="0070080E" w:rsidRDefault="0094076D">
            <w:pPr>
              <w:pStyle w:val="Compact"/>
              <w:rPr>
                <w:szCs w:val="20"/>
              </w:rPr>
            </w:pPr>
            <w:r w:rsidRPr="0070080E">
              <w:rPr>
                <w:szCs w:val="20"/>
              </w:rPr>
              <w:t>0.0551</w:t>
            </w:r>
          </w:p>
        </w:tc>
        <w:tc>
          <w:tcPr>
            <w:tcW w:w="1179" w:type="dxa"/>
          </w:tcPr>
          <w:p w14:paraId="3CB105C9" w14:textId="77777777" w:rsidR="00F67DDB" w:rsidRPr="0070080E" w:rsidRDefault="0094076D">
            <w:pPr>
              <w:pStyle w:val="Compact"/>
              <w:rPr>
                <w:szCs w:val="20"/>
              </w:rPr>
            </w:pPr>
            <w:r w:rsidRPr="0070080E">
              <w:rPr>
                <w:szCs w:val="20"/>
              </w:rPr>
              <w:t>-8.8452</w:t>
            </w:r>
          </w:p>
        </w:tc>
        <w:tc>
          <w:tcPr>
            <w:tcW w:w="1035" w:type="dxa"/>
          </w:tcPr>
          <w:p w14:paraId="3CB105CA" w14:textId="77777777" w:rsidR="00F67DDB" w:rsidRPr="0070080E" w:rsidRDefault="0094076D">
            <w:pPr>
              <w:pStyle w:val="Compact"/>
              <w:rPr>
                <w:szCs w:val="20"/>
              </w:rPr>
            </w:pPr>
            <w:r w:rsidRPr="0070080E">
              <w:rPr>
                <w:szCs w:val="20"/>
              </w:rPr>
              <w:t>&lt;0.0001</w:t>
            </w:r>
          </w:p>
        </w:tc>
        <w:tc>
          <w:tcPr>
            <w:tcW w:w="1064" w:type="dxa"/>
          </w:tcPr>
          <w:p w14:paraId="3CB105CB" w14:textId="77777777" w:rsidR="00F67DDB" w:rsidRPr="0070080E" w:rsidRDefault="0094076D">
            <w:pPr>
              <w:pStyle w:val="Compact"/>
              <w:rPr>
                <w:szCs w:val="20"/>
              </w:rPr>
            </w:pPr>
            <w:r w:rsidRPr="0070080E">
              <w:rPr>
                <w:szCs w:val="20"/>
              </w:rPr>
              <w:t>-0.5954</w:t>
            </w:r>
          </w:p>
        </w:tc>
        <w:tc>
          <w:tcPr>
            <w:tcW w:w="973" w:type="dxa"/>
          </w:tcPr>
          <w:p w14:paraId="3CB105CC" w14:textId="77777777" w:rsidR="00F67DDB" w:rsidRPr="0070080E" w:rsidRDefault="0094076D">
            <w:pPr>
              <w:pStyle w:val="Compact"/>
              <w:rPr>
                <w:szCs w:val="20"/>
              </w:rPr>
            </w:pPr>
            <w:r w:rsidRPr="0070080E">
              <w:rPr>
                <w:szCs w:val="20"/>
              </w:rPr>
              <w:t>-0.3794</w:t>
            </w:r>
          </w:p>
        </w:tc>
        <w:tc>
          <w:tcPr>
            <w:tcW w:w="977" w:type="dxa"/>
          </w:tcPr>
          <w:p w14:paraId="3CB105CD" w14:textId="77777777" w:rsidR="00F67DDB" w:rsidRPr="0070080E" w:rsidRDefault="0094076D">
            <w:pPr>
              <w:pStyle w:val="Compact"/>
              <w:rPr>
                <w:szCs w:val="20"/>
              </w:rPr>
            </w:pPr>
            <w:r w:rsidRPr="0070080E">
              <w:rPr>
                <w:szCs w:val="20"/>
              </w:rPr>
              <w:t>0.3571</w:t>
            </w:r>
          </w:p>
        </w:tc>
        <w:tc>
          <w:tcPr>
            <w:tcW w:w="860" w:type="dxa"/>
          </w:tcPr>
          <w:p w14:paraId="3CB105CE" w14:textId="77777777" w:rsidR="00F67DDB" w:rsidRPr="0070080E" w:rsidRDefault="0094076D">
            <w:pPr>
              <w:pStyle w:val="Compact"/>
              <w:rPr>
                <w:szCs w:val="20"/>
              </w:rPr>
            </w:pPr>
            <w:r w:rsidRPr="0070080E">
              <w:rPr>
                <w:szCs w:val="20"/>
              </w:rPr>
              <w:t>424</w:t>
            </w:r>
          </w:p>
        </w:tc>
        <w:tc>
          <w:tcPr>
            <w:tcW w:w="1089" w:type="dxa"/>
          </w:tcPr>
          <w:p w14:paraId="3CB105CF" w14:textId="77777777" w:rsidR="00F67DDB" w:rsidRPr="0070080E" w:rsidRDefault="0094076D">
            <w:pPr>
              <w:pStyle w:val="Compact"/>
              <w:rPr>
                <w:szCs w:val="20"/>
              </w:rPr>
            </w:pPr>
            <w:r w:rsidRPr="0070080E">
              <w:rPr>
                <w:szCs w:val="20"/>
              </w:rPr>
              <w:t>HC3</w:t>
            </w:r>
          </w:p>
        </w:tc>
      </w:tr>
    </w:tbl>
    <w:p w14:paraId="70B1D5C5" w14:textId="77777777" w:rsidR="00B300EE" w:rsidRPr="0070080E" w:rsidRDefault="00B300EE">
      <w:pPr>
        <w:pStyle w:val="Heading3"/>
        <w:sectPr w:rsidR="00B300EE" w:rsidRPr="0070080E" w:rsidSect="00BA36D3">
          <w:footnotePr>
            <w:numRestart w:val="eachSect"/>
          </w:footnotePr>
          <w:pgSz w:w="15840" w:h="12240" w:orient="landscape"/>
          <w:pgMar w:top="1440" w:right="1440" w:bottom="1440" w:left="1440" w:header="630" w:footer="720" w:gutter="0"/>
          <w:cols w:space="720"/>
          <w:docGrid w:linePitch="299"/>
        </w:sectPr>
      </w:pPr>
      <w:bookmarkStart w:id="159" w:name="testing-of-hypothesis-h2"/>
      <w:bookmarkEnd w:id="158"/>
    </w:p>
    <w:p w14:paraId="3CB105D1" w14:textId="77777777" w:rsidR="00F67DDB" w:rsidRPr="0070080E" w:rsidRDefault="0094076D">
      <w:pPr>
        <w:pStyle w:val="Heading3"/>
      </w:pPr>
      <w:r w:rsidRPr="0070080E">
        <w:t>5.5.2 Testing of Hypothesis H2</w:t>
      </w:r>
    </w:p>
    <w:p w14:paraId="3CB105D2" w14:textId="77777777" w:rsidR="00F67DDB" w:rsidRPr="0070080E" w:rsidRDefault="0094076D">
      <w:pPr>
        <w:pStyle w:val="FirstParagraph"/>
      </w:pPr>
      <w:r w:rsidRPr="0070080E">
        <w:rPr>
          <w:b/>
          <w:bCs/>
        </w:rPr>
        <w:t>Step 1. State the null and alternative hypotheses.</w:t>
      </w:r>
    </w:p>
    <w:p w14:paraId="3CB105D3" w14:textId="50C2E62C" w:rsidR="00F67DDB" w:rsidRPr="0070080E" w:rsidRDefault="0094076D">
      <w:pPr>
        <w:pStyle w:val="BodyText"/>
      </w:pPr>
      <w:r w:rsidRPr="0070080E">
        <w:t xml:space="preserve">H2₀: Introducing the Shock Score for investment decision-making has no statistically significant effect on the </w:t>
      </w:r>
      <w:r w:rsidR="002C360C">
        <w:t>risk</w:t>
      </w:r>
      <w:r w:rsidR="008D4E9C">
        <w:t>–</w:t>
      </w:r>
      <w:r w:rsidR="00C057DF">
        <w:t xml:space="preserve">return </w:t>
      </w:r>
      <w:r w:rsidR="00C057DF" w:rsidRPr="0070080E">
        <w:t>ratio</w:t>
      </w:r>
      <w:r w:rsidRPr="0070080E">
        <w:t xml:space="preserve"> of the portfolio.</w:t>
      </w:r>
    </w:p>
    <w:p w14:paraId="3CB105D4" w14:textId="3E8E8885" w:rsidR="00F67DDB" w:rsidRPr="0070080E" w:rsidRDefault="0094076D">
      <w:pPr>
        <w:pStyle w:val="BodyText"/>
      </w:pPr>
      <w:r w:rsidRPr="0070080E">
        <w:t xml:space="preserve">H2ₐ: Introducing the Shock Score for investment decision-making has a statistically significant effect on the </w:t>
      </w:r>
      <w:r w:rsidR="002C360C">
        <w:t>risk</w:t>
      </w:r>
      <w:r w:rsidR="008D4E9C">
        <w:t>–</w:t>
      </w:r>
      <w:r w:rsidR="00C057DF">
        <w:t xml:space="preserve">return </w:t>
      </w:r>
      <w:r w:rsidR="00C057DF" w:rsidRPr="0070080E">
        <w:t>ratio</w:t>
      </w:r>
      <w:r w:rsidRPr="0070080E">
        <w:t xml:space="preserve"> of the portfolio.</w:t>
      </w:r>
    </w:p>
    <w:p w14:paraId="3CB105D5" w14:textId="77777777" w:rsidR="00F67DDB" w:rsidRPr="0070080E" w:rsidRDefault="0094076D">
      <w:pPr>
        <w:pStyle w:val="BodyText"/>
      </w:pPr>
      <w:r w:rsidRPr="0070080E">
        <w:rPr>
          <w:b/>
          <w:bCs/>
        </w:rPr>
        <w:t>Step 2. Select a level of significance.</w:t>
      </w:r>
    </w:p>
    <w:p w14:paraId="3CB105D6" w14:textId="77777777" w:rsidR="00F67DDB" w:rsidRPr="0070080E" w:rsidRDefault="0094076D">
      <w:pPr>
        <w:pStyle w:val="BodyText"/>
      </w:pPr>
      <w:r w:rsidRPr="0070080E">
        <w:t>The analysis is conducted at the five percent level of significance (α = 0.05).</w:t>
      </w:r>
    </w:p>
    <w:p w14:paraId="3CB105D7" w14:textId="77777777" w:rsidR="00F67DDB" w:rsidRPr="0070080E" w:rsidRDefault="0094076D">
      <w:pPr>
        <w:pStyle w:val="BodyText"/>
      </w:pPr>
      <w:r w:rsidRPr="0070080E">
        <w:rPr>
          <w:b/>
          <w:bCs/>
        </w:rPr>
        <w:t>Step 3. Identify the test statistic.</w:t>
      </w:r>
    </w:p>
    <w:p w14:paraId="3CB105D8" w14:textId="77777777" w:rsidR="00F67DDB" w:rsidRPr="0070080E" w:rsidRDefault="0094076D">
      <w:pPr>
        <w:pStyle w:val="BodyText"/>
      </w:pPr>
      <w:r w:rsidRPr="0070080E">
        <w:t>The primary test statistic is the t-ratio on the treatment coefficient τ in the individual-portfolio regression (Option B, Section 4.5.1). For each of the N = 53 respondents, one portfolio return is computed under ShowSC = 0 and one under ShowSC = 1; τ captures the mean within-respondent difference attributed to Shock Score access. HC3 robust standard errors are applied.</w:t>
      </w:r>
    </w:p>
    <w:p w14:paraId="3CB105D9" w14:textId="77777777" w:rsidR="00F67DDB" w:rsidRPr="0070080E" w:rsidRDefault="0094076D">
      <w:pPr>
        <w:pStyle w:val="BodyText"/>
      </w:pPr>
      <w:r w:rsidRPr="0070080E">
        <w:rPr>
          <w:b/>
          <w:bCs/>
        </w:rPr>
        <w:t>Step 4. Formulate a decision rule.</w:t>
      </w:r>
    </w:p>
    <w:p w14:paraId="3CB105DA" w14:textId="77777777" w:rsidR="00F67DDB" w:rsidRPr="0070080E" w:rsidRDefault="0094076D">
      <w:pPr>
        <w:pStyle w:val="BodyText"/>
      </w:pPr>
      <w:r w:rsidRPr="0070080E">
        <w:t>Fail to reject H2₀ if the two-tailed p-value associated with τ is greater than or equal to 0.05. Support for the alternative hypothesis H2ₐ is indicated if p &lt; 0.05.</w:t>
      </w:r>
    </w:p>
    <w:p w14:paraId="3CB105DB" w14:textId="77777777" w:rsidR="00F67DDB" w:rsidRPr="0070080E" w:rsidRDefault="0094076D">
      <w:pPr>
        <w:pStyle w:val="BodyText"/>
      </w:pPr>
      <w:r w:rsidRPr="0070080E">
        <w:rPr>
          <w:b/>
          <w:bCs/>
        </w:rPr>
        <w:t>Step 5. Arrive at a decision.</w:t>
      </w:r>
    </w:p>
    <w:p w14:paraId="3CB105DC" w14:textId="77777777" w:rsidR="00F67DDB" w:rsidRPr="0070080E" w:rsidRDefault="0094076D">
      <w:pPr>
        <w:pStyle w:val="BodyText"/>
      </w:pPr>
      <w:r w:rsidRPr="0070080E">
        <w:t xml:space="preserve">At the α = 0.05 level of significance, the evidence fails to reject the null hypothesis H2₀. Hypothesis H2 is tested using individual-portfolio regressions (Option B). Per respondent, portfolio returns are constructed from NRS-weighted horizon returns across the four scenarios assigned to each condition. The estimated treatment effect on portfolio return is τ = -0.1584 (robust SE = 0.4826, t = -0.3281, p = 0.7428, 95% CI [-1.1043, 0.7876]; Cohen’s d = -0.0591). No statistically significant difference in portfolio outcomes between the treatment and control conditions was found. Validation on a larger professional sample is recommended. The collective portfolio analysis (Option A, descriptive only; </w:t>
      </w:r>
      <w:r w:rsidRPr="0070080E">
        <w:rPr>
          <w:b/>
          <w:bCs/>
        </w:rPr>
        <w:t>caution: both portfolios draw from the same respondent pool, so inference is non-independent</w:t>
      </w:r>
      <w:r w:rsidRPr="0070080E">
        <w:t>) yields a return of 1.8986% for the control condition and 1.4642% for the treatment condition, corresponding to a return differential of -0.4344%. On an assumed AUM of $100M, the ShowSC=1 collective portfolio generated a dollar return differential of $-434,400 relative to the ShowSC=0 portfolio over the evaluation window.</w:t>
      </w:r>
    </w:p>
    <w:p w14:paraId="0AEBA1A3" w14:textId="77777777" w:rsidR="00F30EC2" w:rsidRPr="0070080E" w:rsidRDefault="00F30EC2">
      <w:pPr>
        <w:pStyle w:val="BodyText"/>
        <w:rPr>
          <w:b/>
          <w:bCs/>
        </w:rPr>
        <w:sectPr w:rsidR="00F30EC2" w:rsidRPr="0070080E" w:rsidSect="00BA36D3">
          <w:footnotePr>
            <w:numRestart w:val="eachSect"/>
          </w:footnotePr>
          <w:pgSz w:w="12240" w:h="15840"/>
          <w:pgMar w:top="1440" w:right="1440" w:bottom="1440" w:left="1440" w:header="630" w:footer="720" w:gutter="0"/>
          <w:cols w:space="720"/>
          <w:docGrid w:linePitch="299"/>
        </w:sectPr>
      </w:pPr>
    </w:p>
    <w:p w14:paraId="3CB105DD" w14:textId="77777777" w:rsidR="00F67DDB" w:rsidRPr="0070080E" w:rsidRDefault="0094076D" w:rsidP="00F30EC2">
      <w:pPr>
        <w:pStyle w:val="Tableid"/>
      </w:pPr>
      <w:r w:rsidRPr="0070080E">
        <w:t>Table 5.9</w:t>
      </w:r>
    </w:p>
    <w:p w14:paraId="3CB105DE" w14:textId="77777777" w:rsidR="00F67DDB" w:rsidRPr="0070080E" w:rsidRDefault="0094076D" w:rsidP="00F30EC2">
      <w:pPr>
        <w:pStyle w:val="TableCaption"/>
      </w:pPr>
      <w:r w:rsidRPr="0070080E">
        <w:t>H2 Portfolio Analysis Results</w:t>
      </w:r>
    </w:p>
    <w:tbl>
      <w:tblPr>
        <w:tblStyle w:val="Table"/>
        <w:tblW w:w="5120" w:type="pct"/>
        <w:tblLayout w:type="fixed"/>
        <w:tblLook w:val="0020" w:firstRow="1" w:lastRow="0" w:firstColumn="0" w:lastColumn="0" w:noHBand="0" w:noVBand="0"/>
      </w:tblPr>
      <w:tblGrid>
        <w:gridCol w:w="1849"/>
        <w:gridCol w:w="1674"/>
        <w:gridCol w:w="843"/>
        <w:gridCol w:w="1092"/>
        <w:gridCol w:w="928"/>
        <w:gridCol w:w="887"/>
        <w:gridCol w:w="1114"/>
        <w:gridCol w:w="1010"/>
        <w:gridCol w:w="868"/>
        <w:gridCol w:w="881"/>
        <w:gridCol w:w="752"/>
        <w:gridCol w:w="1373"/>
      </w:tblGrid>
      <w:tr w:rsidR="00F30EC2" w:rsidRPr="0070080E" w14:paraId="3CB105EB" w14:textId="77777777" w:rsidTr="00F30EC2">
        <w:trPr>
          <w:cnfStyle w:val="100000000000" w:firstRow="1" w:lastRow="0" w:firstColumn="0" w:lastColumn="0" w:oddVBand="0" w:evenVBand="0" w:oddHBand="0" w:evenHBand="0" w:firstRowFirstColumn="0" w:firstRowLastColumn="0" w:lastRowFirstColumn="0" w:lastRowLastColumn="0"/>
          <w:tblHeader/>
        </w:trPr>
        <w:tc>
          <w:tcPr>
            <w:tcW w:w="1883" w:type="dxa"/>
          </w:tcPr>
          <w:p w14:paraId="3CB105DF" w14:textId="77777777" w:rsidR="00F67DDB" w:rsidRPr="0070080E" w:rsidRDefault="0094076D">
            <w:pPr>
              <w:pStyle w:val="Compact"/>
            </w:pPr>
            <w:r w:rsidRPr="0070080E">
              <w:t>method</w:t>
            </w:r>
          </w:p>
        </w:tc>
        <w:tc>
          <w:tcPr>
            <w:tcW w:w="1705" w:type="dxa"/>
          </w:tcPr>
          <w:p w14:paraId="3CB105E0" w14:textId="77777777" w:rsidR="00F67DDB" w:rsidRPr="0070080E" w:rsidRDefault="0094076D">
            <w:pPr>
              <w:pStyle w:val="Compact"/>
            </w:pPr>
            <w:r w:rsidRPr="0070080E">
              <w:t>outcome</w:t>
            </w:r>
          </w:p>
        </w:tc>
        <w:tc>
          <w:tcPr>
            <w:tcW w:w="856" w:type="dxa"/>
          </w:tcPr>
          <w:p w14:paraId="3CB105E1" w14:textId="77777777" w:rsidR="00F67DDB" w:rsidRPr="0070080E" w:rsidRDefault="0094076D">
            <w:pPr>
              <w:pStyle w:val="Compact"/>
            </w:pPr>
            <w:r w:rsidRPr="0070080E">
              <w:t>tau</w:t>
            </w:r>
          </w:p>
        </w:tc>
        <w:tc>
          <w:tcPr>
            <w:tcW w:w="1110" w:type="dxa"/>
          </w:tcPr>
          <w:p w14:paraId="3CB105E2" w14:textId="77777777" w:rsidR="00F67DDB" w:rsidRPr="0070080E" w:rsidRDefault="0094076D">
            <w:pPr>
              <w:pStyle w:val="Compact"/>
            </w:pPr>
            <w:r w:rsidRPr="0070080E">
              <w:t>se</w:t>
            </w:r>
          </w:p>
        </w:tc>
        <w:tc>
          <w:tcPr>
            <w:tcW w:w="943" w:type="dxa"/>
          </w:tcPr>
          <w:p w14:paraId="3CB105E3" w14:textId="77777777" w:rsidR="00F67DDB" w:rsidRPr="0070080E" w:rsidRDefault="0094076D">
            <w:pPr>
              <w:pStyle w:val="Compact"/>
            </w:pPr>
            <w:r w:rsidRPr="0070080E">
              <w:t>t</w:t>
            </w:r>
          </w:p>
        </w:tc>
        <w:tc>
          <w:tcPr>
            <w:tcW w:w="901" w:type="dxa"/>
          </w:tcPr>
          <w:p w14:paraId="3CB105E4" w14:textId="77777777" w:rsidR="00F67DDB" w:rsidRPr="0070080E" w:rsidRDefault="0094076D">
            <w:pPr>
              <w:pStyle w:val="Compact"/>
            </w:pPr>
            <w:r w:rsidRPr="0070080E">
              <w:t>p</w:t>
            </w:r>
          </w:p>
        </w:tc>
        <w:tc>
          <w:tcPr>
            <w:tcW w:w="1133" w:type="dxa"/>
          </w:tcPr>
          <w:p w14:paraId="3CB105E5" w14:textId="77777777" w:rsidR="00F67DDB" w:rsidRPr="0070080E" w:rsidRDefault="0094076D">
            <w:pPr>
              <w:pStyle w:val="Compact"/>
            </w:pPr>
            <w:r w:rsidRPr="0070080E">
              <w:t>ci_lo</w:t>
            </w:r>
          </w:p>
        </w:tc>
        <w:tc>
          <w:tcPr>
            <w:tcW w:w="1026" w:type="dxa"/>
          </w:tcPr>
          <w:p w14:paraId="3CB105E6" w14:textId="77777777" w:rsidR="00F67DDB" w:rsidRPr="0070080E" w:rsidRDefault="0094076D">
            <w:pPr>
              <w:pStyle w:val="Compact"/>
            </w:pPr>
            <w:r w:rsidRPr="0070080E">
              <w:t>ci_hi</w:t>
            </w:r>
          </w:p>
        </w:tc>
        <w:tc>
          <w:tcPr>
            <w:tcW w:w="881" w:type="dxa"/>
          </w:tcPr>
          <w:p w14:paraId="3CB105E7" w14:textId="77777777" w:rsidR="00F67DDB" w:rsidRPr="0070080E" w:rsidRDefault="0094076D">
            <w:pPr>
              <w:pStyle w:val="Compact"/>
            </w:pPr>
            <w:r w:rsidRPr="0070080E">
              <w:t>cohens_d</w:t>
            </w:r>
          </w:p>
        </w:tc>
        <w:tc>
          <w:tcPr>
            <w:tcW w:w="895" w:type="dxa"/>
          </w:tcPr>
          <w:p w14:paraId="3CB105E8" w14:textId="77777777" w:rsidR="00F67DDB" w:rsidRPr="0070080E" w:rsidRDefault="0094076D">
            <w:pPr>
              <w:pStyle w:val="Compact"/>
            </w:pPr>
            <w:r w:rsidRPr="0070080E">
              <w:t>r2</w:t>
            </w:r>
          </w:p>
        </w:tc>
        <w:tc>
          <w:tcPr>
            <w:tcW w:w="763" w:type="dxa"/>
          </w:tcPr>
          <w:p w14:paraId="3CB105E9" w14:textId="77777777" w:rsidR="00F67DDB" w:rsidRPr="0070080E" w:rsidRDefault="0094076D">
            <w:pPr>
              <w:pStyle w:val="Compact"/>
            </w:pPr>
            <w:r w:rsidRPr="0070080E">
              <w:t>n</w:t>
            </w:r>
          </w:p>
        </w:tc>
        <w:tc>
          <w:tcPr>
            <w:tcW w:w="1397" w:type="dxa"/>
          </w:tcPr>
          <w:p w14:paraId="3CB105EA" w14:textId="77777777" w:rsidR="00F67DDB" w:rsidRPr="0070080E" w:rsidRDefault="0094076D">
            <w:pPr>
              <w:pStyle w:val="Compact"/>
            </w:pPr>
            <w:r w:rsidRPr="0070080E">
              <w:t>h2_supported</w:t>
            </w:r>
          </w:p>
        </w:tc>
      </w:tr>
      <w:tr w:rsidR="00F30EC2" w:rsidRPr="0070080E" w14:paraId="3CB105F8" w14:textId="77777777" w:rsidTr="00F30EC2">
        <w:tc>
          <w:tcPr>
            <w:tcW w:w="1883" w:type="dxa"/>
          </w:tcPr>
          <w:p w14:paraId="3CB105EC" w14:textId="77777777" w:rsidR="00F67DDB" w:rsidRPr="0070080E" w:rsidRDefault="0094076D">
            <w:pPr>
              <w:pStyle w:val="Compact"/>
            </w:pPr>
            <w:r w:rsidRPr="0070080E">
              <w:t>option_b_individual</w:t>
            </w:r>
          </w:p>
        </w:tc>
        <w:tc>
          <w:tcPr>
            <w:tcW w:w="1705" w:type="dxa"/>
          </w:tcPr>
          <w:p w14:paraId="3CB105ED" w14:textId="77777777" w:rsidR="00F67DDB" w:rsidRPr="0070080E" w:rsidRDefault="0094076D">
            <w:pPr>
              <w:pStyle w:val="Compact"/>
            </w:pPr>
            <w:r w:rsidRPr="0070080E">
              <w:t>portfolio_return</w:t>
            </w:r>
          </w:p>
        </w:tc>
        <w:tc>
          <w:tcPr>
            <w:tcW w:w="856" w:type="dxa"/>
          </w:tcPr>
          <w:p w14:paraId="3CB105EE" w14:textId="77777777" w:rsidR="00F67DDB" w:rsidRPr="0070080E" w:rsidRDefault="0094076D">
            <w:pPr>
              <w:pStyle w:val="Compact"/>
            </w:pPr>
            <w:r w:rsidRPr="0070080E">
              <w:t>-0.1584</w:t>
            </w:r>
          </w:p>
        </w:tc>
        <w:tc>
          <w:tcPr>
            <w:tcW w:w="1110" w:type="dxa"/>
          </w:tcPr>
          <w:p w14:paraId="3CB105EF" w14:textId="77777777" w:rsidR="00F67DDB" w:rsidRPr="0070080E" w:rsidRDefault="0094076D">
            <w:pPr>
              <w:pStyle w:val="Compact"/>
            </w:pPr>
            <w:r w:rsidRPr="0070080E">
              <w:t>0.4826</w:t>
            </w:r>
          </w:p>
        </w:tc>
        <w:tc>
          <w:tcPr>
            <w:tcW w:w="943" w:type="dxa"/>
          </w:tcPr>
          <w:p w14:paraId="3CB105F0" w14:textId="77777777" w:rsidR="00F67DDB" w:rsidRPr="0070080E" w:rsidRDefault="0094076D">
            <w:pPr>
              <w:pStyle w:val="Compact"/>
            </w:pPr>
            <w:r w:rsidRPr="0070080E">
              <w:t>-0.3281</w:t>
            </w:r>
          </w:p>
        </w:tc>
        <w:tc>
          <w:tcPr>
            <w:tcW w:w="901" w:type="dxa"/>
          </w:tcPr>
          <w:p w14:paraId="3CB105F1" w14:textId="77777777" w:rsidR="00F67DDB" w:rsidRPr="0070080E" w:rsidRDefault="0094076D">
            <w:pPr>
              <w:pStyle w:val="Compact"/>
            </w:pPr>
            <w:r w:rsidRPr="0070080E">
              <w:t>0.7428</w:t>
            </w:r>
          </w:p>
        </w:tc>
        <w:tc>
          <w:tcPr>
            <w:tcW w:w="1133" w:type="dxa"/>
          </w:tcPr>
          <w:p w14:paraId="3CB105F2" w14:textId="77777777" w:rsidR="00F67DDB" w:rsidRPr="0070080E" w:rsidRDefault="0094076D">
            <w:pPr>
              <w:pStyle w:val="Compact"/>
            </w:pPr>
            <w:r w:rsidRPr="0070080E">
              <w:t>-1.1043</w:t>
            </w:r>
          </w:p>
        </w:tc>
        <w:tc>
          <w:tcPr>
            <w:tcW w:w="1026" w:type="dxa"/>
          </w:tcPr>
          <w:p w14:paraId="3CB105F3" w14:textId="77777777" w:rsidR="00F67DDB" w:rsidRPr="0070080E" w:rsidRDefault="0094076D">
            <w:pPr>
              <w:pStyle w:val="Compact"/>
            </w:pPr>
            <w:r w:rsidRPr="0070080E">
              <w:t>0.7876</w:t>
            </w:r>
          </w:p>
        </w:tc>
        <w:tc>
          <w:tcPr>
            <w:tcW w:w="881" w:type="dxa"/>
          </w:tcPr>
          <w:p w14:paraId="3CB105F4" w14:textId="77777777" w:rsidR="00F67DDB" w:rsidRPr="0070080E" w:rsidRDefault="0094076D">
            <w:pPr>
              <w:pStyle w:val="Compact"/>
            </w:pPr>
            <w:r w:rsidRPr="0070080E">
              <w:t>-0.0591</w:t>
            </w:r>
          </w:p>
        </w:tc>
        <w:tc>
          <w:tcPr>
            <w:tcW w:w="895" w:type="dxa"/>
          </w:tcPr>
          <w:p w14:paraId="3CB105F5" w14:textId="77777777" w:rsidR="00F67DDB" w:rsidRPr="0070080E" w:rsidRDefault="0094076D">
            <w:pPr>
              <w:pStyle w:val="Compact"/>
            </w:pPr>
            <w:r w:rsidRPr="0070080E">
              <w:t>0.2151</w:t>
            </w:r>
          </w:p>
        </w:tc>
        <w:tc>
          <w:tcPr>
            <w:tcW w:w="763" w:type="dxa"/>
          </w:tcPr>
          <w:p w14:paraId="3CB105F6" w14:textId="77777777" w:rsidR="00F67DDB" w:rsidRPr="0070080E" w:rsidRDefault="0094076D">
            <w:pPr>
              <w:pStyle w:val="Compact"/>
            </w:pPr>
            <w:r w:rsidRPr="0070080E">
              <w:t>106</w:t>
            </w:r>
          </w:p>
        </w:tc>
        <w:tc>
          <w:tcPr>
            <w:tcW w:w="1397" w:type="dxa"/>
          </w:tcPr>
          <w:p w14:paraId="3CB105F7" w14:textId="77777777" w:rsidR="00F67DDB" w:rsidRPr="0070080E" w:rsidRDefault="0094076D">
            <w:pPr>
              <w:pStyle w:val="Compact"/>
            </w:pPr>
            <w:r w:rsidRPr="0070080E">
              <w:t>False</w:t>
            </w:r>
          </w:p>
        </w:tc>
      </w:tr>
      <w:tr w:rsidR="00F30EC2" w:rsidRPr="0070080E" w14:paraId="3CB10605" w14:textId="77777777" w:rsidTr="00F30EC2">
        <w:tc>
          <w:tcPr>
            <w:tcW w:w="1883" w:type="dxa"/>
          </w:tcPr>
          <w:p w14:paraId="3CB105F9" w14:textId="77777777" w:rsidR="00F67DDB" w:rsidRPr="0070080E" w:rsidRDefault="0094076D">
            <w:pPr>
              <w:pStyle w:val="Compact"/>
            </w:pPr>
            <w:r w:rsidRPr="0070080E">
              <w:t>option_b_individual</w:t>
            </w:r>
          </w:p>
        </w:tc>
        <w:tc>
          <w:tcPr>
            <w:tcW w:w="1705" w:type="dxa"/>
          </w:tcPr>
          <w:p w14:paraId="3CB105FA" w14:textId="77777777" w:rsidR="00F67DDB" w:rsidRPr="0070080E" w:rsidRDefault="0094076D">
            <w:pPr>
              <w:pStyle w:val="Compact"/>
            </w:pPr>
            <w:r w:rsidRPr="0070080E">
              <w:t>sharpe_ratio</w:t>
            </w:r>
          </w:p>
        </w:tc>
        <w:tc>
          <w:tcPr>
            <w:tcW w:w="856" w:type="dxa"/>
          </w:tcPr>
          <w:p w14:paraId="3CB105FB" w14:textId="77777777" w:rsidR="00F67DDB" w:rsidRPr="0070080E" w:rsidRDefault="0094076D">
            <w:pPr>
              <w:pStyle w:val="Compact"/>
            </w:pPr>
            <w:r w:rsidRPr="0070080E">
              <w:t>0.879</w:t>
            </w:r>
          </w:p>
        </w:tc>
        <w:tc>
          <w:tcPr>
            <w:tcW w:w="1110" w:type="dxa"/>
          </w:tcPr>
          <w:p w14:paraId="3CB105FC" w14:textId="77777777" w:rsidR="00F67DDB" w:rsidRPr="0070080E" w:rsidRDefault="0094076D">
            <w:pPr>
              <w:pStyle w:val="Compact"/>
            </w:pPr>
            <w:r w:rsidRPr="0070080E">
              <w:t>1.6994</w:t>
            </w:r>
          </w:p>
        </w:tc>
        <w:tc>
          <w:tcPr>
            <w:tcW w:w="943" w:type="dxa"/>
          </w:tcPr>
          <w:p w14:paraId="3CB105FD" w14:textId="77777777" w:rsidR="00F67DDB" w:rsidRPr="0070080E" w:rsidRDefault="0094076D">
            <w:pPr>
              <w:pStyle w:val="Compact"/>
            </w:pPr>
            <w:r w:rsidRPr="0070080E">
              <w:t>0.5173</w:t>
            </w:r>
          </w:p>
        </w:tc>
        <w:tc>
          <w:tcPr>
            <w:tcW w:w="901" w:type="dxa"/>
          </w:tcPr>
          <w:p w14:paraId="3CB105FE" w14:textId="77777777" w:rsidR="00F67DDB" w:rsidRPr="0070080E" w:rsidRDefault="0094076D">
            <w:pPr>
              <w:pStyle w:val="Compact"/>
            </w:pPr>
            <w:r w:rsidRPr="0070080E">
              <w:t>0.6050</w:t>
            </w:r>
          </w:p>
        </w:tc>
        <w:tc>
          <w:tcPr>
            <w:tcW w:w="1133" w:type="dxa"/>
          </w:tcPr>
          <w:p w14:paraId="3CB105FF" w14:textId="77777777" w:rsidR="00F67DDB" w:rsidRPr="0070080E" w:rsidRDefault="0094076D">
            <w:pPr>
              <w:pStyle w:val="Compact"/>
            </w:pPr>
            <w:r w:rsidRPr="0070080E">
              <w:t>-2.4516</w:t>
            </w:r>
          </w:p>
        </w:tc>
        <w:tc>
          <w:tcPr>
            <w:tcW w:w="1026" w:type="dxa"/>
          </w:tcPr>
          <w:p w14:paraId="3CB10600" w14:textId="77777777" w:rsidR="00F67DDB" w:rsidRPr="0070080E" w:rsidRDefault="0094076D">
            <w:pPr>
              <w:pStyle w:val="Compact"/>
            </w:pPr>
            <w:r w:rsidRPr="0070080E">
              <w:t>4.2097</w:t>
            </w:r>
          </w:p>
        </w:tc>
        <w:tc>
          <w:tcPr>
            <w:tcW w:w="881" w:type="dxa"/>
          </w:tcPr>
          <w:p w14:paraId="3CB10601" w14:textId="77777777" w:rsidR="00F67DDB" w:rsidRPr="0070080E" w:rsidRDefault="0094076D">
            <w:pPr>
              <w:pStyle w:val="Compact"/>
            </w:pPr>
            <w:r w:rsidRPr="0070080E">
              <w:t>0.0712</w:t>
            </w:r>
          </w:p>
        </w:tc>
        <w:tc>
          <w:tcPr>
            <w:tcW w:w="895" w:type="dxa"/>
          </w:tcPr>
          <w:p w14:paraId="3CB10602" w14:textId="77777777" w:rsidR="00F67DDB" w:rsidRPr="0070080E" w:rsidRDefault="0094076D">
            <w:pPr>
              <w:pStyle w:val="Compact"/>
            </w:pPr>
            <w:r w:rsidRPr="0070080E">
              <w:t>0.5366</w:t>
            </w:r>
          </w:p>
        </w:tc>
        <w:tc>
          <w:tcPr>
            <w:tcW w:w="763" w:type="dxa"/>
          </w:tcPr>
          <w:p w14:paraId="3CB10603" w14:textId="77777777" w:rsidR="00F67DDB" w:rsidRPr="0070080E" w:rsidRDefault="0094076D">
            <w:pPr>
              <w:pStyle w:val="Compact"/>
            </w:pPr>
            <w:r w:rsidRPr="0070080E">
              <w:t>106</w:t>
            </w:r>
          </w:p>
        </w:tc>
        <w:tc>
          <w:tcPr>
            <w:tcW w:w="1397" w:type="dxa"/>
          </w:tcPr>
          <w:p w14:paraId="3CB10604" w14:textId="77777777" w:rsidR="00F67DDB" w:rsidRPr="0070080E" w:rsidRDefault="0094076D">
            <w:pPr>
              <w:pStyle w:val="Compact"/>
            </w:pPr>
            <w:r w:rsidRPr="0070080E">
              <w:t>False</w:t>
            </w:r>
          </w:p>
        </w:tc>
      </w:tr>
      <w:tr w:rsidR="00F30EC2" w:rsidRPr="0070080E" w14:paraId="3CB10612" w14:textId="77777777" w:rsidTr="00E425B0">
        <w:trPr>
          <w:trHeight w:val="621"/>
        </w:trPr>
        <w:tc>
          <w:tcPr>
            <w:tcW w:w="1883" w:type="dxa"/>
          </w:tcPr>
          <w:p w14:paraId="3CB10606" w14:textId="77777777" w:rsidR="00F67DDB" w:rsidRPr="0070080E" w:rsidRDefault="0094076D">
            <w:pPr>
              <w:pStyle w:val="Compact"/>
            </w:pPr>
            <w:r w:rsidRPr="0070080E">
              <w:t>option_b_individual</w:t>
            </w:r>
          </w:p>
        </w:tc>
        <w:tc>
          <w:tcPr>
            <w:tcW w:w="1705" w:type="dxa"/>
          </w:tcPr>
          <w:p w14:paraId="3CB10607" w14:textId="77777777" w:rsidR="00F67DDB" w:rsidRPr="0070080E" w:rsidRDefault="0094076D">
            <w:pPr>
              <w:pStyle w:val="Compact"/>
            </w:pPr>
            <w:r w:rsidRPr="0070080E">
              <w:t>sortino_ratio</w:t>
            </w:r>
          </w:p>
        </w:tc>
        <w:tc>
          <w:tcPr>
            <w:tcW w:w="856" w:type="dxa"/>
          </w:tcPr>
          <w:p w14:paraId="3CB10608" w14:textId="77777777" w:rsidR="00F67DDB" w:rsidRPr="0070080E" w:rsidRDefault="0094076D">
            <w:pPr>
              <w:pStyle w:val="Compact"/>
            </w:pPr>
            <w:r w:rsidRPr="0070080E">
              <w:t>9.4847</w:t>
            </w:r>
          </w:p>
        </w:tc>
        <w:tc>
          <w:tcPr>
            <w:tcW w:w="1110" w:type="dxa"/>
          </w:tcPr>
          <w:p w14:paraId="3CB10609" w14:textId="77777777" w:rsidR="00F67DDB" w:rsidRPr="0070080E" w:rsidRDefault="0094076D">
            <w:pPr>
              <w:pStyle w:val="Compact"/>
            </w:pPr>
            <w:r w:rsidRPr="0070080E">
              <w:t>36.2226</w:t>
            </w:r>
          </w:p>
        </w:tc>
        <w:tc>
          <w:tcPr>
            <w:tcW w:w="943" w:type="dxa"/>
          </w:tcPr>
          <w:p w14:paraId="3CB1060A" w14:textId="77777777" w:rsidR="00F67DDB" w:rsidRPr="0070080E" w:rsidRDefault="0094076D">
            <w:pPr>
              <w:pStyle w:val="Compact"/>
            </w:pPr>
            <w:r w:rsidRPr="0070080E">
              <w:t>0.2618</w:t>
            </w:r>
          </w:p>
        </w:tc>
        <w:tc>
          <w:tcPr>
            <w:tcW w:w="901" w:type="dxa"/>
          </w:tcPr>
          <w:p w14:paraId="3CB1060B" w14:textId="77777777" w:rsidR="00F67DDB" w:rsidRPr="0070080E" w:rsidRDefault="0094076D">
            <w:pPr>
              <w:pStyle w:val="Compact"/>
            </w:pPr>
            <w:r w:rsidRPr="0070080E">
              <w:t>0.7934</w:t>
            </w:r>
          </w:p>
        </w:tc>
        <w:tc>
          <w:tcPr>
            <w:tcW w:w="1133" w:type="dxa"/>
          </w:tcPr>
          <w:p w14:paraId="3CB1060C" w14:textId="77777777" w:rsidR="00F67DDB" w:rsidRPr="0070080E" w:rsidRDefault="0094076D">
            <w:pPr>
              <w:pStyle w:val="Compact"/>
            </w:pPr>
            <w:r w:rsidRPr="0070080E">
              <w:t>-61.5102</w:t>
            </w:r>
          </w:p>
        </w:tc>
        <w:tc>
          <w:tcPr>
            <w:tcW w:w="1026" w:type="dxa"/>
          </w:tcPr>
          <w:p w14:paraId="3CB1060D" w14:textId="77777777" w:rsidR="00F67DDB" w:rsidRPr="0070080E" w:rsidRDefault="0094076D">
            <w:pPr>
              <w:pStyle w:val="Compact"/>
            </w:pPr>
            <w:r w:rsidRPr="0070080E">
              <w:t>80.4797</w:t>
            </w:r>
          </w:p>
        </w:tc>
        <w:tc>
          <w:tcPr>
            <w:tcW w:w="881" w:type="dxa"/>
          </w:tcPr>
          <w:p w14:paraId="3CB1060E" w14:textId="77777777" w:rsidR="00F67DDB" w:rsidRPr="0070080E" w:rsidRDefault="0094076D">
            <w:pPr>
              <w:pStyle w:val="Compact"/>
            </w:pPr>
            <w:r w:rsidRPr="0070080E">
              <w:t>0.1011</w:t>
            </w:r>
          </w:p>
        </w:tc>
        <w:tc>
          <w:tcPr>
            <w:tcW w:w="895" w:type="dxa"/>
          </w:tcPr>
          <w:p w14:paraId="3CB1060F" w14:textId="77777777" w:rsidR="00F67DDB" w:rsidRPr="0070080E" w:rsidRDefault="0094076D">
            <w:pPr>
              <w:pStyle w:val="Compact"/>
            </w:pPr>
            <w:r w:rsidRPr="0070080E">
              <w:t>0.0027</w:t>
            </w:r>
          </w:p>
        </w:tc>
        <w:tc>
          <w:tcPr>
            <w:tcW w:w="763" w:type="dxa"/>
          </w:tcPr>
          <w:p w14:paraId="3CB10610" w14:textId="77777777" w:rsidR="00F67DDB" w:rsidRPr="0070080E" w:rsidRDefault="0094076D">
            <w:pPr>
              <w:pStyle w:val="Compact"/>
            </w:pPr>
            <w:r w:rsidRPr="0070080E">
              <w:t>29</w:t>
            </w:r>
          </w:p>
        </w:tc>
        <w:tc>
          <w:tcPr>
            <w:tcW w:w="1397" w:type="dxa"/>
          </w:tcPr>
          <w:p w14:paraId="3CB10611" w14:textId="77777777" w:rsidR="00F67DDB" w:rsidRPr="0070080E" w:rsidRDefault="0094076D">
            <w:pPr>
              <w:pStyle w:val="Compact"/>
            </w:pPr>
            <w:r w:rsidRPr="0070080E">
              <w:t>False</w:t>
            </w:r>
          </w:p>
        </w:tc>
      </w:tr>
    </w:tbl>
    <w:p w14:paraId="3CB10613" w14:textId="1A767E96" w:rsidR="00F67DDB" w:rsidRPr="0070080E" w:rsidRDefault="0094076D" w:rsidP="00F30EC2">
      <w:pPr>
        <w:pStyle w:val="BodyText"/>
        <w:ind w:firstLine="0"/>
      </w:pPr>
      <w:r w:rsidRPr="0070080E">
        <w:rPr>
          <w:i/>
          <w:iCs/>
        </w:rPr>
        <w:t>Note.</w:t>
      </w:r>
      <w:r w:rsidRPr="0070080E">
        <w:t xml:space="preserve"> The Sortino ratio is computed only for respondent-condition pairs that yield at least one negative portfolio return; in the current sample this applies to 97 of 106 respondent-condition pairs. The collective portfolios in the descriptive Option A analysis are constructed from the same respondent pool, so no causal inference should be drawn from Option A alone; it is presented for institutional illustration only.</w:t>
      </w:r>
    </w:p>
    <w:p w14:paraId="3DEE2CD8" w14:textId="77777777" w:rsidR="00F30EC2" w:rsidRPr="0070080E" w:rsidRDefault="00F30EC2">
      <w:pPr>
        <w:pStyle w:val="BodyText"/>
        <w:rPr>
          <w:b/>
          <w:bCs/>
        </w:rPr>
        <w:sectPr w:rsidR="00F30EC2" w:rsidRPr="0070080E" w:rsidSect="00BA36D3">
          <w:footnotePr>
            <w:numRestart w:val="eachSect"/>
          </w:footnotePr>
          <w:pgSz w:w="15840" w:h="12240" w:orient="landscape"/>
          <w:pgMar w:top="1440" w:right="1440" w:bottom="1440" w:left="1440" w:header="630" w:footer="720" w:gutter="0"/>
          <w:cols w:space="720"/>
          <w:docGrid w:linePitch="299"/>
        </w:sectPr>
      </w:pPr>
    </w:p>
    <w:p w14:paraId="3CB10614" w14:textId="77777777" w:rsidR="00F67DDB" w:rsidRPr="0070080E" w:rsidRDefault="0094076D" w:rsidP="008A16ED">
      <w:pPr>
        <w:pStyle w:val="Tableid"/>
      </w:pPr>
      <w:r w:rsidRPr="0070080E">
        <w:t>Figure 5.8</w:t>
      </w:r>
    </w:p>
    <w:p w14:paraId="3CB10615" w14:textId="77777777" w:rsidR="00F67DDB" w:rsidRPr="0070080E" w:rsidRDefault="0094076D" w:rsidP="008A16ED">
      <w:pPr>
        <w:pStyle w:val="TableCaption"/>
      </w:pPr>
      <w:r w:rsidRPr="0070080E">
        <w:t>Sharpe Ratio Comparison Across Experimental Conditions</w:t>
      </w:r>
    </w:p>
    <w:p w14:paraId="3CB10616" w14:textId="77777777" w:rsidR="00F67DDB" w:rsidRPr="0070080E" w:rsidRDefault="0094076D" w:rsidP="00F30EC2">
      <w:pPr>
        <w:pStyle w:val="Compact"/>
      </w:pPr>
      <w:r w:rsidRPr="0070080E">
        <w:rPr>
          <w:noProof/>
        </w:rPr>
        <w:drawing>
          <wp:inline distT="0" distB="0" distL="0" distR="0" wp14:anchorId="3CB1082F" wp14:editId="09F46275">
            <wp:extent cx="5656385" cy="2432539"/>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results/figures/fig_sharpe_comparison.png"/>
                    <pic:cNvPicPr>
                      <a:picLocks noChangeAspect="1" noChangeArrowheads="1"/>
                    </pic:cNvPicPr>
                  </pic:nvPicPr>
                  <pic:blipFill>
                    <a:blip r:embed="rId352"/>
                    <a:stretch>
                      <a:fillRect/>
                    </a:stretch>
                  </pic:blipFill>
                  <pic:spPr bwMode="auto">
                    <a:xfrm>
                      <a:off x="0" y="0"/>
                      <a:ext cx="5674031" cy="2440128"/>
                    </a:xfrm>
                    <a:prstGeom prst="rect">
                      <a:avLst/>
                    </a:prstGeom>
                    <a:noFill/>
                    <a:ln w="9525">
                      <a:noFill/>
                      <a:headEnd/>
                      <a:tailEnd/>
                    </a:ln>
                  </pic:spPr>
                </pic:pic>
              </a:graphicData>
            </a:graphic>
          </wp:inline>
        </w:drawing>
      </w:r>
    </w:p>
    <w:p w14:paraId="2C5FECC8" w14:textId="6D90FFF3" w:rsidR="00822921" w:rsidRPr="0070080E" w:rsidRDefault="0094076D" w:rsidP="00E425B0">
      <w:pPr>
        <w:pStyle w:val="BodyText"/>
        <w:ind w:firstLine="0"/>
      </w:pPr>
      <w:r w:rsidRPr="0070080E">
        <w:rPr>
          <w:i/>
          <w:iCs/>
        </w:rPr>
        <w:t>Note.</w:t>
      </w:r>
      <w:r w:rsidRPr="0070080E">
        <w:t xml:space="preserve"> Sharpe ratios computed per respondent-condition pair from NRS-weighted simulated portfolio returns. Original figure created for this study</w:t>
      </w:r>
      <w:r w:rsidR="00683655">
        <w:t xml:space="preserve"> (2026)</w:t>
      </w:r>
      <w:r w:rsidRPr="0070080E">
        <w:t>.</w:t>
      </w:r>
    </w:p>
    <w:p w14:paraId="3CB10618" w14:textId="137FE424" w:rsidR="00F67DDB" w:rsidRPr="0070080E" w:rsidRDefault="0094076D" w:rsidP="008A16ED">
      <w:pPr>
        <w:pStyle w:val="Tableid"/>
      </w:pPr>
      <w:r w:rsidRPr="0070080E">
        <w:t>Figure 5.9</w:t>
      </w:r>
    </w:p>
    <w:p w14:paraId="3CB10619" w14:textId="77777777" w:rsidR="00F67DDB" w:rsidRPr="0070080E" w:rsidRDefault="0094076D" w:rsidP="008A16ED">
      <w:pPr>
        <w:pStyle w:val="TableCaption"/>
      </w:pPr>
      <w:r w:rsidRPr="0070080E">
        <w:t>Mean NRS by Shock Score Quintile and Experimental Condition</w:t>
      </w:r>
    </w:p>
    <w:p w14:paraId="3CB1061A" w14:textId="77777777" w:rsidR="00F67DDB" w:rsidRPr="0070080E" w:rsidRDefault="0094076D" w:rsidP="00F30EC2">
      <w:pPr>
        <w:pStyle w:val="Compact"/>
      </w:pPr>
      <w:r w:rsidRPr="0070080E">
        <w:rPr>
          <w:noProof/>
        </w:rPr>
        <w:drawing>
          <wp:inline distT="0" distB="0" distL="0" distR="0" wp14:anchorId="3CB10831" wp14:editId="102EE2DB">
            <wp:extent cx="5275385" cy="31242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results/figures/fig_h2_nrs_by_sc.png"/>
                    <pic:cNvPicPr>
                      <a:picLocks noChangeAspect="1" noChangeArrowheads="1"/>
                    </pic:cNvPicPr>
                  </pic:nvPicPr>
                  <pic:blipFill>
                    <a:blip r:embed="rId353"/>
                    <a:stretch>
                      <a:fillRect/>
                    </a:stretch>
                  </pic:blipFill>
                  <pic:spPr bwMode="auto">
                    <a:xfrm>
                      <a:off x="0" y="0"/>
                      <a:ext cx="5275385" cy="3124200"/>
                    </a:xfrm>
                    <a:prstGeom prst="rect">
                      <a:avLst/>
                    </a:prstGeom>
                    <a:noFill/>
                    <a:ln w="9525">
                      <a:noFill/>
                      <a:headEnd/>
                      <a:tailEnd/>
                    </a:ln>
                  </pic:spPr>
                </pic:pic>
              </a:graphicData>
            </a:graphic>
          </wp:inline>
        </w:drawing>
      </w:r>
    </w:p>
    <w:p w14:paraId="3CB1061B" w14:textId="7ACE5EEF" w:rsidR="00F67DDB" w:rsidRPr="0070080E" w:rsidRDefault="0094076D" w:rsidP="00E425B0">
      <w:pPr>
        <w:pStyle w:val="BodyText"/>
        <w:ind w:firstLine="0"/>
      </w:pPr>
      <w:r w:rsidRPr="0070080E">
        <w:rPr>
          <w:i/>
          <w:iCs/>
        </w:rPr>
        <w:t>Note.</w:t>
      </w:r>
      <w:r w:rsidRPr="0070080E">
        <w:t xml:space="preserve"> Each point represents the mean Net Risk Stance (NRS) within a Shock Score quintile, separately for the control (ShowSC = 0, dashed) and treatment (ShowSC = 1, solid) conditions. Shaded bands show ±1 standard error. Error bars that substantially overlap across conditions indicate that the Shock Score dashboard does not systematically alter risk-stance responses. The near-parallel trajectories are consistent with the H2 result being not supported (τ = -0.1584, p = 0.7428). The dotted horizontal line marks the NRS neutral point (4 = maintain exposure). Original figure created for this study</w:t>
      </w:r>
      <w:r w:rsidR="00683655">
        <w:t xml:space="preserve"> (2026)</w:t>
      </w:r>
      <w:r w:rsidRPr="0070080E">
        <w:t>.</w:t>
      </w:r>
    </w:p>
    <w:p w14:paraId="3CB1061C" w14:textId="77777777" w:rsidR="00F67DDB" w:rsidRPr="0070080E" w:rsidRDefault="0094076D">
      <w:pPr>
        <w:pStyle w:val="Heading2"/>
      </w:pPr>
      <w:bookmarkStart w:id="160" w:name="_Toc231913464"/>
      <w:bookmarkStart w:id="161" w:name="results-interpretation"/>
      <w:bookmarkEnd w:id="157"/>
      <w:bookmarkEnd w:id="159"/>
      <w:r w:rsidRPr="0070080E">
        <w:t>5.6 Results Interpretation</w:t>
      </w:r>
      <w:bookmarkEnd w:id="160"/>
    </w:p>
    <w:p w14:paraId="3CB1061D" w14:textId="3D0755C8" w:rsidR="00F67DDB" w:rsidRPr="0070080E" w:rsidRDefault="0094076D">
      <w:pPr>
        <w:pStyle w:val="Heading3"/>
      </w:pPr>
      <w:bookmarkStart w:id="162" w:name="Xdb3011936e05e7f5b51cea02fd8774ea9a434a7"/>
      <w:r w:rsidRPr="0070080E">
        <w:t xml:space="preserve">5.6.1 Impact of Information Shocks on </w:t>
      </w:r>
      <w:r w:rsidR="00400BE9">
        <w:t>Risk–return</w:t>
      </w:r>
    </w:p>
    <w:p w14:paraId="3CB1061E" w14:textId="5242A2AA" w:rsidR="00F67DDB" w:rsidRPr="0070080E" w:rsidRDefault="0094076D">
      <w:pPr>
        <w:pStyle w:val="FirstParagraph"/>
      </w:pPr>
      <w:r w:rsidRPr="0070080E">
        <w:t xml:space="preserve">The results are evaluated against the behavioral finance literature suggesting that external information shocks exert a systematic influence on portfolio managers’ risk-stance decisions. The statistically significant negative association (β₁ = -0.4874) indicates that higher shock intensity shifts managers toward reduced risk exposure (lower NRS), consistent with loss-aversion predictions from prospect theory (Kahneman </w:t>
      </w:r>
      <w:r w:rsidR="007D2913">
        <w:t>&amp;</w:t>
      </w:r>
      <w:r w:rsidRPr="0070080E">
        <w:t xml:space="preserve"> Tversky, 1979). Because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a novel composite constructed in this thesis, the statistically significant coefficient β₁ also constitutes empirical evidence of construct validity: the index systematically predicts NRS in the theoretically expected direction across all robustness specifications. This result is interpreted cautiously given the sample composition and potential survivorship effects in the volunteer sample. The direction-interaction specification (Spec 5) does not yield a statistically significant asymmetry between posit</w:t>
      </w:r>
      <w:proofErr w:type="spellStart"/>
      <w:r w:rsidRPr="0070080E">
        <w:t>ive</w:t>
      </w:r>
      <w:proofErr w:type="spellEnd"/>
      <w:r w:rsidRPr="0070080E">
        <w:t>- and negative-sentiment events in the current sample (β₃ = +0.1954, p = 0.5957); the direction-asymmetry hypothesis is noted as an avenue for future research.</w:t>
      </w:r>
    </w:p>
    <w:p w14:paraId="3CB1061F" w14:textId="77777777" w:rsidR="00F67DDB" w:rsidRPr="0070080E" w:rsidRDefault="0094076D">
      <w:pPr>
        <w:pStyle w:val="BodyText"/>
      </w:pPr>
      <w:r w:rsidRPr="0070080E">
        <w:t xml:space="preserve">The component decomposition (Spec 3) discloses a specific sign heterogeneity in the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Pr="0070080E">
        <w:t xml:space="preserve"> coefficient (β = +0.3102, p &lt; 0.0001), which runs counter to the direction of the composite effect. This finding is consistent with a contrarian-resolution mechanism (</w:t>
      </w:r>
      <w:hyperlink r:id="rId354">
        <w:r w:rsidRPr="0070080E">
          <w:rPr>
            <w:rStyle w:val="Hyperlink"/>
          </w:rPr>
          <w:t>De Bondt &amp; Thaler, 1985</w:t>
        </w:r>
      </w:hyperlink>
      <w:r w:rsidRPr="0070080E">
        <w:t xml:space="preserve">; </w:t>
      </w:r>
      <w:hyperlink r:id="rId355">
        <w:r w:rsidRPr="0070080E">
          <w:rPr>
            <w:rStyle w:val="Hyperlink"/>
          </w:rPr>
          <w:t>Daniel et al., 1998</w:t>
        </w:r>
      </w:hyperlink>
      <w:r w:rsidRPr="0070080E">
        <w:t xml:space="preserve">): managers who recognize an event as belonging to a high-severity category may judge that market expectations have already incorporated the elevated uncertainty, and therefore increase rather than reduce risk exposure. This interpretation is corroborated by the NRS–sentiment alignment diagnostic reported in Section 5.6.1.1, which shows that the overall alignment rate of 0.2618 is substantially below the 0.50 threshold indicative of directional consistency. Both results, the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Pr="0070080E">
        <w:t xml:space="preserve"> sign anomaly and the sub-threshold alignment rate, point to a respondent population that does not simply follow the sentiment signal but applies category-level contextual adjustment when forming risk-stance decisions. This finding constitutes a nuanced addition to the primary H1 result and is noted as an avenue for future research on component-level behavioral mechanisms.</w:t>
      </w:r>
    </w:p>
    <w:p w14:paraId="3CB10620" w14:textId="77777777" w:rsidR="00F67DDB" w:rsidRPr="0070080E" w:rsidRDefault="0094076D">
      <w:pPr>
        <w:pStyle w:val="BodyText"/>
      </w:pPr>
      <w:r w:rsidRPr="0070080E">
        <w:rPr>
          <w:b/>
          <w:bCs/>
        </w:rPr>
        <w:t>NRS–Sentiment Alignment Diagnostic.</w:t>
      </w:r>
      <w:r w:rsidRPr="0070080E">
        <w:t xml:space="preserve"> As a diagnostic check, the alignment between respondents’ NRS direction (buy: NRS &gt; 4; sell: NRS &lt; 4; neutral: NRS = 4) and the sentiment-expected direction (Negative sentiment expected sell; Positive expected buy) is assessed across all 424 observations.</w:t>
      </w:r>
    </w:p>
    <w:p w14:paraId="3CB10621" w14:textId="77777777" w:rsidR="00F67DDB" w:rsidRPr="0070080E" w:rsidRDefault="0094076D">
      <w:pPr>
        <w:pStyle w:val="BodyText"/>
      </w:pPr>
      <w:r w:rsidRPr="0070080E">
        <w:t>Overall alignment rate: 0.2618 (111 of 424 observations).</w:t>
      </w:r>
    </w:p>
    <w:p w14:paraId="3CB10622" w14:textId="77777777" w:rsidR="00F67DDB" w:rsidRPr="0070080E" w:rsidRDefault="0094076D" w:rsidP="008A16ED">
      <w:pPr>
        <w:pStyle w:val="Tableid"/>
      </w:pPr>
      <w:r w:rsidRPr="0070080E">
        <w:t>Table 5.10</w:t>
      </w:r>
    </w:p>
    <w:p w14:paraId="3CB10623" w14:textId="77777777" w:rsidR="00F67DDB" w:rsidRPr="0070080E" w:rsidRDefault="0094076D" w:rsidP="008A16ED">
      <w:pPr>
        <w:pStyle w:val="TableCaption"/>
      </w:pPr>
      <w:r w:rsidRPr="0070080E">
        <w:t>NRS–Sentiment Alignment by Group</w:t>
      </w:r>
    </w:p>
    <w:tbl>
      <w:tblPr>
        <w:tblStyle w:val="Table"/>
        <w:tblW w:w="0" w:type="auto"/>
        <w:tblLook w:val="0020" w:firstRow="1" w:lastRow="0" w:firstColumn="0" w:lastColumn="0" w:noHBand="0" w:noVBand="0"/>
      </w:tblPr>
      <w:tblGrid>
        <w:gridCol w:w="2579"/>
        <w:gridCol w:w="521"/>
        <w:gridCol w:w="1013"/>
        <w:gridCol w:w="1466"/>
      </w:tblGrid>
      <w:tr w:rsidR="00F67DDB" w:rsidRPr="0070080E" w14:paraId="3CB10628"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624" w14:textId="77777777" w:rsidR="00F67DDB" w:rsidRPr="0070080E" w:rsidRDefault="0094076D">
            <w:pPr>
              <w:pStyle w:val="Compact"/>
            </w:pPr>
            <w:r w:rsidRPr="0070080E">
              <w:t>group</w:t>
            </w:r>
          </w:p>
        </w:tc>
        <w:tc>
          <w:tcPr>
            <w:tcW w:w="0" w:type="auto"/>
          </w:tcPr>
          <w:p w14:paraId="3CB10625" w14:textId="77777777" w:rsidR="00F67DDB" w:rsidRPr="0070080E" w:rsidRDefault="0094076D">
            <w:pPr>
              <w:pStyle w:val="Compact"/>
            </w:pPr>
            <w:r w:rsidRPr="0070080E">
              <w:t>n</w:t>
            </w:r>
          </w:p>
        </w:tc>
        <w:tc>
          <w:tcPr>
            <w:tcW w:w="0" w:type="auto"/>
          </w:tcPr>
          <w:p w14:paraId="3CB10626" w14:textId="77777777" w:rsidR="00F67DDB" w:rsidRPr="0070080E" w:rsidRDefault="0094076D">
            <w:pPr>
              <w:pStyle w:val="Compact"/>
            </w:pPr>
            <w:r w:rsidRPr="0070080E">
              <w:t>n_aligned</w:t>
            </w:r>
          </w:p>
        </w:tc>
        <w:tc>
          <w:tcPr>
            <w:tcW w:w="0" w:type="auto"/>
          </w:tcPr>
          <w:p w14:paraId="3CB10627" w14:textId="77777777" w:rsidR="00F67DDB" w:rsidRPr="0070080E" w:rsidRDefault="0094076D">
            <w:pPr>
              <w:pStyle w:val="Compact"/>
            </w:pPr>
            <w:r w:rsidRPr="0070080E">
              <w:t>alignment_rate</w:t>
            </w:r>
          </w:p>
        </w:tc>
      </w:tr>
      <w:tr w:rsidR="00F67DDB" w:rsidRPr="0070080E" w14:paraId="3CB1062D" w14:textId="77777777">
        <w:tc>
          <w:tcPr>
            <w:tcW w:w="0" w:type="auto"/>
          </w:tcPr>
          <w:p w14:paraId="3CB10629" w14:textId="77777777" w:rsidR="00F67DDB" w:rsidRPr="0070080E" w:rsidRDefault="0094076D">
            <w:pPr>
              <w:pStyle w:val="Compact"/>
            </w:pPr>
            <w:r w:rsidRPr="0070080E">
              <w:t>overall</w:t>
            </w:r>
          </w:p>
        </w:tc>
        <w:tc>
          <w:tcPr>
            <w:tcW w:w="0" w:type="auto"/>
          </w:tcPr>
          <w:p w14:paraId="3CB1062A" w14:textId="77777777" w:rsidR="00F67DDB" w:rsidRPr="0070080E" w:rsidRDefault="0094076D">
            <w:pPr>
              <w:pStyle w:val="Compact"/>
            </w:pPr>
            <w:r w:rsidRPr="0070080E">
              <w:t>424</w:t>
            </w:r>
          </w:p>
        </w:tc>
        <w:tc>
          <w:tcPr>
            <w:tcW w:w="0" w:type="auto"/>
          </w:tcPr>
          <w:p w14:paraId="3CB1062B" w14:textId="77777777" w:rsidR="00F67DDB" w:rsidRPr="0070080E" w:rsidRDefault="0094076D">
            <w:pPr>
              <w:pStyle w:val="Compact"/>
            </w:pPr>
            <w:r w:rsidRPr="0070080E">
              <w:t>111</w:t>
            </w:r>
          </w:p>
        </w:tc>
        <w:tc>
          <w:tcPr>
            <w:tcW w:w="0" w:type="auto"/>
          </w:tcPr>
          <w:p w14:paraId="3CB1062C" w14:textId="77777777" w:rsidR="00F67DDB" w:rsidRPr="0070080E" w:rsidRDefault="0094076D">
            <w:pPr>
              <w:pStyle w:val="Compact"/>
            </w:pPr>
            <w:r w:rsidRPr="0070080E">
              <w:t>0.2618</w:t>
            </w:r>
          </w:p>
        </w:tc>
      </w:tr>
      <w:tr w:rsidR="00F67DDB" w:rsidRPr="0070080E" w14:paraId="3CB10632" w14:textId="77777777">
        <w:tc>
          <w:tcPr>
            <w:tcW w:w="0" w:type="auto"/>
          </w:tcPr>
          <w:p w14:paraId="3CB1062E" w14:textId="77777777" w:rsidR="00F67DDB" w:rsidRPr="0070080E" w:rsidRDefault="0094076D">
            <w:pPr>
              <w:pStyle w:val="Compact"/>
            </w:pPr>
            <w:r w:rsidRPr="0070080E">
              <w:t>ShowSC=0</w:t>
            </w:r>
          </w:p>
        </w:tc>
        <w:tc>
          <w:tcPr>
            <w:tcW w:w="0" w:type="auto"/>
          </w:tcPr>
          <w:p w14:paraId="3CB1062F" w14:textId="77777777" w:rsidR="00F67DDB" w:rsidRPr="0070080E" w:rsidRDefault="0094076D">
            <w:pPr>
              <w:pStyle w:val="Compact"/>
            </w:pPr>
            <w:r w:rsidRPr="0070080E">
              <w:t>212</w:t>
            </w:r>
          </w:p>
        </w:tc>
        <w:tc>
          <w:tcPr>
            <w:tcW w:w="0" w:type="auto"/>
          </w:tcPr>
          <w:p w14:paraId="3CB10630" w14:textId="77777777" w:rsidR="00F67DDB" w:rsidRPr="0070080E" w:rsidRDefault="0094076D">
            <w:pPr>
              <w:pStyle w:val="Compact"/>
            </w:pPr>
            <w:r w:rsidRPr="0070080E">
              <w:t>56</w:t>
            </w:r>
          </w:p>
        </w:tc>
        <w:tc>
          <w:tcPr>
            <w:tcW w:w="0" w:type="auto"/>
          </w:tcPr>
          <w:p w14:paraId="3CB10631" w14:textId="77777777" w:rsidR="00F67DDB" w:rsidRPr="0070080E" w:rsidRDefault="0094076D">
            <w:pPr>
              <w:pStyle w:val="Compact"/>
            </w:pPr>
            <w:r w:rsidRPr="0070080E">
              <w:t>0.2642</w:t>
            </w:r>
          </w:p>
        </w:tc>
      </w:tr>
      <w:tr w:rsidR="00F67DDB" w:rsidRPr="0070080E" w14:paraId="3CB10637" w14:textId="77777777">
        <w:tc>
          <w:tcPr>
            <w:tcW w:w="0" w:type="auto"/>
          </w:tcPr>
          <w:p w14:paraId="3CB10633" w14:textId="77777777" w:rsidR="00F67DDB" w:rsidRPr="0070080E" w:rsidRDefault="0094076D">
            <w:pPr>
              <w:pStyle w:val="Compact"/>
            </w:pPr>
            <w:r w:rsidRPr="0070080E">
              <w:t>ShowSC=1</w:t>
            </w:r>
          </w:p>
        </w:tc>
        <w:tc>
          <w:tcPr>
            <w:tcW w:w="0" w:type="auto"/>
          </w:tcPr>
          <w:p w14:paraId="3CB10634" w14:textId="77777777" w:rsidR="00F67DDB" w:rsidRPr="0070080E" w:rsidRDefault="0094076D">
            <w:pPr>
              <w:pStyle w:val="Compact"/>
            </w:pPr>
            <w:r w:rsidRPr="0070080E">
              <w:t>212</w:t>
            </w:r>
          </w:p>
        </w:tc>
        <w:tc>
          <w:tcPr>
            <w:tcW w:w="0" w:type="auto"/>
          </w:tcPr>
          <w:p w14:paraId="3CB10635" w14:textId="77777777" w:rsidR="00F67DDB" w:rsidRPr="0070080E" w:rsidRDefault="0094076D">
            <w:pPr>
              <w:pStyle w:val="Compact"/>
            </w:pPr>
            <w:r w:rsidRPr="0070080E">
              <w:t>55</w:t>
            </w:r>
          </w:p>
        </w:tc>
        <w:tc>
          <w:tcPr>
            <w:tcW w:w="0" w:type="auto"/>
          </w:tcPr>
          <w:p w14:paraId="3CB10636" w14:textId="77777777" w:rsidR="00F67DDB" w:rsidRPr="0070080E" w:rsidRDefault="0094076D">
            <w:pPr>
              <w:pStyle w:val="Compact"/>
            </w:pPr>
            <w:r w:rsidRPr="0070080E">
              <w:t>0.2594</w:t>
            </w:r>
          </w:p>
        </w:tc>
      </w:tr>
      <w:tr w:rsidR="00F67DDB" w:rsidRPr="0070080E" w14:paraId="3CB1063C" w14:textId="77777777">
        <w:tc>
          <w:tcPr>
            <w:tcW w:w="0" w:type="auto"/>
          </w:tcPr>
          <w:p w14:paraId="3CB10638" w14:textId="77777777" w:rsidR="00F67DDB" w:rsidRPr="0070080E" w:rsidRDefault="0094076D">
            <w:pPr>
              <w:pStyle w:val="Compact"/>
            </w:pPr>
            <w:r w:rsidRPr="0070080E">
              <w:t>sentiment=Mildly Negative</w:t>
            </w:r>
          </w:p>
        </w:tc>
        <w:tc>
          <w:tcPr>
            <w:tcW w:w="0" w:type="auto"/>
          </w:tcPr>
          <w:p w14:paraId="3CB10639" w14:textId="77777777" w:rsidR="00F67DDB" w:rsidRPr="0070080E" w:rsidRDefault="0094076D">
            <w:pPr>
              <w:pStyle w:val="Compact"/>
            </w:pPr>
            <w:r w:rsidRPr="0070080E">
              <w:t>53</w:t>
            </w:r>
          </w:p>
        </w:tc>
        <w:tc>
          <w:tcPr>
            <w:tcW w:w="0" w:type="auto"/>
          </w:tcPr>
          <w:p w14:paraId="3CB1063A" w14:textId="77777777" w:rsidR="00F67DDB" w:rsidRPr="0070080E" w:rsidRDefault="0094076D">
            <w:pPr>
              <w:pStyle w:val="Compact"/>
            </w:pPr>
            <w:r w:rsidRPr="0070080E">
              <w:t>12</w:t>
            </w:r>
          </w:p>
        </w:tc>
        <w:tc>
          <w:tcPr>
            <w:tcW w:w="0" w:type="auto"/>
          </w:tcPr>
          <w:p w14:paraId="3CB1063B" w14:textId="77777777" w:rsidR="00F67DDB" w:rsidRPr="0070080E" w:rsidRDefault="0094076D">
            <w:pPr>
              <w:pStyle w:val="Compact"/>
            </w:pPr>
            <w:r w:rsidRPr="0070080E">
              <w:t>0.2264</w:t>
            </w:r>
          </w:p>
        </w:tc>
      </w:tr>
      <w:tr w:rsidR="00F67DDB" w:rsidRPr="0070080E" w14:paraId="3CB10641" w14:textId="77777777">
        <w:tc>
          <w:tcPr>
            <w:tcW w:w="0" w:type="auto"/>
          </w:tcPr>
          <w:p w14:paraId="3CB1063D" w14:textId="77777777" w:rsidR="00F67DDB" w:rsidRPr="0070080E" w:rsidRDefault="0094076D">
            <w:pPr>
              <w:pStyle w:val="Compact"/>
            </w:pPr>
            <w:r w:rsidRPr="0070080E">
              <w:t>sentiment=Mildly Positive</w:t>
            </w:r>
          </w:p>
        </w:tc>
        <w:tc>
          <w:tcPr>
            <w:tcW w:w="0" w:type="auto"/>
          </w:tcPr>
          <w:p w14:paraId="3CB1063E" w14:textId="77777777" w:rsidR="00F67DDB" w:rsidRPr="0070080E" w:rsidRDefault="0094076D">
            <w:pPr>
              <w:pStyle w:val="Compact"/>
            </w:pPr>
            <w:r w:rsidRPr="0070080E">
              <w:t>83</w:t>
            </w:r>
          </w:p>
        </w:tc>
        <w:tc>
          <w:tcPr>
            <w:tcW w:w="0" w:type="auto"/>
          </w:tcPr>
          <w:p w14:paraId="3CB1063F" w14:textId="77777777" w:rsidR="00F67DDB" w:rsidRPr="0070080E" w:rsidRDefault="0094076D">
            <w:pPr>
              <w:pStyle w:val="Compact"/>
            </w:pPr>
            <w:r w:rsidRPr="0070080E">
              <w:t>16</w:t>
            </w:r>
          </w:p>
        </w:tc>
        <w:tc>
          <w:tcPr>
            <w:tcW w:w="0" w:type="auto"/>
          </w:tcPr>
          <w:p w14:paraId="3CB10640" w14:textId="77777777" w:rsidR="00F67DDB" w:rsidRPr="0070080E" w:rsidRDefault="0094076D">
            <w:pPr>
              <w:pStyle w:val="Compact"/>
            </w:pPr>
            <w:r w:rsidRPr="0070080E">
              <w:t>0.1928</w:t>
            </w:r>
          </w:p>
        </w:tc>
      </w:tr>
      <w:tr w:rsidR="00F67DDB" w:rsidRPr="0070080E" w14:paraId="3CB10646" w14:textId="77777777">
        <w:tc>
          <w:tcPr>
            <w:tcW w:w="0" w:type="auto"/>
          </w:tcPr>
          <w:p w14:paraId="3CB10642" w14:textId="77777777" w:rsidR="00F67DDB" w:rsidRPr="0070080E" w:rsidRDefault="0094076D">
            <w:pPr>
              <w:pStyle w:val="Compact"/>
            </w:pPr>
            <w:r w:rsidRPr="0070080E">
              <w:t>sentiment=Negative</w:t>
            </w:r>
          </w:p>
        </w:tc>
        <w:tc>
          <w:tcPr>
            <w:tcW w:w="0" w:type="auto"/>
          </w:tcPr>
          <w:p w14:paraId="3CB10643" w14:textId="77777777" w:rsidR="00F67DDB" w:rsidRPr="0070080E" w:rsidRDefault="0094076D">
            <w:pPr>
              <w:pStyle w:val="Compact"/>
            </w:pPr>
            <w:r w:rsidRPr="0070080E">
              <w:t>15</w:t>
            </w:r>
          </w:p>
        </w:tc>
        <w:tc>
          <w:tcPr>
            <w:tcW w:w="0" w:type="auto"/>
          </w:tcPr>
          <w:p w14:paraId="3CB10644" w14:textId="77777777" w:rsidR="00F67DDB" w:rsidRPr="0070080E" w:rsidRDefault="0094076D">
            <w:pPr>
              <w:pStyle w:val="Compact"/>
            </w:pPr>
            <w:r w:rsidRPr="0070080E">
              <w:t>3</w:t>
            </w:r>
          </w:p>
        </w:tc>
        <w:tc>
          <w:tcPr>
            <w:tcW w:w="0" w:type="auto"/>
          </w:tcPr>
          <w:p w14:paraId="3CB10645" w14:textId="77777777" w:rsidR="00F67DDB" w:rsidRPr="0070080E" w:rsidRDefault="0094076D">
            <w:pPr>
              <w:pStyle w:val="Compact"/>
            </w:pPr>
            <w:r w:rsidRPr="0070080E">
              <w:t>0.2</w:t>
            </w:r>
          </w:p>
        </w:tc>
      </w:tr>
      <w:tr w:rsidR="00F67DDB" w:rsidRPr="0070080E" w14:paraId="3CB1064B" w14:textId="77777777">
        <w:tc>
          <w:tcPr>
            <w:tcW w:w="0" w:type="auto"/>
          </w:tcPr>
          <w:p w14:paraId="3CB10647" w14:textId="77777777" w:rsidR="00F67DDB" w:rsidRPr="0070080E" w:rsidRDefault="0094076D">
            <w:pPr>
              <w:pStyle w:val="Compact"/>
            </w:pPr>
            <w:r w:rsidRPr="0070080E">
              <w:t>sentiment=Neutral</w:t>
            </w:r>
          </w:p>
        </w:tc>
        <w:tc>
          <w:tcPr>
            <w:tcW w:w="0" w:type="auto"/>
          </w:tcPr>
          <w:p w14:paraId="3CB10648" w14:textId="77777777" w:rsidR="00F67DDB" w:rsidRPr="0070080E" w:rsidRDefault="0094076D">
            <w:pPr>
              <w:pStyle w:val="Compact"/>
            </w:pPr>
            <w:r w:rsidRPr="0070080E">
              <w:t>123</w:t>
            </w:r>
          </w:p>
        </w:tc>
        <w:tc>
          <w:tcPr>
            <w:tcW w:w="0" w:type="auto"/>
          </w:tcPr>
          <w:p w14:paraId="3CB10649" w14:textId="77777777" w:rsidR="00F67DDB" w:rsidRPr="0070080E" w:rsidRDefault="0094076D">
            <w:pPr>
              <w:pStyle w:val="Compact"/>
            </w:pPr>
            <w:r w:rsidRPr="0070080E">
              <w:t>35</w:t>
            </w:r>
          </w:p>
        </w:tc>
        <w:tc>
          <w:tcPr>
            <w:tcW w:w="0" w:type="auto"/>
          </w:tcPr>
          <w:p w14:paraId="3CB1064A" w14:textId="77777777" w:rsidR="00F67DDB" w:rsidRPr="0070080E" w:rsidRDefault="0094076D">
            <w:pPr>
              <w:pStyle w:val="Compact"/>
            </w:pPr>
            <w:r w:rsidRPr="0070080E">
              <w:t>0.2846</w:t>
            </w:r>
          </w:p>
        </w:tc>
      </w:tr>
      <w:tr w:rsidR="00F67DDB" w:rsidRPr="0070080E" w14:paraId="3CB10650" w14:textId="77777777">
        <w:tc>
          <w:tcPr>
            <w:tcW w:w="0" w:type="auto"/>
          </w:tcPr>
          <w:p w14:paraId="3CB1064C" w14:textId="77777777" w:rsidR="00F67DDB" w:rsidRPr="0070080E" w:rsidRDefault="0094076D">
            <w:pPr>
              <w:pStyle w:val="Compact"/>
            </w:pPr>
            <w:r w:rsidRPr="0070080E">
              <w:t>sentiment=Positive</w:t>
            </w:r>
          </w:p>
        </w:tc>
        <w:tc>
          <w:tcPr>
            <w:tcW w:w="0" w:type="auto"/>
          </w:tcPr>
          <w:p w14:paraId="3CB1064D" w14:textId="77777777" w:rsidR="00F67DDB" w:rsidRPr="0070080E" w:rsidRDefault="0094076D">
            <w:pPr>
              <w:pStyle w:val="Compact"/>
            </w:pPr>
            <w:r w:rsidRPr="0070080E">
              <w:t>78</w:t>
            </w:r>
          </w:p>
        </w:tc>
        <w:tc>
          <w:tcPr>
            <w:tcW w:w="0" w:type="auto"/>
          </w:tcPr>
          <w:p w14:paraId="3CB1064E" w14:textId="77777777" w:rsidR="00F67DDB" w:rsidRPr="0070080E" w:rsidRDefault="0094076D">
            <w:pPr>
              <w:pStyle w:val="Compact"/>
            </w:pPr>
            <w:r w:rsidRPr="0070080E">
              <w:t>32</w:t>
            </w:r>
          </w:p>
        </w:tc>
        <w:tc>
          <w:tcPr>
            <w:tcW w:w="0" w:type="auto"/>
          </w:tcPr>
          <w:p w14:paraId="3CB1064F" w14:textId="77777777" w:rsidR="00F67DDB" w:rsidRPr="0070080E" w:rsidRDefault="0094076D">
            <w:pPr>
              <w:pStyle w:val="Compact"/>
            </w:pPr>
            <w:r w:rsidRPr="0070080E">
              <w:t>0.4103</w:t>
            </w:r>
          </w:p>
        </w:tc>
      </w:tr>
      <w:tr w:rsidR="00F67DDB" w:rsidRPr="0070080E" w14:paraId="3CB10655" w14:textId="77777777">
        <w:tc>
          <w:tcPr>
            <w:tcW w:w="0" w:type="auto"/>
          </w:tcPr>
          <w:p w14:paraId="3CB10651" w14:textId="77777777" w:rsidR="00F67DDB" w:rsidRPr="0070080E" w:rsidRDefault="0094076D">
            <w:pPr>
              <w:pStyle w:val="Compact"/>
            </w:pPr>
            <w:r w:rsidRPr="0070080E">
              <w:t>sentiment=Strongly Negative</w:t>
            </w:r>
          </w:p>
        </w:tc>
        <w:tc>
          <w:tcPr>
            <w:tcW w:w="0" w:type="auto"/>
          </w:tcPr>
          <w:p w14:paraId="3CB10652" w14:textId="77777777" w:rsidR="00F67DDB" w:rsidRPr="0070080E" w:rsidRDefault="0094076D">
            <w:pPr>
              <w:pStyle w:val="Compact"/>
            </w:pPr>
            <w:r w:rsidRPr="0070080E">
              <w:t>15</w:t>
            </w:r>
          </w:p>
        </w:tc>
        <w:tc>
          <w:tcPr>
            <w:tcW w:w="0" w:type="auto"/>
          </w:tcPr>
          <w:p w14:paraId="3CB10653" w14:textId="77777777" w:rsidR="00F67DDB" w:rsidRPr="0070080E" w:rsidRDefault="0094076D">
            <w:pPr>
              <w:pStyle w:val="Compact"/>
            </w:pPr>
            <w:r w:rsidRPr="0070080E">
              <w:t>1</w:t>
            </w:r>
          </w:p>
        </w:tc>
        <w:tc>
          <w:tcPr>
            <w:tcW w:w="0" w:type="auto"/>
          </w:tcPr>
          <w:p w14:paraId="3CB10654" w14:textId="77777777" w:rsidR="00F67DDB" w:rsidRPr="0070080E" w:rsidRDefault="0094076D">
            <w:pPr>
              <w:pStyle w:val="Compact"/>
            </w:pPr>
            <w:r w:rsidRPr="0070080E">
              <w:t>0.0667</w:t>
            </w:r>
          </w:p>
        </w:tc>
      </w:tr>
      <w:tr w:rsidR="00F67DDB" w:rsidRPr="0070080E" w14:paraId="3CB1065A" w14:textId="77777777">
        <w:tc>
          <w:tcPr>
            <w:tcW w:w="0" w:type="auto"/>
          </w:tcPr>
          <w:p w14:paraId="3CB10656" w14:textId="77777777" w:rsidR="00F67DDB" w:rsidRPr="0070080E" w:rsidRDefault="0094076D">
            <w:pPr>
              <w:pStyle w:val="Compact"/>
            </w:pPr>
            <w:r w:rsidRPr="0070080E">
              <w:t>sentiment=Strongly Positive</w:t>
            </w:r>
          </w:p>
        </w:tc>
        <w:tc>
          <w:tcPr>
            <w:tcW w:w="0" w:type="auto"/>
          </w:tcPr>
          <w:p w14:paraId="3CB10657" w14:textId="77777777" w:rsidR="00F67DDB" w:rsidRPr="0070080E" w:rsidRDefault="0094076D">
            <w:pPr>
              <w:pStyle w:val="Compact"/>
            </w:pPr>
            <w:r w:rsidRPr="0070080E">
              <w:t>57</w:t>
            </w:r>
          </w:p>
        </w:tc>
        <w:tc>
          <w:tcPr>
            <w:tcW w:w="0" w:type="auto"/>
          </w:tcPr>
          <w:p w14:paraId="3CB10658" w14:textId="77777777" w:rsidR="00F67DDB" w:rsidRPr="0070080E" w:rsidRDefault="0094076D">
            <w:pPr>
              <w:pStyle w:val="Compact"/>
            </w:pPr>
            <w:r w:rsidRPr="0070080E">
              <w:t>12</w:t>
            </w:r>
          </w:p>
        </w:tc>
        <w:tc>
          <w:tcPr>
            <w:tcW w:w="0" w:type="auto"/>
          </w:tcPr>
          <w:p w14:paraId="3CB10659" w14:textId="77777777" w:rsidR="00F67DDB" w:rsidRPr="0070080E" w:rsidRDefault="0094076D">
            <w:pPr>
              <w:pStyle w:val="Compact"/>
            </w:pPr>
            <w:r w:rsidRPr="0070080E">
              <w:t>0.2105</w:t>
            </w:r>
          </w:p>
        </w:tc>
      </w:tr>
    </w:tbl>
    <w:p w14:paraId="48CEAD3F" w14:textId="77777777" w:rsidR="008A16ED" w:rsidRPr="0070080E" w:rsidRDefault="008A16ED">
      <w:pPr>
        <w:pStyle w:val="BodyText"/>
        <w:rPr>
          <w:b/>
          <w:bCs/>
        </w:rPr>
      </w:pPr>
    </w:p>
    <w:p w14:paraId="1655F010" w14:textId="77777777" w:rsidR="008A16ED" w:rsidRPr="0070080E" w:rsidRDefault="008A16ED">
      <w:pPr>
        <w:spacing w:after="200" w:line="240" w:lineRule="auto"/>
        <w:ind w:firstLine="0"/>
        <w:rPr>
          <w:b/>
          <w:bCs/>
        </w:rPr>
      </w:pPr>
      <w:r w:rsidRPr="0070080E">
        <w:rPr>
          <w:b/>
          <w:bCs/>
        </w:rPr>
        <w:br w:type="page"/>
      </w:r>
    </w:p>
    <w:p w14:paraId="3CB1065B" w14:textId="3BD931BD" w:rsidR="00F67DDB" w:rsidRPr="0070080E" w:rsidRDefault="0094076D" w:rsidP="008A16ED">
      <w:pPr>
        <w:pStyle w:val="Tableid"/>
      </w:pPr>
      <w:r w:rsidRPr="0070080E">
        <w:t>Figure 5.10</w:t>
      </w:r>
    </w:p>
    <w:p w14:paraId="3CB1065C" w14:textId="77777777" w:rsidR="00F67DDB" w:rsidRPr="0070080E" w:rsidRDefault="0094076D" w:rsidP="008A16ED">
      <w:pPr>
        <w:pStyle w:val="TableCaption"/>
      </w:pPr>
      <w:r w:rsidRPr="0070080E">
        <w:t>NRS–Sentiment Alignment Rate by Sentiment Category</w:t>
      </w:r>
    </w:p>
    <w:p w14:paraId="3CB1065D" w14:textId="77777777" w:rsidR="00F67DDB" w:rsidRPr="0070080E" w:rsidRDefault="0094076D" w:rsidP="008A16ED">
      <w:pPr>
        <w:pStyle w:val="Compact"/>
      </w:pPr>
      <w:r w:rsidRPr="0070080E">
        <w:rPr>
          <w:noProof/>
        </w:rPr>
        <w:drawing>
          <wp:inline distT="0" distB="0" distL="0" distR="0" wp14:anchorId="3CB10833" wp14:editId="3CB10834">
            <wp:extent cx="5943600" cy="3211871"/>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results/figures/fig_alignment_rates.png"/>
                    <pic:cNvPicPr>
                      <a:picLocks noChangeAspect="1" noChangeArrowheads="1"/>
                    </pic:cNvPicPr>
                  </pic:nvPicPr>
                  <pic:blipFill>
                    <a:blip r:embed="rId356"/>
                    <a:stretch>
                      <a:fillRect/>
                    </a:stretch>
                  </pic:blipFill>
                  <pic:spPr bwMode="auto">
                    <a:xfrm>
                      <a:off x="0" y="0"/>
                      <a:ext cx="5943600" cy="3211871"/>
                    </a:xfrm>
                    <a:prstGeom prst="rect">
                      <a:avLst/>
                    </a:prstGeom>
                    <a:noFill/>
                    <a:ln w="9525">
                      <a:noFill/>
                      <a:headEnd/>
                      <a:tailEnd/>
                    </a:ln>
                  </pic:spPr>
                </pic:pic>
              </a:graphicData>
            </a:graphic>
          </wp:inline>
        </w:drawing>
      </w:r>
    </w:p>
    <w:p w14:paraId="3CB1065E" w14:textId="6328EE6F" w:rsidR="00F67DDB" w:rsidRPr="0070080E" w:rsidRDefault="0094076D" w:rsidP="008A16ED">
      <w:pPr>
        <w:pStyle w:val="BodyText"/>
        <w:ind w:firstLine="0"/>
      </w:pPr>
      <w:r w:rsidRPr="0070080E">
        <w:rPr>
          <w:i/>
          <w:iCs/>
        </w:rPr>
        <w:t>Note.</w:t>
      </w:r>
      <w:r w:rsidRPr="0070080E">
        <w:t xml:space="preserve"> Categories are sorted ascending by alignment rate. The dashed vertical line marks the 0.50 directional consistency threshold; the dotted line marks the overall alignment rate of 0.2618. All categories fall below the threshold, confirming a pervasive contrarian-judgment pattern. Original figure created for this study</w:t>
      </w:r>
      <w:r w:rsidR="00683655">
        <w:t xml:space="preserve"> (2026)</w:t>
      </w:r>
      <w:r w:rsidRPr="0070080E">
        <w:t>.</w:t>
      </w:r>
    </w:p>
    <w:p w14:paraId="3CB1065F" w14:textId="77777777" w:rsidR="00F67DDB" w:rsidRPr="0070080E" w:rsidRDefault="0094076D">
      <w:pPr>
        <w:pStyle w:val="BodyText"/>
      </w:pPr>
      <w:r w:rsidRPr="0070080E">
        <w:t xml:space="preserve">An alignment rate above 0.50 indicates that respondents’ risk-stance direction is more often consistent with the implied sentiment direction than not. Rates substantially below 0.50 would suggest systematic contrarian reactions or misalignment between the shock characterization and respondent interpretation. The observed overall alignment rate of 0.2618 falls substantially below this threshold across all sentiment categories, with the lowest rate recorded for Strongly Negative-sentiment events (0.0667). This pattern is consistent with managers exercising contrarian judgment, treating confirmed negative news as a buying opportunity at reduced valuations, rather than mechanically following the directional signal. The finding aligns with the positive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Pr="0070080E">
        <w:t xml:space="preserve"> coefficient in Spec 3 and collectively suggests that respondents in this sample engage in category-level contextual reasoning rather than sentiment-anchored decision-making.</w:t>
      </w:r>
    </w:p>
    <w:p w14:paraId="3CB10660" w14:textId="77777777" w:rsidR="00F67DDB" w:rsidRPr="0070080E" w:rsidRDefault="0094076D">
      <w:pPr>
        <w:pStyle w:val="Heading3"/>
      </w:pPr>
      <w:bookmarkStart w:id="163" w:name="incremental-effect-of-the-shock-score"/>
      <w:bookmarkEnd w:id="162"/>
      <w:r w:rsidRPr="0070080E">
        <w:t>5.6.2 Incremental Effect of the Shock Score</w:t>
      </w:r>
    </w:p>
    <w:p w14:paraId="3CB10661" w14:textId="77777777" w:rsidR="00F67DDB" w:rsidRPr="0070080E" w:rsidRDefault="0094076D">
      <w:pPr>
        <w:pStyle w:val="FirstParagraph"/>
      </w:pPr>
      <w:r w:rsidRPr="0070080E">
        <w:t>The incremental effect of the Shock Score dashboard (ShowSC) on simulated portfolio outcomes is evaluated through the Option B individual-portfolio regression. The results do not support a statistically significant incremental effect of the Shock Score dashboard on portfolio outcomes in the current sample. Validation on a larger, fully recruited professional sample is the recommended next step. The Option A collective portfolio analysis (descriptive only; non-independence caveat applies) shows a non-positive return differential of -0.4344% for the treatment condition, corresponding to a dollar impact of $-434,400 on an assumed AUM of $100M. The treatment portfolio did not outperform the control portfolio in the descriptive collective analysis. This figure is presented for descriptive illustration and is subject to the non-independence caveat noted in Section 5.5.2.</w:t>
      </w:r>
    </w:p>
    <w:p w14:paraId="3CB10662" w14:textId="77777777" w:rsidR="00F67DDB" w:rsidRPr="0070080E" w:rsidRDefault="0094076D">
      <w:pPr>
        <w:pStyle w:val="Heading2"/>
      </w:pPr>
      <w:bookmarkStart w:id="164" w:name="_Toc231913465"/>
      <w:bookmarkStart w:id="165" w:name="interim-conclusions"/>
      <w:bookmarkEnd w:id="161"/>
      <w:bookmarkEnd w:id="163"/>
      <w:r w:rsidRPr="0070080E">
        <w:t>5.7 Interim Conclusions</w:t>
      </w:r>
      <w:bookmarkEnd w:id="164"/>
    </w:p>
    <w:p w14:paraId="3CB10663" w14:textId="144E8175" w:rsidR="00F67DDB" w:rsidRPr="0070080E" w:rsidRDefault="0094076D">
      <w:pPr>
        <w:pStyle w:val="FirstParagraph"/>
      </w:pPr>
      <w:r w:rsidRPr="0070080E">
        <w:t xml:space="preserve">The interim conclusions for Chapter 5 are as follows. H1,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significantly associated with NRS: </w:t>
      </w:r>
      <w:r w:rsidRPr="0070080E">
        <w:rPr>
          <w:b/>
          <w:bCs/>
        </w:rPr>
        <w:t>the null hypothesis H1₀ was rejected in favor of the alternative H1ₐ</w:t>
      </w:r>
      <w:r w:rsidRPr="0070080E">
        <w:t xml:space="preserve"> (β₁ = -0.4874, p = 0.0015; direction: risk-reducing). H2, that the Shock Score dashboard moderates the </w:t>
      </w:r>
      <w:r w:rsidR="00400BE9">
        <w:t>risk–return</w:t>
      </w:r>
      <w:r w:rsidRPr="0070080E">
        <w:t xml:space="preserve"> profile of simulated portfolios: </w:t>
      </w:r>
      <w:r w:rsidRPr="0070080E">
        <w:rPr>
          <w:b/>
          <w:bCs/>
        </w:rPr>
        <w:t>the null hypothesis H2₀ was not rejected</w:t>
      </w:r>
      <w:r w:rsidRPr="0070080E">
        <w:t xml:space="preserve"> (τ = -0.1584, p = 0.7428) in the Option B individual-portfolio regression. On the secondary Sharpe ratio (</w:t>
      </w:r>
      <w:hyperlink r:id="rId357">
        <w:r w:rsidRPr="0070080E">
          <w:rPr>
            <w:rStyle w:val="Hyperlink"/>
          </w:rPr>
          <w:t>Sharpe, 1966</w:t>
        </w:r>
      </w:hyperlink>
      <w:r w:rsidRPr="0070080E">
        <w:t>) outcome, the treatment effect is directionally positive (τ = 0.8790, p = 0.6050), not reaching statistical significance in the current sample. Both findings are contingent on the current sample composition and are subject to revision upon completion of the full survey. Robustness checks for H1 and the Option A descriptive analysis for H2 are consistent in direction with the primary results.</w:t>
      </w:r>
    </w:p>
    <w:p w14:paraId="3CB10664" w14:textId="77777777" w:rsidR="00F67DDB" w:rsidRPr="0070080E" w:rsidRDefault="0094076D">
      <w:pPr>
        <w:pStyle w:val="Heading2"/>
      </w:pPr>
      <w:bookmarkStart w:id="166" w:name="_Toc231913466"/>
      <w:bookmarkStart w:id="167" w:name="limitations-1"/>
      <w:bookmarkEnd w:id="165"/>
      <w:r w:rsidRPr="0070080E">
        <w:t>5.8 Limitations</w:t>
      </w:r>
      <w:bookmarkEnd w:id="166"/>
    </w:p>
    <w:p w14:paraId="3CB10665" w14:textId="77777777" w:rsidR="00F67DDB" w:rsidRPr="0070080E" w:rsidRDefault="0094076D">
      <w:pPr>
        <w:pStyle w:val="Heading3"/>
      </w:pPr>
      <w:bookmarkStart w:id="168" w:name="joint-conditionality-of-h2-results"/>
      <w:r w:rsidRPr="0070080E">
        <w:t>5.8.1 Joint Conditionality of H2 Results</w:t>
      </w:r>
    </w:p>
    <w:p w14:paraId="3CB10666" w14:textId="77777777" w:rsidR="00F67DDB" w:rsidRPr="0070080E" w:rsidRDefault="0094076D">
      <w:pPr>
        <w:pStyle w:val="FirstParagraph"/>
      </w:pPr>
      <w:r w:rsidRPr="0070080E">
        <w:t xml:space="preserve">Because the H2 portfolio test maps stated Net Risk Stance onto simulated returns, a non-significant portfolio result cannot, on its own, separate a genuine absence of behavioral effect from a simulation that is insensitive to the behavioral signal it is given. This is a caveat on the interpretation of the null obtained here rather than an assumption the test requires in order to run: the design is constructed precisely to detect the dashboard’s role, and if that role were present and large enough, it would register in the simulated outcome. The caveat is partially mitigated by the fact that the dashboard’s effect was also tested directly on the survey response, prior to any simulation: the ShowSC ×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interaction on Net Risk Stance is likewise non-significant (p = 0.9358, Section 6.3). That neither the simulated portfolio outcome nor the underlying decision response moves with dashboard exposure makes a simulation artifact a less likely sole explanation for the null, though it cannot be excluded; a live- or paper-trading replication (Section 6.5) remains the cleaner test and is recommended on that basis.</w:t>
      </w:r>
    </w:p>
    <w:p w14:paraId="3CB10667" w14:textId="77777777" w:rsidR="00F67DDB" w:rsidRPr="0070080E" w:rsidRDefault="0094076D">
      <w:pPr>
        <w:pStyle w:val="Heading3"/>
      </w:pPr>
      <w:bookmarkStart w:id="169" w:name="sample-size-and-statistical-power"/>
      <w:bookmarkEnd w:id="168"/>
      <w:r w:rsidRPr="0070080E">
        <w:t>5.8.2 Sample Size and Statistical Power</w:t>
      </w:r>
    </w:p>
    <w:p w14:paraId="3CB10668" w14:textId="77777777" w:rsidR="00F67DDB" w:rsidRPr="0070080E" w:rsidRDefault="0094076D">
      <w:pPr>
        <w:pStyle w:val="FirstParagraph"/>
      </w:pPr>
      <w:r w:rsidRPr="0070080E">
        <w:t>The study recruited 53 professional equity portfolio managers. Statistical power for H1 is adequate given the repeated-measures structure, but power for the H2 moderation test remains low. The H2 findings should therefore be treated as directionally informative rather than conclusive, and replication on a larger sample is recommended.</w:t>
      </w:r>
    </w:p>
    <w:p w14:paraId="3CB10669" w14:textId="77777777" w:rsidR="00F67DDB" w:rsidRPr="0070080E" w:rsidRDefault="0094076D">
      <w:pPr>
        <w:pStyle w:val="Heading3"/>
      </w:pPr>
      <w:bookmarkStart w:id="170" w:name="instrument-internal-consistency"/>
      <w:bookmarkEnd w:id="169"/>
      <w:r w:rsidRPr="0070080E">
        <w:t>5.8.3 Instrument Internal Consistency</w:t>
      </w:r>
    </w:p>
    <w:p w14:paraId="3CB1066A" w14:textId="65A236AA" w:rsidR="00F67DDB" w:rsidRPr="0070080E" w:rsidRDefault="0094076D">
      <w:pPr>
        <w:pStyle w:val="FirstParagraph"/>
      </w:pPr>
      <w:r w:rsidRPr="0070080E">
        <w:t xml:space="preserve">Inter-rater reliability was assessed using </w:t>
      </w:r>
      <w:proofErr w:type="gramStart"/>
      <w:r w:rsidRPr="0070080E">
        <w:t>ICC(</w:t>
      </w:r>
      <w:proofErr w:type="gramEnd"/>
      <w:r w:rsidRPr="0070080E">
        <w:t>2,1)</w:t>
      </w:r>
      <w:r w:rsidR="000A66AA">
        <w:t>—</w:t>
      </w:r>
      <w:r w:rsidRPr="0070080E">
        <w:t>two-way random effects, single measures, absolute agreement (Koo &amp; Li, 2016). In this context, inter-rater reliability quantifies the extent to which different respondents assign consistent Net Risk Stance responses to the same scenario; the intraclass correlation coefficient (ICC) expresses the share of total response variance attributable to genuine between-scenario differences rather than to disagreement among respondents, so that values approaching 1.0 indicate near-identical rankings of the scenarios across respondents while values near 0 indicate little agreement. All three blocks exceeded the ICC ≥ 0.70 threshold: Block 1 = 0.8425, Block 2 = 0.9026, Block 3 = 0.9369, indicating good to excellent consistency across counterbalancing versions. Instrument reliability is therefore not a limitation of this study.</w:t>
      </w:r>
    </w:p>
    <w:p w14:paraId="3CB1066B" w14:textId="77777777" w:rsidR="00F67DDB" w:rsidRPr="0070080E" w:rsidRDefault="0094076D">
      <w:pPr>
        <w:pStyle w:val="Heading2"/>
      </w:pPr>
      <w:bookmarkStart w:id="171" w:name="_Toc231913467"/>
      <w:bookmarkStart w:id="172" w:name="chapter-conclusion-3"/>
      <w:bookmarkEnd w:id="167"/>
      <w:bookmarkEnd w:id="170"/>
      <w:r w:rsidRPr="0070080E">
        <w:t>5.9 Chapter Conclusion</w:t>
      </w:r>
      <w:bookmarkEnd w:id="171"/>
    </w:p>
    <w:p w14:paraId="3CB1066C" w14:textId="77777777" w:rsidR="00F67DDB" w:rsidRPr="0070080E" w:rsidRDefault="0094076D">
      <w:pPr>
        <w:pStyle w:val="FirstParagraph"/>
      </w:pPr>
      <w:r w:rsidRPr="0070080E">
        <w:t xml:space="preserve">Chapter 5 has presented the empirical results of the within-subject survey experiment designed to examine the influence of external information shocks on equity portfolio manager decision-making and the moderating effect of the Shock Score decision-support tool. Descriptive statistics characterize the achieved sample and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distribution across the twenty-four scenarios. Because the dependent variable is ordinal and the regression residuals are statistically non-normal (Section 5.4), inference relies on the asymptotic normality of the estimator with two-way cluster-robust standard errors rather than on exact small-sample parametric assumptions. Support for the alternative hypothesis H1ₐ was found; the null hypothesis H2₀ was not rejected, both evaluated at the α = 0.05 significance level. Chapter 6 synthesizes these findings w</w:t>
      </w:r>
      <w:proofErr w:type="spellStart"/>
      <w:r w:rsidRPr="0070080E">
        <w:t>ithin</w:t>
      </w:r>
      <w:proofErr w:type="spellEnd"/>
      <w:r w:rsidRPr="0070080E">
        <w:t xml:space="preserve"> the broader research context and develops recommendations for practice.</w:t>
      </w:r>
    </w:p>
    <w:p w14:paraId="3CB1066D" w14:textId="77777777" w:rsidR="00F67DDB" w:rsidRPr="0070080E" w:rsidRDefault="0094076D">
      <w:pPr>
        <w:pStyle w:val="Heading1"/>
      </w:pPr>
      <w:bookmarkStart w:id="173" w:name="_Toc231913468"/>
      <w:bookmarkStart w:id="174" w:name="X4f0b4725e6a327e833e7eb26d6f361e0e5cba93"/>
      <w:bookmarkEnd w:id="144"/>
      <w:bookmarkEnd w:id="172"/>
      <w:r w:rsidRPr="0070080E">
        <w:t>Chapter 6. Conclusions and Recommendations</w:t>
      </w:r>
      <w:bookmarkEnd w:id="173"/>
    </w:p>
    <w:p w14:paraId="3CB1066E" w14:textId="77777777" w:rsidR="00F67DDB" w:rsidRPr="0070080E" w:rsidRDefault="0094076D">
      <w:pPr>
        <w:pStyle w:val="Heading2"/>
      </w:pPr>
      <w:bookmarkStart w:id="175" w:name="_Toc231913469"/>
      <w:bookmarkStart w:id="176" w:name="chapter-introduction-3"/>
      <w:r w:rsidRPr="0070080E">
        <w:t>6.1 Chapter Introduction</w:t>
      </w:r>
      <w:bookmarkEnd w:id="175"/>
    </w:p>
    <w:p w14:paraId="3CB1066F" w14:textId="77777777" w:rsidR="00F67DDB" w:rsidRPr="0070080E" w:rsidRDefault="0094076D">
      <w:pPr>
        <w:pStyle w:val="FirstParagraph"/>
      </w:pPr>
      <w:r w:rsidRPr="0070080E">
        <w:t>This chapter draws together the conclusions of the empirical study and translates them into recommendations, reflections, and broader implications. Building on the literature reviewed in Chapter 3 and the analytical results presented in Chapter 5, the chapter restates the central research questions and hypotheses, summarizes what the secondary and primary research jointly suggest, and locates the contribution of the study within the wider field of behavioral finance and decision support.</w:t>
      </w:r>
    </w:p>
    <w:p w14:paraId="3CB10670" w14:textId="77777777" w:rsidR="00F67DDB" w:rsidRPr="0070080E" w:rsidRDefault="0094076D">
      <w:pPr>
        <w:pStyle w:val="BodyText"/>
      </w:pPr>
      <w:r w:rsidRPr="0070080E">
        <w:t>Section 6.2 connects the findings from both the literature review and the empirical analysis. Section 6.3 states the overall conclusions of the study. Section 6.4 presents practical recommendations for portfolio managers and for risk governance practitioners. Section 6.5 identifies areas for further research that emerged during the course of the work. Section 6.6 records lessons learned during the research and writing process. Section 6.7 addresses the ethical considerations raised by the findings, including the responsible use of algorithmic decision support and the risk of automation bias. Section 6.8 discusses the relevance of the study to the United Nations Sustainable Development Goals. Section 6.9 concludes the chapter and the thesis.</w:t>
      </w:r>
    </w:p>
    <w:p w14:paraId="3CB10671" w14:textId="77777777" w:rsidR="00F67DDB" w:rsidRPr="0070080E" w:rsidRDefault="0094076D">
      <w:pPr>
        <w:pStyle w:val="Heading2"/>
      </w:pPr>
      <w:bookmarkStart w:id="177" w:name="_Toc231913470"/>
      <w:bookmarkStart w:id="178" w:name="summary-of-findings"/>
      <w:bookmarkEnd w:id="176"/>
      <w:r w:rsidRPr="0070080E">
        <w:t>6.2 Summary of Findings</w:t>
      </w:r>
      <w:bookmarkEnd w:id="177"/>
    </w:p>
    <w:p w14:paraId="3CB10672" w14:textId="77777777" w:rsidR="00F67DDB" w:rsidRPr="0070080E" w:rsidRDefault="0094076D">
      <w:pPr>
        <w:pStyle w:val="Heading3"/>
      </w:pPr>
      <w:bookmarkStart w:id="179" w:name="summary-of-secondary-research"/>
      <w:r w:rsidRPr="0070080E">
        <w:t>6.2.1 Summary of Secondary Research</w:t>
      </w:r>
    </w:p>
    <w:p w14:paraId="3CB10673" w14:textId="0B43E937" w:rsidR="00F67DDB" w:rsidRPr="0070080E" w:rsidRDefault="0094076D">
      <w:pPr>
        <w:pStyle w:val="FirstParagraph"/>
      </w:pPr>
      <w:r w:rsidRPr="0070080E">
        <w:t>The literature review (Chapter 3) establishes three thematic streams. First, behavioral biases</w:t>
      </w:r>
      <w:r w:rsidR="000A66AA">
        <w:t>—</w:t>
      </w:r>
      <w:r w:rsidRPr="0070080E">
        <w:t>overconfidence, loss aversion, the disposition effect, attention-driven extrapolation, and herding</w:t>
      </w:r>
      <w:r w:rsidR="000A66AA">
        <w:t>—</w:t>
      </w:r>
      <w:r w:rsidRPr="0070080E">
        <w:t>systematically distort investment decisions under high informational and emotional load (</w:t>
      </w:r>
      <w:hyperlink r:id="rId358">
        <w:r w:rsidRPr="0070080E">
          <w:rPr>
            <w:rStyle w:val="Hyperlink"/>
          </w:rPr>
          <w:t>Barberis &amp; Thaler, 2002</w:t>
        </w:r>
      </w:hyperlink>
      <w:r w:rsidRPr="0070080E">
        <w:t xml:space="preserve">; </w:t>
      </w:r>
      <w:hyperlink r:id="rId359">
        <w:r w:rsidRPr="0070080E">
          <w:rPr>
            <w:rStyle w:val="Hyperlink"/>
          </w:rPr>
          <w:t>Tversky &amp; Kahneman, 1974</w:t>
        </w:r>
      </w:hyperlink>
      <w:r w:rsidRPr="0070080E">
        <w:t xml:space="preserve">; </w:t>
      </w:r>
      <w:hyperlink r:id="rId360">
        <w:r w:rsidRPr="0070080E">
          <w:rPr>
            <w:rStyle w:val="Hyperlink"/>
          </w:rPr>
          <w:t>Hirshleifer, 2015</w:t>
        </w:r>
      </w:hyperlink>
      <w:r w:rsidRPr="0070080E">
        <w:t>). Second, these biases persist among experienced professionals, who respond procyclically to volatility shocks and exhibit situational risk preferences that depart from stated investment policy (</w:t>
      </w:r>
      <w:hyperlink r:id="rId361">
        <w:r w:rsidRPr="0070080E">
          <w:rPr>
            <w:rStyle w:val="Hyperlink"/>
          </w:rPr>
          <w:t>Huber et al., 2021</w:t>
        </w:r>
      </w:hyperlink>
      <w:r w:rsidRPr="0070080E">
        <w:t xml:space="preserve">; </w:t>
      </w:r>
      <w:hyperlink r:id="rId362">
        <w:r w:rsidRPr="0070080E">
          <w:rPr>
            <w:rStyle w:val="Hyperlink"/>
          </w:rPr>
          <w:t>Ben-David et al., 2013</w:t>
        </w:r>
      </w:hyperlink>
      <w:r w:rsidRPr="0070080E">
        <w:t xml:space="preserve">; </w:t>
      </w:r>
      <w:hyperlink r:id="rId363">
        <w:r w:rsidRPr="0070080E">
          <w:rPr>
            <w:rStyle w:val="Hyperlink"/>
          </w:rPr>
          <w:t>March &amp; Shapira, 1987</w:t>
        </w:r>
      </w:hyperlink>
      <w:r w:rsidRPr="0070080E">
        <w:t>). Third, decision-support tools have been developed to mitigate behavioral bias at the point of decision: rule-based pre-commitment protocols, AI-driven advisory systems, and behavioral metrics derived from news and market data (</w:t>
      </w:r>
      <w:hyperlink r:id="rId364">
        <w:r w:rsidRPr="0070080E">
          <w:rPr>
            <w:rStyle w:val="Hyperlink"/>
          </w:rPr>
          <w:t>Statman, 2019</w:t>
        </w:r>
      </w:hyperlink>
      <w:r w:rsidRPr="0070080E">
        <w:t xml:space="preserve">; </w:t>
      </w:r>
      <w:hyperlink r:id="rId365">
        <w:r w:rsidRPr="0070080E">
          <w:rPr>
            <w:rStyle w:val="Hyperlink"/>
          </w:rPr>
          <w:t>Henderson et al., 2018</w:t>
        </w:r>
      </w:hyperlink>
      <w:r w:rsidRPr="0070080E">
        <w:t xml:space="preserve">; </w:t>
      </w:r>
      <w:hyperlink r:id="rId366">
        <w:r w:rsidR="00095317" w:rsidRPr="00095317">
          <w:rPr>
            <w:rStyle w:val="Hyperlink"/>
          </w:rPr>
          <w:t>Bianchi &amp; Briere</w:t>
        </w:r>
        <w:r w:rsidRPr="0070080E">
          <w:rPr>
            <w:rStyle w:val="Hyperlink"/>
          </w:rPr>
          <w:t>, 202</w:t>
        </w:r>
        <w:r w:rsidR="00095317">
          <w:rPr>
            <w:rStyle w:val="Hyperlink"/>
          </w:rPr>
          <w:t>1</w:t>
        </w:r>
      </w:hyperlink>
      <w:r w:rsidRPr="0070080E">
        <w:t xml:space="preserve">; </w:t>
      </w:r>
      <w:hyperlink r:id="rId367">
        <w:r w:rsidRPr="0070080E">
          <w:rPr>
            <w:rStyle w:val="Hyperlink"/>
          </w:rPr>
          <w:t>Lim, 2026</w:t>
        </w:r>
      </w:hyperlink>
      <w:r w:rsidRPr="0070080E">
        <w:t xml:space="preserve">; </w:t>
      </w:r>
      <w:hyperlink r:id="rId368">
        <w:r w:rsidRPr="0070080E">
          <w:rPr>
            <w:rStyle w:val="Hyperlink"/>
          </w:rPr>
          <w:t>Tetlock, 2007</w:t>
        </w:r>
      </w:hyperlink>
      <w:r w:rsidRPr="0070080E">
        <w:t xml:space="preserve">; </w:t>
      </w:r>
      <w:hyperlink r:id="rId369">
        <w:r w:rsidRPr="0070080E">
          <w:rPr>
            <w:rStyle w:val="Hyperlink"/>
          </w:rPr>
          <w:t>Da et al., 2011</w:t>
        </w:r>
      </w:hyperlink>
      <w:r w:rsidRPr="0070080E">
        <w:t>).</w:t>
      </w:r>
    </w:p>
    <w:p w14:paraId="3CB10674" w14:textId="24FB17D0" w:rsidR="00F67DDB" w:rsidRPr="0070080E" w:rsidRDefault="0094076D">
      <w:pPr>
        <w:pStyle w:val="BodyText"/>
      </w:pPr>
      <w:r w:rsidRPr="0070080E">
        <w:t xml:space="preserve">The </w:t>
      </w:r>
      <w:r w:rsidR="00C07229" w:rsidRPr="0070080E">
        <w:t xml:space="preserve">considered </w:t>
      </w:r>
      <w:r w:rsidRPr="0070080E">
        <w:t>literature converges on a clear gap: no published instrument combines a real-time, ex-ante composite measure of information-shock intensity with an explicit, point-of-decision intervention for individual portfolio managers. The Shock Score is built to fill exactly this gap, drawing its inputs from the same literature</w:t>
      </w:r>
      <w:r w:rsidR="000A66AA">
        <w:t>—</w:t>
      </w:r>
      <w:r w:rsidRPr="0070080E">
        <w:t>30-minute intraday price bars (Interactive Brokers), headline news (Benzinga), and FinBERT-derived sentiment scores</w:t>
      </w:r>
      <w:r w:rsidR="000A66AA">
        <w:t>—</w:t>
      </w:r>
      <w:r w:rsidRPr="0070080E">
        <w:t>operationalized into the four observable components of the composite measure.</w:t>
      </w:r>
    </w:p>
    <w:p w14:paraId="3CB10675" w14:textId="4678786A" w:rsidR="00F67DDB" w:rsidRPr="0070080E" w:rsidRDefault="0094076D">
      <w:pPr>
        <w:pStyle w:val="BodyText"/>
      </w:pPr>
      <w:r w:rsidRPr="0070080E">
        <w:t>Read against the primary findings, these streams are not merely background. The first anticipates the H1 result: the risk-reducing association between shock intensity and Net Risk Stance is exactly the kind of systematic, emotion-laden response to salient information that the behavioral literature predicts, here observed in a professional sample and captured by a single composite measure. The second, the persistence of bias among experienced professionals, anticipates the H2 null: managers who hold situational risk preferences departing from stated policy may equally retain the discretion to discount a structured signal. The third locates the contribution: the gap it identifies</w:t>
      </w:r>
      <w:r w:rsidR="000A66AA">
        <w:t>—</w:t>
      </w:r>
      <w:r w:rsidRPr="0070080E">
        <w:t>an ex-ante, real-time composite of shock intensity tied to a point-of-decision intervention</w:t>
      </w:r>
      <w:r w:rsidR="000A66AA">
        <w:t>—</w:t>
      </w:r>
      <w:r w:rsidRPr="0070080E">
        <w:t>is the gap this thesis operationalizes and tests, rather than one it restates.</w:t>
      </w:r>
    </w:p>
    <w:p w14:paraId="3CB10676" w14:textId="77777777" w:rsidR="00F67DDB" w:rsidRPr="0070080E" w:rsidRDefault="0094076D">
      <w:pPr>
        <w:pStyle w:val="Heading3"/>
      </w:pPr>
      <w:bookmarkStart w:id="180" w:name="summary-of-primary-research"/>
      <w:bookmarkEnd w:id="179"/>
      <w:r w:rsidRPr="0070080E">
        <w:t>6.2.2 Summary of Primary Research</w:t>
      </w:r>
    </w:p>
    <w:p w14:paraId="3CB10677" w14:textId="4547398D" w:rsidR="00F67DDB" w:rsidRPr="0070080E" w:rsidRDefault="0094076D">
      <w:pPr>
        <w:pStyle w:val="FirstParagraph"/>
      </w:pPr>
      <w:r w:rsidRPr="0070080E">
        <w:t xml:space="preserve">The primary research contributes empirical evidence on two hypotheses. H1 posits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000A66AA">
        <w:t>—</w:t>
      </w:r>
      <w:r w:rsidRPr="0070080E">
        <w:t>a PCA-based composite of article count, sentiment extremity, attention intensity, and event-type severity</w:t>
      </w:r>
      <w:r w:rsidR="000A66AA">
        <w:t>—</w:t>
      </w:r>
      <w:r w:rsidRPr="0070080E">
        <w:t>is a statistically significant predictor of portfolio managers’ Net Risk Stance. The evidence supports this hypothesis: the null is rejected in favor of the alternative (β₁ = -0.4874, p = 0.0015). In practical terms, each one-unit increase in the Shock Score is associated with roughly a half-point reduction in Net Risk Stance on the seven-point scale</w:t>
      </w:r>
      <w:r w:rsidR="000A66AA">
        <w:t>—</w:t>
      </w:r>
      <w:r w:rsidRPr="0070080E">
        <w:t>a shift toward reducing exposure</w:t>
      </w:r>
      <w:r w:rsidR="000A66AA">
        <w:t>—</w:t>
      </w:r>
      <w:r w:rsidRPr="0070080E">
        <w:t xml:space="preserve">and, because the score is computed from observable data before the manager acts, a manager’s likely risk response can be anticipated from the measured shock intensity alone. H2 posits that exposure to the Shock Score dashboard improves the </w:t>
      </w:r>
      <w:r w:rsidR="00400BE9">
        <w:t>risk–return</w:t>
      </w:r>
      <w:r w:rsidRPr="0070080E">
        <w:t xml:space="preserve"> profile of simulated portfolios. The Option B individual-portfolio regression does not support this hypothesis at the α = 0.05 level. These findings are based on 53 respondents (424 observations).</w:t>
      </w:r>
    </w:p>
    <w:p w14:paraId="3CB10678" w14:textId="77777777" w:rsidR="00F67DDB" w:rsidRPr="0070080E" w:rsidRDefault="0094076D">
      <w:pPr>
        <w:pStyle w:val="Heading2"/>
      </w:pPr>
      <w:bookmarkStart w:id="181" w:name="_Toc231913471"/>
      <w:bookmarkStart w:id="182" w:name="overall-conclusions"/>
      <w:bookmarkEnd w:id="178"/>
      <w:bookmarkEnd w:id="180"/>
      <w:r w:rsidRPr="0070080E">
        <w:t>6.3 Overall Conclusions</w:t>
      </w:r>
      <w:bookmarkEnd w:id="181"/>
    </w:p>
    <w:p w14:paraId="3CB10679" w14:textId="462F207D" w:rsidR="00F67DDB" w:rsidRPr="0070080E" w:rsidRDefault="0094076D">
      <w:pPr>
        <w:pStyle w:val="FirstParagraph"/>
      </w:pPr>
      <w:r w:rsidRPr="0070080E">
        <w:t>The study’s central, robust conclusion concerns measurement. The intensity of an external information shock, captured by the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is a statistically significant predictor of how professional managers adjust risk: higher intensity is associated with a risk-reducing shift in Net Risk Stance (β₁ = -0.4874, p = 0.0015). The practical value of this result lies in its direction of inference. The Shock Score is built from observable market and news data and is independent of the manager’s response; it does not act on the decision, but anticipates it. Knowing the measured intensity of a shock, one can predict how a typical manager is likely to interpret the event and lean on risk</w:t>
      </w:r>
      <w:r w:rsidR="000A66AA">
        <w:t>—</w:t>
      </w:r>
      <w:r w:rsidRPr="0070080E">
        <w:t>a capability with direct application to risk oversight and pre-trade monitoring. The risk-reducing direction is consistent with situational risk aversion under stress, documented in Chapter 3 among experienced professionals (</w:t>
      </w:r>
      <w:hyperlink r:id="rId370">
        <w:r w:rsidRPr="0070080E">
          <w:rPr>
            <w:rStyle w:val="Hyperlink"/>
          </w:rPr>
          <w:t>Huber et al., 2021</w:t>
        </w:r>
      </w:hyperlink>
      <w:r w:rsidRPr="0070080E">
        <w:t xml:space="preserve">; </w:t>
      </w:r>
      <w:hyperlink r:id="rId371">
        <w:r w:rsidRPr="0070080E">
          <w:rPr>
            <w:rStyle w:val="Hyperlink"/>
          </w:rPr>
          <w:t>March &amp; Shapira, 1987</w:t>
        </w:r>
      </w:hyperlink>
      <w:r w:rsidRPr="0070080E">
        <w:t>): facing an intense shock, managers tend to de-risk</w:t>
      </w:r>
      <w:r w:rsidR="000A66AA">
        <w:t>—</w:t>
      </w:r>
      <w:r w:rsidRPr="0070080E">
        <w:t>even when the news is favorable</w:t>
      </w:r>
      <w:r w:rsidR="000A66AA">
        <w:t>—</w:t>
      </w:r>
      <w:r w:rsidRPr="0070080E">
        <w:t>rather than to overreact in the direction of the news.</w:t>
      </w:r>
    </w:p>
    <w:p w14:paraId="3CB1067A" w14:textId="64482724" w:rsidR="00F67DDB" w:rsidRPr="0070080E" w:rsidRDefault="0094076D">
      <w:pPr>
        <w:pStyle w:val="BodyText"/>
      </w:pPr>
      <w:r w:rsidRPr="0070080E">
        <w:t>The composite, however, conceals meaningful structure, and decomposing it is itself a contribution. The four components do not act uniformly on Net Risk Stance (Section 5.5.1, Figure 5.7). Sentiment extremity (β = -1.2904) and attention intensity (β = -0.5668) carry the risk-reducing effect: the more extreme the sentiment and the more abnormal the trading attention, the more managers pull back. Event-type severity enters with the opposite sign (β = +0.3102): when managers recognize an event as belonging to a familiar high-severity category, such as scheduled earnings, they appear to treat the move as already anticipated and lean slightly toward risk. Article count has no significant effect. The practical lesson is that not all shock signals carry the same meaning</w:t>
      </w:r>
      <w:r w:rsidR="000A66AA">
        <w:t>—</w:t>
      </w:r>
      <w:r w:rsidRPr="0070080E">
        <w:t>sentiment and attention drive caution, whereas event severity and news volume do not</w:t>
      </w:r>
      <w:r w:rsidR="000A66AA">
        <w:t>—</w:t>
      </w:r>
      <w:r w:rsidRPr="0070080E">
        <w:t>and a decision aid should weight them accordingly.</w:t>
      </w:r>
    </w:p>
    <w:p w14:paraId="3CB1067B" w14:textId="02383091" w:rsidR="00F67DDB" w:rsidRPr="0070080E" w:rsidRDefault="0094076D">
      <w:pPr>
        <w:pStyle w:val="BodyText"/>
      </w:pPr>
      <w:r w:rsidRPr="0070080E">
        <w:t>The dashboard, by contrast, showed no measurable value, and the null is not confined to the portfolio metric. Showing the dashboard barely moved decisions: the treatment indicator (ShowSC) has a main effect on Net Risk Stance of just β₂ = -0.0787</w:t>
      </w:r>
      <w:r w:rsidR="000A66AA">
        <w:t>—</w:t>
      </w:r>
      <w:r w:rsidRPr="0070080E">
        <w:t>about one-sixteenth of a scale point</w:t>
      </w:r>
      <w:r w:rsidR="000A66AA">
        <w:t>—</w:t>
      </w:r>
      <w:r w:rsidRPr="0070080E">
        <w:t>and is statistically indistinguishable from zero (p = 0.4994; Table 5.7), as it is in interaction with shock intensity (p = 0.9358), both measured directly on the survey response before any simulation, as well as on the simulated portfolio outcome (p = 0.7428). The dashboard thus produced no detectable change in behavior at any level of the analysis. This result is treated not as a failure of the instrument to be explained away, but as an informative null that the thesis foregrounds and interprets within the literature reviewed in Chapter 3.</w:t>
      </w:r>
    </w:p>
    <w:p w14:paraId="3CB1067C" w14:textId="77777777" w:rsidR="00F67DDB" w:rsidRPr="0070080E" w:rsidRDefault="0094076D">
      <w:pPr>
        <w:pStyle w:val="BodyText"/>
      </w:pPr>
      <w:r w:rsidRPr="0070080E">
        <w:t>Two considerations bound this interpretation. First, statistical power for the treatment contrast is limited (Section 5.8.2): with eight scenarios per block and a realized sample of 53 respondents, the H2 test is sensitive only to large effects, so the absence of a detected effect cannot itself be read as evidence that no effect exists. Second, the portfolio outcome is jointly conditional on the behavioral effect and on the adequacy of the simulation that translates stated Net Risk Stance into returns (Section 5.8.1). Within these bounds, the defensible claim is the conservative one: no behavioral value of the dashboard was demonstrated in the present sample.</w:t>
      </w:r>
    </w:p>
    <w:p w14:paraId="3CB1067D" w14:textId="6DDA6D54" w:rsidR="00F67DDB" w:rsidRPr="0070080E" w:rsidRDefault="0094076D">
      <w:pPr>
        <w:pStyle w:val="BodyText"/>
      </w:pPr>
      <w:r w:rsidRPr="0070080E">
        <w:t>To the extent that the null reflects a genuine absence of response rather than insufficient power, it is consistent with a well-documented reluctance among sophisticated decision-makers to defer to structured external signals</w:t>
      </w:r>
      <w:r w:rsidR="000A66AA">
        <w:t>—</w:t>
      </w:r>
      <w:r w:rsidRPr="0070080E">
        <w:t>the algorithm aversion and advice-discounting introduced in Section 3.4.2 (</w:t>
      </w:r>
      <w:hyperlink r:id="rId372">
        <w:r w:rsidRPr="0070080E">
          <w:rPr>
            <w:rStyle w:val="Hyperlink"/>
          </w:rPr>
          <w:t>Dietvorst et al., 2015</w:t>
        </w:r>
      </w:hyperlink>
      <w:r w:rsidRPr="0070080E">
        <w:t xml:space="preserve">; </w:t>
      </w:r>
      <w:hyperlink r:id="rId373">
        <w:r w:rsidRPr="0070080E">
          <w:rPr>
            <w:rStyle w:val="Hyperlink"/>
          </w:rPr>
          <w:t>Angelova et al., 2023</w:t>
        </w:r>
      </w:hyperlink>
      <w:r w:rsidRPr="0070080E">
        <w:t>)</w:t>
      </w:r>
      <w:r w:rsidR="000A66AA">
        <w:t>—</w:t>
      </w:r>
      <w:r w:rsidRPr="0070080E">
        <w:t>reinforced by the persistence of behavioral bias among experienced professionals documented in Section 3.3 (</w:t>
      </w:r>
      <w:hyperlink r:id="rId374">
        <w:r w:rsidRPr="0070080E">
          <w:rPr>
            <w:rStyle w:val="Hyperlink"/>
          </w:rPr>
          <w:t>Azimi, 2019</w:t>
        </w:r>
      </w:hyperlink>
      <w:r w:rsidRPr="0070080E">
        <w:t xml:space="preserve">; </w:t>
      </w:r>
      <w:hyperlink r:id="rId375">
        <w:r w:rsidRPr="0070080E">
          <w:rPr>
            <w:rStyle w:val="Hyperlink"/>
          </w:rPr>
          <w:t>Huber et al., 2021</w:t>
        </w:r>
      </w:hyperlink>
      <w:r w:rsidRPr="0070080E">
        <w:t>). On this reading, a more structured signal is not, by itself, sufficient to displace the entrenched judgment of expert users. This interpretation is offered as one plausible account rather than an established mechanism</w:t>
      </w:r>
      <w:r w:rsidR="000A66AA">
        <w:t>—</w:t>
      </w:r>
      <w:r w:rsidRPr="0070080E">
        <w:t>the present design cannot separate it from the power and simulation considerations above</w:t>
      </w:r>
      <w:r w:rsidR="000A66AA">
        <w:t>—</w:t>
      </w:r>
      <w:r w:rsidRPr="0070080E">
        <w:t>but its implication for the thesis framework is substantive: structured behavioral decision support is not automatically effective for sophisticated users, and the conditions under which such users come to rely on, rather than discount, a decision aid are themselves a matter for design and for the further research set out in Section 6.5.</w:t>
      </w:r>
    </w:p>
    <w:p w14:paraId="3CB1067E" w14:textId="77777777" w:rsidR="00F67DDB" w:rsidRPr="0070080E" w:rsidRDefault="0094076D">
      <w:pPr>
        <w:pStyle w:val="Heading3"/>
      </w:pPr>
      <w:bookmarkStart w:id="183" w:name="Xe187c7020d97d3d14c9cd6c889dfbef53010dc3"/>
      <w:r w:rsidRPr="0070080E">
        <w:t>6.3.1 Theoretical and Methodological Contributions</w:t>
      </w:r>
    </w:p>
    <w:p w14:paraId="3CB1067F" w14:textId="311267A8" w:rsidR="00F67DDB" w:rsidRPr="0070080E" w:rsidRDefault="0094076D">
      <w:pPr>
        <w:pStyle w:val="FirstParagraph"/>
      </w:pPr>
      <w:r w:rsidRPr="0070080E">
        <w:t>The contributions of this thesis can be grouped along five dimensions. First, and most centrally, the thesis introduces the Shock Score as a novel composite metric that quantifies the intensity of an information shock</w:t>
      </w:r>
      <w:r w:rsidR="000A66AA">
        <w:t>—</w:t>
      </w:r>
      <w:r w:rsidRPr="0070080E">
        <w:t>a single piece of news together with the market’s immediate price reaction to it. The measure is defined at the level of the shock, not the stock: it scores an event, which makes the approach portable, in principle, to other settings where a discrete piece of information meets a measurable reaction. The Shock Score is not a restatement of the established finding that managers make biased decisions under stress; the contribution is the metric itself</w:t>
      </w:r>
      <w:r w:rsidR="000A66AA">
        <w:t>—</w:t>
      </w:r>
      <w:r w:rsidRPr="0070080E">
        <w:t>a PCA-based composite of four observable news and market components that yields a single, standardized, ex-ante signal of shock intensity. The H1 result provides direct evidence of construct validity: the Shock Score systematically predicts Net Risk Stance across professional respondents and scenarios, showing that the composite captures something real and systematic in the shock–decision relationship. The novelty is therefore not the behavioral phenomenon, which is established, but the operationalization: a quantitative instrument that makes shock intensity machine-readable and actionable before the decision is made.</w:t>
      </w:r>
    </w:p>
    <w:p w14:paraId="3CB10680" w14:textId="77777777" w:rsidR="00F67DDB" w:rsidRPr="0070080E" w:rsidRDefault="0094076D">
      <w:pPr>
        <w:pStyle w:val="BodyText"/>
      </w:pPr>
      <w:r w:rsidRPr="0070080E">
        <w:t>Second, the thesis introduces a methodology that combines market information (news events and sentiment indicators) with behavioral parameters (bias triggers and stress factors). Within the literature reviewed in Chapter 3, this combination of data-driven analytics and psychological modeling has not been implemented in a single instrument. In contrast to static factor models, the Shock Score uses dynamic event-level inputs to generate forward-looking risk assessments at the level of individual managers.</w:t>
      </w:r>
    </w:p>
    <w:p w14:paraId="3CB10681" w14:textId="77777777" w:rsidR="00F67DDB" w:rsidRPr="0070080E" w:rsidRDefault="0094076D">
      <w:pPr>
        <w:pStyle w:val="BodyText"/>
      </w:pPr>
      <w:r w:rsidRPr="0070080E">
        <w:t>Third, by explicitly designing the Shock Score for ex-ante decision support, the work addresses a gap in the empirical literature reviewed in Chapter 3. It offers a mechanism for anticipating and mitigating biases before they affect portfolio decisions, directly engaging limitations identified in the decision-support literature: namely, that prevailing systems emphasize quantitative analysis and offer limited proactive bias alerts.</w:t>
      </w:r>
    </w:p>
    <w:p w14:paraId="3CB10682" w14:textId="77777777" w:rsidR="00F67DDB" w:rsidRPr="0070080E" w:rsidRDefault="0094076D">
      <w:pPr>
        <w:pStyle w:val="BodyText"/>
      </w:pPr>
      <w:r w:rsidRPr="0070080E">
        <w:t>Fourth, the contributions emphasize realistic professional context. The Shock Score is intended for trained portfolio managers and risk officers rather than student subjects, reflecting established evidence that professional decision-makers exhibit behavioral responses distinct from those of non-professionals. The framework can be calibrated to professional users through empirical studies or surveys, which supports external validity and incorporates decision-maker psychology alongside market outcomes.</w:t>
      </w:r>
    </w:p>
    <w:p w14:paraId="3CB10683" w14:textId="7D181A59" w:rsidR="00F67DDB" w:rsidRPr="0070080E" w:rsidRDefault="0094076D">
      <w:pPr>
        <w:pStyle w:val="BodyText"/>
      </w:pPr>
      <w:r w:rsidRPr="0070080E">
        <w:t>Fifth, on a theoretical level, the work extends the financial decision-making framework by adding a behavioral risk factor to traditional mean–variance portfolio models (</w:t>
      </w:r>
      <w:hyperlink r:id="rId376">
        <w:r w:rsidRPr="0070080E">
          <w:rPr>
            <w:rStyle w:val="Hyperlink"/>
          </w:rPr>
          <w:t>Markowitz, 1952</w:t>
        </w:r>
      </w:hyperlink>
      <w:r w:rsidRPr="0070080E">
        <w:t xml:space="preserve">). Empirically, it suggests new ways to test behavioral theories using real-time events; applying the Shock Score in experiments or simulations can yield data on how specific biases, such as anchoring on recent data, propagate into portfolio choices. These contributions enrich both academic </w:t>
      </w:r>
      <w:r w:rsidR="003E2282" w:rsidRPr="0070080E">
        <w:t>theories</w:t>
      </w:r>
      <w:r w:rsidRPr="0070080E">
        <w:t>, by formalizing bias-driven risk modeling, and applied finance, by providing a prototype for a new generation of decision-support tools.</w:t>
      </w:r>
    </w:p>
    <w:p w14:paraId="3CB10684" w14:textId="77777777" w:rsidR="00F67DDB" w:rsidRPr="0070080E" w:rsidRDefault="0094076D">
      <w:pPr>
        <w:pStyle w:val="BodyText"/>
      </w:pPr>
      <w:r w:rsidRPr="0070080E">
        <w:t>Taken together, these contributions are original to this thesis. By integrating psychology with quantitative finance and constructing an anticipatory risk indicator, the Shock Score advances the literature on decision-making under uncertainty and illustrates how behavioral finance can move from explanation toward operational support for practitioners.</w:t>
      </w:r>
    </w:p>
    <w:p w14:paraId="3CB10685" w14:textId="77777777" w:rsidR="00F67DDB" w:rsidRPr="0070080E" w:rsidRDefault="0094076D">
      <w:pPr>
        <w:pStyle w:val="Heading2"/>
      </w:pPr>
      <w:bookmarkStart w:id="184" w:name="_Toc231913472"/>
      <w:bookmarkStart w:id="185" w:name="recommendations"/>
      <w:bookmarkEnd w:id="182"/>
      <w:bookmarkEnd w:id="183"/>
      <w:r w:rsidRPr="0070080E">
        <w:t>6.4 Recommendations</w:t>
      </w:r>
      <w:bookmarkEnd w:id="184"/>
    </w:p>
    <w:p w14:paraId="3CB10686" w14:textId="77777777" w:rsidR="00F67DDB" w:rsidRPr="0070080E" w:rsidRDefault="0094076D">
      <w:pPr>
        <w:pStyle w:val="FirstParagraph"/>
      </w:pPr>
      <w:r w:rsidRPr="0070080E">
        <w:rPr>
          <w:b/>
          <w:bCs/>
        </w:rPr>
        <w:t>For individual portfolio managers.</w:t>
      </w:r>
      <w:r w:rsidRPr="0070080E">
        <w:t xml:space="preserve"> The H1 result provides a direct, quantified basis for one practical claim: information shock intensity is systematically associated with a risk-reducing shift in stance (β₁ = -0.4874, p = 0.0015), and that shift occurs whether or not the accompanying news is favorable (Section 5.5.1), a direction consistent with the documented tendency of professionals toward heightened risk aversion under information-shock stress (</w:t>
      </w:r>
      <w:hyperlink r:id="rId377">
        <w:r w:rsidRPr="0070080E">
          <w:rPr>
            <w:rStyle w:val="Hyperlink"/>
          </w:rPr>
          <w:t>Kahneman &amp; Tversky, 1979</w:t>
        </w:r>
      </w:hyperlink>
      <w:r w:rsidRPr="0070080E">
        <w:t xml:space="preserve">; </w:t>
      </w:r>
      <w:hyperlink r:id="rId378">
        <w:r w:rsidRPr="0070080E">
          <w:rPr>
            <w:rStyle w:val="Hyperlink"/>
          </w:rPr>
          <w:t>Huber et al., 2022</w:t>
        </w:r>
      </w:hyperlink>
      <w:r w:rsidRPr="0070080E">
        <w:t>). Managers who recognize that their own responses to high-intensity events are systematic rather than idiosyncratic are better positioned to subject those responses to deliberate scrutiny. The structured pre-commitment protocols operationalized by the Monitor, Review, and Halt thresholds embedded in the Shock Score dashboard offer one route to that scrutiny: by attaching escalating procedural requirements to escalating shock intensity, they convert a reflexive reaction into a deliberate one at precisely the moments when, on the present evidence, a reflexive reduction in risk is most likely. The three-tier structure is deliberately simple, requiring no extensive behavioral training to apply; its value, however, is contingent on the manager’s willingness to consult and act on it, a contingency that the H2 null (Section 6.3) shows cannot be assumed.</w:t>
      </w:r>
    </w:p>
    <w:p w14:paraId="3CB10687" w14:textId="77777777" w:rsidR="00F67DDB" w:rsidRPr="0070080E" w:rsidRDefault="0094076D">
      <w:pPr>
        <w:pStyle w:val="BodyText"/>
      </w:pPr>
      <w:r w:rsidRPr="0070080E">
        <w:rPr>
          <w:b/>
          <w:bCs/>
        </w:rPr>
        <w:t>For risk governance.</w:t>
      </w:r>
      <w:r w:rsidRPr="0070080E">
        <w:t xml:space="preserve"> Risk committees and Chief Investment Officers may consider integrating real-time shock monitoring, indexed by a composite such as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into existing risk-oversight frameworks, where its contribution is less as a behavioral intervention for the individual than as a governance instrument for the institution. Because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is computed entirely from observable, reproducible inputs, it provides a transparent and auditable rationale for discretionary trading restrictions during high-intensity events: a record of which events crossed which thresholds, and what procedural response was triggered, can be maintained and reviewed after the fact. This supports governance accountability without removing managerial discretion, and it generates the data needed to evaluate, over time, whether structured prompts change institutional behavior, the very question the present single-study design could not settle. Governance adoption should therefore be framed as a monitored pilot rather than a finished control.</w:t>
      </w:r>
    </w:p>
    <w:p w14:paraId="3CB10688" w14:textId="53C8A9B6" w:rsidR="00F67DDB" w:rsidRPr="0070080E" w:rsidRDefault="0094076D">
      <w:pPr>
        <w:pStyle w:val="BodyText"/>
      </w:pPr>
      <w:r w:rsidRPr="0070080E">
        <w:rPr>
          <w:b/>
          <w:bCs/>
        </w:rPr>
        <w:t>For institutional deployment.</w:t>
      </w:r>
      <w:r w:rsidRPr="0070080E">
        <w:t xml:space="preserve"> The H2 null counsels caution: no behavioral value of the dashboard was demonstrated in this sample, and deployment decisions should not run ahead of that evidence. Prior to any operational rollout, the Shock Score dashboard should be validated on a larger, independently recruited sample of professional portfolio managers, through a pre-registered replication with a target of at least 100 verified professionals that is adequately powered for the treatment contrast (Section 5.8.2) and that, ideally, replaces stated Net Risk Stance with observed paper- or live-trading behavior to break the joint conditionality identified in Section 5.8.1. Platform integration</w:t>
      </w:r>
      <w:r w:rsidR="000A66AA">
        <w:t>—</w:t>
      </w:r>
      <w:r w:rsidRPr="0070080E">
        <w:t>for example, through order- or execution-management-system (OMS or EMS) interfaces</w:t>
      </w:r>
      <w:r w:rsidR="000A66AA">
        <w:t>—</w:t>
      </w:r>
      <w:r w:rsidRPr="0070080E">
        <w:t>is recommended over standalone survey administration, both for ecological validity and because it is in that setting that user reliance on the signal, the open question raised by the H2 null, can actually be observed.</w:t>
      </w:r>
    </w:p>
    <w:p w14:paraId="3CB10689" w14:textId="782D8700" w:rsidR="00F67DDB" w:rsidRPr="0070080E" w:rsidRDefault="0094076D">
      <w:pPr>
        <w:pStyle w:val="BodyText"/>
      </w:pPr>
      <w:r w:rsidRPr="0070080E">
        <w:rPr>
          <w:b/>
          <w:bCs/>
        </w:rPr>
        <w:t>Deployment as a research prototype.</w:t>
      </w:r>
      <w:r w:rsidRPr="0070080E">
        <w:t xml:space="preserve"> Any operational implementation should be understood, at this stage, as a research prototype rather than a production system, and several practical dependencies must be resolved before it could be deployed responsibly. The Shock Score is computed from third-party data feeds</w:t>
      </w:r>
      <w:r w:rsidR="000A66AA">
        <w:t>—</w:t>
      </w:r>
      <w:r w:rsidRPr="0070080E">
        <w:t>intraday prices and volumes, a headline news stream, and a sentiment model applied to that stream</w:t>
      </w:r>
      <w:r w:rsidR="000A66AA">
        <w:t>—</w:t>
      </w:r>
      <w:r w:rsidRPr="0070080E">
        <w:t>each of which carries licensing terms, coverage limits, and latency characteristics that determine whether the score can be produced quickly and reliably enough to inform a decision in real time. The sentiment and article-count components in particular depend on timely, complete news ingestion; gaps or delays in the feed degrade the signal precisely during the fast-moving events when it is most needed. The automated Halt recommendation raises a further consideration: in a regulated investment process, an instruction that restricts trading is not a neutral prompt but an action with compliance and fiduciary implications, and it would require explicit governance sign-off, an audit trail, and a defined override procedure before it could be wired into live execution. These engineering and compliance dependencies do not bear on the conceptual contribution of the thesis, but they delimit the distance between the instrument tested here and a deployable tool, and they are noted so that the contribution is not mistaken for an operational claim.</w:t>
      </w:r>
    </w:p>
    <w:p w14:paraId="3CB1068A" w14:textId="77777777" w:rsidR="00F67DDB" w:rsidRPr="0070080E" w:rsidRDefault="0094076D">
      <w:pPr>
        <w:pStyle w:val="Heading2"/>
      </w:pPr>
      <w:bookmarkStart w:id="186" w:name="_Toc231913473"/>
      <w:bookmarkStart w:id="187" w:name="areas-for-future-research"/>
      <w:bookmarkEnd w:id="185"/>
      <w:r w:rsidRPr="0070080E">
        <w:t>6.5 Areas for Future Research</w:t>
      </w:r>
      <w:bookmarkEnd w:id="186"/>
    </w:p>
    <w:p w14:paraId="3CB1068B" w14:textId="77777777" w:rsidR="00F67DDB" w:rsidRPr="0070080E" w:rsidRDefault="0094076D">
      <w:pPr>
        <w:pStyle w:val="FirstParagraph"/>
      </w:pPr>
      <w:r w:rsidRPr="0070080E">
        <w:t>The present study raises several questions that warrant further investigation and identifies methodological extensions that would strengthen the evidence base.</w:t>
      </w:r>
    </w:p>
    <w:p w14:paraId="3CB1068C" w14:textId="20B7C5D7" w:rsidR="00F67DDB" w:rsidRPr="0070080E" w:rsidRDefault="0094076D">
      <w:pPr>
        <w:pStyle w:val="BodyText"/>
      </w:pPr>
      <w:r w:rsidRPr="0070080E">
        <w:rPr>
          <w:b/>
          <w:bCs/>
        </w:rPr>
        <w:t>Validation of simulation assumptions through live or paper-trading experiments.</w:t>
      </w:r>
      <w:r w:rsidRPr="0070080E">
        <w:t xml:space="preserve"> The portfolio outcome results under H2 are jointly conditional on the behavioral effect of the Shock Score and the adequacy of the simulation model that maps stated NRS responses to portfolio returns, as acknowledged in Section 5.8.1. Future research should seek to decouple these two elements by replicating the H2 test in a live or paper-trading environment, where actual portfolio adjustments replace stated intentions. Such a design would enable independent validation of the simulation conventions and provide a direct test of whether Shock Score access produces measurable changes in realized portfolio </w:t>
      </w:r>
      <w:r w:rsidR="00400BE9">
        <w:t>risk–return</w:t>
      </w:r>
      <w:r w:rsidR="002C360C">
        <w:t xml:space="preserve"> outcomes</w:t>
      </w:r>
      <w:r w:rsidRPr="0070080E">
        <w:t>.</w:t>
      </w:r>
    </w:p>
    <w:p w14:paraId="3CB1068D" w14:textId="77777777" w:rsidR="00F67DDB" w:rsidRPr="0070080E" w:rsidRDefault="0094076D">
      <w:pPr>
        <w:pStyle w:val="BodyText"/>
      </w:pPr>
      <w:r w:rsidRPr="0070080E">
        <w:rPr>
          <w:b/>
          <w:bCs/>
        </w:rPr>
        <w:t>Robustness of H2 results across alternative simulation conventions.</w:t>
      </w:r>
      <w:r w:rsidRPr="0070080E">
        <w:t xml:space="preserve"> Future work should examine whether the H2 findings are sensitive to the choice of simulation parameters, including rebalancing rules, return attribution horizons, and risk-free rate conventions. Replication using a range of plausible simulation specifications would establish whether the results reflect a robust behavioral effect or are conditional on particular modeling assumptions.</w:t>
      </w:r>
    </w:p>
    <w:p w14:paraId="3CB1068E" w14:textId="77777777" w:rsidR="00F67DDB" w:rsidRPr="0070080E" w:rsidRDefault="0094076D">
      <w:pPr>
        <w:pStyle w:val="BodyText"/>
      </w:pPr>
      <w:r w:rsidRPr="0070080E">
        <w:rPr>
          <w:b/>
          <w:bCs/>
        </w:rPr>
        <w:t>Extension to multi-stock and portfolio-level information shock interactions.</w:t>
      </w:r>
      <w:r w:rsidRPr="0070080E">
        <w:t xml:space="preserve"> The current design presents information shocks to individual holdings in isolation. In practice, portfolio managers respond to concurrent information shocks across multiple positions, and the interaction between simultaneous information events may amplify or attenuate the behavioral effects observed here. Future research could extend the experimental design to present simultaneous multi-stock scenarios and examine whether Shock Score guidance is more or less effective under conditions of information overload.</w:t>
      </w:r>
    </w:p>
    <w:p w14:paraId="3CB1068F" w14:textId="77777777" w:rsidR="00F67DDB" w:rsidRPr="0070080E" w:rsidRDefault="0094076D">
      <w:pPr>
        <w:pStyle w:val="BodyText"/>
      </w:pPr>
      <w:r w:rsidRPr="0070080E">
        <w:rPr>
          <w:b/>
          <w:bCs/>
        </w:rPr>
        <w:t>Longitudinal and cross-market replication.</w:t>
      </w:r>
      <w:r w:rsidRPr="0070080E">
        <w:t xml:space="preserve"> The study is conducted over a fixed event window using U.S. equity data. Replication across different market regimes, geographic markets, and asset classes would establish the generalizability of the Shock Score framework and test whether the observed behavioral effects are stable across varying information environments.</w:t>
      </w:r>
    </w:p>
    <w:p w14:paraId="3CB10690" w14:textId="77777777" w:rsidR="00F67DDB" w:rsidRPr="0070080E" w:rsidRDefault="0094076D">
      <w:pPr>
        <w:pStyle w:val="BodyText"/>
      </w:pPr>
      <w:r w:rsidRPr="0070080E">
        <w:rPr>
          <w:b/>
          <w:bCs/>
        </w:rPr>
        <w:t>Shock Score as a predictive signal.</w:t>
      </w:r>
      <w:r w:rsidRPr="0070080E">
        <w:t xml:space="preserve"> An unexpected finding of the study concerns the limited predictive accuracy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Pr="0070080E">
        <w:t xml:space="preserve"> as a directional signal for subsequent price movements, as discussed in Section 5.6.2. Future research should examine whether refined weighting of the Shock Score components, or the addition of complementary signals such as order flow imbalance or options market activity, improves directional predictive performance. This avenue is relevant both for the decision-support application studied here and for potential algorithmic implementation.</w:t>
      </w:r>
    </w:p>
    <w:p w14:paraId="3CB10691" w14:textId="77777777" w:rsidR="00F67DDB" w:rsidRPr="0070080E" w:rsidRDefault="0094076D">
      <w:pPr>
        <w:pStyle w:val="Heading2"/>
      </w:pPr>
      <w:bookmarkStart w:id="188" w:name="_Toc231913474"/>
      <w:bookmarkStart w:id="189" w:name="lessons-learned"/>
      <w:bookmarkEnd w:id="187"/>
      <w:r w:rsidRPr="0070080E">
        <w:t>6.6 Lessons Learned</w:t>
      </w:r>
      <w:bookmarkEnd w:id="188"/>
    </w:p>
    <w:p w14:paraId="3CB10692" w14:textId="77777777" w:rsidR="00F67DDB" w:rsidRPr="0070080E" w:rsidRDefault="0094076D">
      <w:pPr>
        <w:pStyle w:val="FirstParagraph"/>
      </w:pPr>
      <w:r w:rsidRPr="0070080E">
        <w:t>The most consequential methodological lesson I take from this work concerns the gap between a study’s conceptual design and its operational implementation. My original research plan envisaged a relatively self-contained empirical exercise: define the Shock Score, deploy a survey, run a regression. In practice, I found that each of these steps generated its own subordinate workflow. Constructing the composite information shock measure required the systematic ingestion of news and market data, the calibration of sentiment scoring through a pre-trained financial language model, the construction of a reproducible principal component decomposition, and the careful handling of pacing constraints in commercial data interfaces. Each of these layers demanded engineering discipline that is rarely visible in published behavioral finance research but that, in my experience, substantially determined whether the study could be executed at all.</w:t>
      </w:r>
    </w:p>
    <w:p w14:paraId="3CB10693" w14:textId="0E740464" w:rsidR="00F67DDB" w:rsidRPr="0070080E" w:rsidRDefault="0094076D">
      <w:pPr>
        <w:pStyle w:val="BodyText"/>
      </w:pPr>
      <w:r w:rsidRPr="0070080E">
        <w:t>A related lesson concerns the role of large language models as research instruments. Throughout the project I made two distinct uses of them. The first was as an automation layer for narrow, repetitive tasks: standardizing news summaries to a consistent length and register, converting unstructured headlines into survey-ready scenario text, and generating code for routine data manipulation. In this role I found the models highly effective, provided that I wrote precise prompts and reviewed the outputs systematically before incorporating them into the analytical pipeline. The second use was as an interlocutor in my own thinking</w:t>
      </w:r>
      <w:r w:rsidR="000A66AA">
        <w:t>—</w:t>
      </w:r>
      <w:r w:rsidRPr="0070080E">
        <w:t>a way of pressure-testing arguments, surfacing alternative framings, and catching weaknesses in chains of reasoning before they propagated into the written thesis. Both uses were valuable; both required my active editorial oversight. The experience reinforced my view that large language models extend rather than replace the work of a researcher, and that the quality of the output is bounded by the quality of the questions I asked.</w:t>
      </w:r>
    </w:p>
    <w:p w14:paraId="3CB10694" w14:textId="77777777" w:rsidR="00F67DDB" w:rsidRPr="0070080E" w:rsidRDefault="0094076D">
      <w:pPr>
        <w:pStyle w:val="BodyText"/>
      </w:pPr>
      <w:r w:rsidRPr="0070080E">
        <w:t>On the subject of behavioral finance itself, the most important thing I learned was the distance between the descriptive richness of the literature and the operational poverty of available decision-support tools. The field has produced decades of empirical evidence that experienced professionals respond to information shocks in ways that are systematic, predictable, and frequently inconsistent with their own stated investment policies (</w:t>
      </w:r>
      <w:hyperlink r:id="rId379">
        <w:r w:rsidRPr="0070080E">
          <w:rPr>
            <w:rStyle w:val="Hyperlink"/>
          </w:rPr>
          <w:t>Ben-David et al., 2013</w:t>
        </w:r>
      </w:hyperlink>
      <w:r w:rsidRPr="0070080E">
        <w:t xml:space="preserve">; </w:t>
      </w:r>
      <w:hyperlink r:id="rId380">
        <w:r w:rsidRPr="0070080E">
          <w:rPr>
            <w:rStyle w:val="Hyperlink"/>
          </w:rPr>
          <w:t>Azimi, 2019</w:t>
        </w:r>
      </w:hyperlink>
      <w:r w:rsidRPr="0070080E">
        <w:t xml:space="preserve">; </w:t>
      </w:r>
      <w:hyperlink r:id="rId381">
        <w:r w:rsidRPr="0070080E">
          <w:rPr>
            <w:rStyle w:val="Hyperlink"/>
          </w:rPr>
          <w:t>Huber et al., 2022</w:t>
        </w:r>
      </w:hyperlink>
      <w:r w:rsidRPr="0070080E">
        <w:t>). It has produced comparatively little in the way of instruments designed for use at the point of decision (</w:t>
      </w:r>
      <w:hyperlink r:id="rId382">
        <w:r w:rsidRPr="0070080E">
          <w:rPr>
            <w:rStyle w:val="Hyperlink"/>
          </w:rPr>
          <w:t>Bhandari et al., 2008</w:t>
        </w:r>
      </w:hyperlink>
      <w:r w:rsidRPr="0070080E">
        <w:t xml:space="preserve">; </w:t>
      </w:r>
      <w:hyperlink r:id="rId383">
        <w:r w:rsidRPr="0070080E">
          <w:rPr>
            <w:rStyle w:val="Hyperlink"/>
          </w:rPr>
          <w:t>Barberis &amp; Thaler, 2002</w:t>
        </w:r>
      </w:hyperlink>
      <w:r w:rsidRPr="0070080E">
        <w:t>). The literature review made clear to me that this gap is not for want of theoretical foundations: prospect theory, dual-process models of judgment, evidence on pre-commitment mechanisms, and a substantial empirical record on attention-driven trading all point in the same direction. What is missing is the bridging work between these foundations and the instruments that practicing portfolio managers can reasonably consult during a trading session.</w:t>
      </w:r>
    </w:p>
    <w:p w14:paraId="3CB10695" w14:textId="77777777" w:rsidR="00F67DDB" w:rsidRPr="0070080E" w:rsidRDefault="0094076D">
      <w:pPr>
        <w:pStyle w:val="BodyText"/>
      </w:pPr>
      <w:r w:rsidRPr="0070080E">
        <w:t>A further lesson concerns the design of survey research with professional respondents. I reduced each block from twelve to eight scenarios on the basis of expected completion rates and survey-fatigue effects. The trade-off was a meaningful reduction in per-scenario observations and a corresponding loss of statistical power for the moderation hypothesis. With hindsight, I would have deployed recruitment channels in parallel at an earlier stage of the project and drawn a clearer separation between the pilot phase and the main survey, which together would have allowed me to preserve both the original scenario depth and the required statistical power. Recruiting senior professional respondents through cold outreach proved substantially slower and less predictable than I had anticipated, and this in turn shaped the empirical findings under the second hypothesis.</w:t>
      </w:r>
    </w:p>
    <w:p w14:paraId="3CB10696" w14:textId="77777777" w:rsidR="00F67DDB" w:rsidRPr="0070080E" w:rsidRDefault="0094076D">
      <w:pPr>
        <w:pStyle w:val="BodyText"/>
      </w:pPr>
      <w:r w:rsidRPr="0070080E">
        <w:t>If I were to repeat the study, I would make two further changes. The first would be a parallel live or paper-trading replication of the second-hypothesis test, so that I could evaluate the behavioral effect of the indicator separately from the simulation conventions used to translate stated responses into portfolio outcomes. The second would be to build an event-type-balanced scenario design from the outset, in order to dampen the composition artifacts that, in the present study, produced positive regression coefficients on individual information shock components that require careful interpretation. Both changes would strengthen the inferential basis of the work without altering its core conceptual contribution.</w:t>
      </w:r>
    </w:p>
    <w:p w14:paraId="3CB10697" w14:textId="77777777" w:rsidR="00F67DDB" w:rsidRPr="0070080E" w:rsidRDefault="0094076D">
      <w:pPr>
        <w:pStyle w:val="Heading2"/>
      </w:pPr>
      <w:bookmarkStart w:id="190" w:name="_Toc231913475"/>
      <w:bookmarkStart w:id="191" w:name="ethical-considerations"/>
      <w:bookmarkEnd w:id="189"/>
      <w:r w:rsidRPr="0070080E">
        <w:t>6.7 Ethical Considerations</w:t>
      </w:r>
      <w:bookmarkEnd w:id="190"/>
    </w:p>
    <w:p w14:paraId="3CB10698" w14:textId="77777777" w:rsidR="00F67DDB" w:rsidRPr="0070080E" w:rsidRDefault="0094076D">
      <w:pPr>
        <w:pStyle w:val="Heading3"/>
      </w:pPr>
      <w:bookmarkStart w:id="192" w:name="Xbe7caeff365f5a180b2e0aa1f583eea4dda88f1"/>
      <w:r w:rsidRPr="0070080E">
        <w:t>6.7.1 Ethical Use of Algorithmic Decision Support</w:t>
      </w:r>
    </w:p>
    <w:p w14:paraId="3CB10699" w14:textId="77777777" w:rsidR="00F67DDB" w:rsidRPr="0070080E" w:rsidRDefault="0094076D">
      <w:pPr>
        <w:pStyle w:val="FirstParagraph"/>
      </w:pPr>
      <w:r w:rsidRPr="0070080E">
        <w:t>The findings of the study carry direct ethical implications for how algorithmic decision-support tools should be deployed in professional investment management. The Shock Score is a composite indicator constructed from observable inputs and presented to managers through a dashboard. Even in this comparatively transparent form, the indicator influences decisions: it summarizes a complex informational environment into a small number of interpretable signals, and in doing so it shapes the manager’s perception of the situation. This influence is desirable when the indicator improves the quality of decisions, but it raises questions of accountability when those decisions produce adverse outcomes. The professional manager remains accountable for portfolio decisions under existing fiduciary and regulatory standards, yet the introduction of structured signals adds a layer between the underlying information and the decision-maker that must be made transparent to clients, supervisors, and regulators.</w:t>
      </w:r>
    </w:p>
    <w:p w14:paraId="3CB1069A" w14:textId="77777777" w:rsidR="00F67DDB" w:rsidRPr="0070080E" w:rsidRDefault="0094076D">
      <w:pPr>
        <w:pStyle w:val="BodyText"/>
      </w:pPr>
      <w:r w:rsidRPr="0070080E">
        <w:t>A second ethical consideration concerns the risk that an instrument of this kind could be misused to justify decisions that have already been made on other grounds. If an institution adopts the Shock Score as a formal element of its decision process, there is a foreseeable temptation to treat the indicator as a post-hoc rationalization for predetermined trades rather than as a constraint on impulsive behavior. Mitigating this risk requires explicit governance arrangements: a clear specification of when the indicator is consulted in the decision sequence, a record of the recommended protocol and the actual decision taken, and a periodic review of cases in which the protocol and the decision diverged. Without such governance, the indicator becomes ornamental at best and a source of false comfort at worst.</w:t>
      </w:r>
    </w:p>
    <w:p w14:paraId="3CB1069B" w14:textId="77777777" w:rsidR="00F67DDB" w:rsidRPr="0070080E" w:rsidRDefault="0094076D">
      <w:pPr>
        <w:pStyle w:val="BodyText"/>
      </w:pPr>
      <w:r w:rsidRPr="0070080E">
        <w:t>A third consideration concerns the transparency obligations owed to clients and to regulators. Clients of an investment institution have a legitimate interest in understanding the procedures by which their capital is managed. The introduction of a behavioral decision-support indicator into the investment process is the kind of procedural change that should be disclosed and explained, both in terms of its purpose and in terms of its limitations. Regulatory frameworks for investment management increasingly require firms to articulate how they manage operational and behavioral risks; a structured indicator of the type developed in this thesis can support that articulation, but only if it is documented honestly, including the boundaries within which its empirical evidence base has been established.</w:t>
      </w:r>
    </w:p>
    <w:p w14:paraId="3CB1069C" w14:textId="77777777" w:rsidR="00F67DDB" w:rsidRPr="0070080E" w:rsidRDefault="0094076D">
      <w:pPr>
        <w:pStyle w:val="BodyText"/>
      </w:pPr>
      <w:r w:rsidRPr="0070080E">
        <w:t>A final consideration concerns the distinction between decision support and decision automation. The Shock Score is designed as the former: it provides a structured input to a decision that remains the responsibility of the manager. Pushing the same construct toward automation, using the indicator to trigger trades or position adjustments without human review, would change the ethical profile of the instrument materially. It would transfer accountability from the manager to the system, would amplify the consequences of any defect in the indicator’s construction, and would foreclose the kind of contextual judgment that remains essential to managing portfolios under conditions of genuine uncertainty. The framework developed in this thesis is deliberately positioned on the support side of this distinction, and any extension into automation should be undertaken only with explicit attention to the ethical implications of that transition.</w:t>
      </w:r>
    </w:p>
    <w:p w14:paraId="3CB1069D" w14:textId="77777777" w:rsidR="00F67DDB" w:rsidRPr="0070080E" w:rsidRDefault="0094076D">
      <w:pPr>
        <w:pStyle w:val="Heading3"/>
      </w:pPr>
      <w:bookmarkStart w:id="193" w:name="risk-of-automation-bias"/>
      <w:bookmarkEnd w:id="192"/>
      <w:r w:rsidRPr="0070080E">
        <w:t>6.7.2 Risk of Automation Bias</w:t>
      </w:r>
    </w:p>
    <w:p w14:paraId="3CB1069E" w14:textId="77777777" w:rsidR="00F67DDB" w:rsidRPr="0070080E" w:rsidRDefault="0094076D">
      <w:pPr>
        <w:pStyle w:val="FirstParagraph"/>
      </w:pPr>
      <w:r w:rsidRPr="0070080E">
        <w:t>Automation bias is the documented tendency of human decision-makers to assign disproportionate weight to outputs that are presented as the product of an algorithm, including in situations where the algorithm is demonstrably less accurate than the human’s own judgment. The presence of automation bias has been observed across professional contexts, including aviation, medicine, and finance (</w:t>
      </w:r>
      <w:hyperlink r:id="rId384">
        <w:r w:rsidRPr="0070080E">
          <w:rPr>
            <w:rStyle w:val="Hyperlink"/>
          </w:rPr>
          <w:t>Parasuraman &amp; Manzey, 2010</w:t>
        </w:r>
      </w:hyperlink>
      <w:r w:rsidRPr="0070080E">
        <w:t>), and is a structural risk associated with any instrument that places quantitative outputs in front of decision-makers. The Shock Score, by aggregating observable inputs into a composite score and presenting it through a dashboard, is exposed to this risk in the same way as any other quantitative decision-support tool. A manager who treats the indicator as an oracle rather than as one input among several may end up worse off than a manager who never sees the indicator at all.</w:t>
      </w:r>
    </w:p>
    <w:p w14:paraId="3CB1069F" w14:textId="77777777" w:rsidR="00F67DDB" w:rsidRPr="0070080E" w:rsidRDefault="0094076D">
      <w:pPr>
        <w:pStyle w:val="BodyText"/>
      </w:pPr>
      <w:r w:rsidRPr="0070080E">
        <w:t>The dashboard design used in this study was developed with this risk in view. Three elements of the design are intended to dampen the tendency toward over-reliance. First, the indicator is presented not as a directional trade signal but as a characterization of the information shock environment: sentiment direction, severity level, and persistence horizon are reported separately rather than combined into a single buy-or-sell recommendation. Second, the indicator is paired with an explicit pre-commitment protocol that escalates procedural requirements as a function of severity, encouraging deliberation rather than automatic action under high-intensity conditions. Third, the dashboard reports the magnitude of the information shock relative to a distribution rather than as an absolute score, which is intended to discourage the treatment of the indicator as a precise quantity and to support its use as a contextual cue.</w:t>
      </w:r>
    </w:p>
    <w:p w14:paraId="3CB106A0" w14:textId="77777777" w:rsidR="00F67DDB" w:rsidRPr="0070080E" w:rsidRDefault="0094076D">
      <w:pPr>
        <w:pStyle w:val="BodyText"/>
      </w:pPr>
      <w:r w:rsidRPr="0070080E">
        <w:t>These design choices reduce the risk of automation bias but cannot eliminate it. Residual risks remain, and they deserve to be acknowledged. A manager under time pressure may collapse the dashboard’s distinct signals into a single overall impression, defeating the analytical separation that the design intends to preserve. A manager who experiences early successes with the indicator may anchor on its outputs in subsequent decisions, increasing reliance over time. An institutional culture that rewards procedural compliance may interpret the protocol recommendation as a binding instruction rather than as a structured prompt to deliberate, with the result that the indicator narrows rather than enriches the manager’s deliberative space.</w:t>
      </w:r>
    </w:p>
    <w:p w14:paraId="3CB106A1" w14:textId="77777777" w:rsidR="00F67DDB" w:rsidRPr="0070080E" w:rsidRDefault="0094076D">
      <w:pPr>
        <w:pStyle w:val="BodyText"/>
      </w:pPr>
      <w:r w:rsidRPr="0070080E">
        <w:t>Mitigating these residual risks is partly a matter of governance and partly a matter of training. Governance arrangements should require that the indicator be consulted alongside, not in place of, the manager’s existing analytical and risk-management processes, and should record the indicator’s recommendation and the manager’s actual decision together so that systematic deference can be identified and discussed. Training should explicitly acknowledge the existence of automation bias, present empirical evidence on its prevalence in adjacent professional contexts, and reinforce the principle that the indicator is a structured prompt rather than a substitute for judgment. Decision-support tools developed in the spirit of the present study are, in the end, only as good as the deliberative discipline of the practitioners who use them; the design can support that discipline but cannot replace it.</w:t>
      </w:r>
    </w:p>
    <w:p w14:paraId="3CB106A2" w14:textId="77777777" w:rsidR="00F67DDB" w:rsidRPr="0070080E" w:rsidRDefault="0094076D">
      <w:pPr>
        <w:pStyle w:val="Heading2"/>
      </w:pPr>
      <w:bookmarkStart w:id="194" w:name="_Toc231913476"/>
      <w:bookmarkStart w:id="195" w:name="Xa1ebcf8c23709c876a2b1db98cc6cbc5122bd57"/>
      <w:bookmarkEnd w:id="191"/>
      <w:bookmarkEnd w:id="193"/>
      <w:r w:rsidRPr="0070080E">
        <w:t>6.8 Implications for Sustainable Development Goals</w:t>
      </w:r>
      <w:bookmarkEnd w:id="194"/>
    </w:p>
    <w:p w14:paraId="3CB106A3" w14:textId="77777777" w:rsidR="00F67DDB" w:rsidRPr="0070080E" w:rsidRDefault="0094076D">
      <w:pPr>
        <w:pStyle w:val="FirstParagraph"/>
      </w:pPr>
      <w:r w:rsidRPr="0070080E">
        <w:t>The findings of this study carry implications for two United Nations Sustainable Development Goals: SDG 8 (Decent Work and Economic Growth) and SDG 10 (Reduced Inequalities).</w:t>
      </w:r>
    </w:p>
    <w:p w14:paraId="3CB106A4" w14:textId="0A8D5B0A" w:rsidR="00F67DDB" w:rsidRPr="0070080E" w:rsidRDefault="0094076D">
      <w:pPr>
        <w:pStyle w:val="Heading3"/>
      </w:pPr>
      <w:bookmarkStart w:id="196" w:name="sdg-8-decent-work-and-economic-growth"/>
      <w:r w:rsidRPr="0070080E">
        <w:t>6.8.1 SDG 8</w:t>
      </w:r>
      <w:r w:rsidR="000A66AA">
        <w:t>—</w:t>
      </w:r>
      <w:r w:rsidRPr="0070080E">
        <w:t>Decent Work and Economic Growth</w:t>
      </w:r>
    </w:p>
    <w:p w14:paraId="3CB106A5" w14:textId="77777777" w:rsidR="00F67DDB" w:rsidRPr="0070080E" w:rsidRDefault="0094076D">
      <w:pPr>
        <w:pStyle w:val="FirstParagraph"/>
      </w:pPr>
      <w:r w:rsidRPr="0070080E">
        <w:t>SDG 8 calls for sustained, inclusive, and sustainable economic growth and productive employment. Target 8.10 specifically addresses the need to strengthen the capacity of domestic financial institutions to expand access to financial services, and more broadly the SDG 8 framework recognizes that efficient and stable financial markets are a prerequisite for productive capital allocation and long-term economic development (</w:t>
      </w:r>
      <w:hyperlink r:id="rId385">
        <w:r w:rsidRPr="0070080E">
          <w:rPr>
            <w:rStyle w:val="Hyperlink"/>
          </w:rPr>
          <w:t>United Nations, 2015</w:t>
        </w:r>
      </w:hyperlink>
      <w:r w:rsidRPr="0070080E">
        <w:t>).</w:t>
      </w:r>
    </w:p>
    <w:p w14:paraId="3CB106A6" w14:textId="77777777" w:rsidR="00F67DDB" w:rsidRPr="0070080E" w:rsidRDefault="0094076D">
      <w:pPr>
        <w:pStyle w:val="BodyText"/>
      </w:pPr>
      <w:r w:rsidRPr="0070080E">
        <w:t>The present study addresses a well-documented source of inefficiency in financial markets: systematic behavioral bias in the decision-making of professional equity portfolio managers during information shock events. The evidence base established in Chapter 3 demonstrated that overreaction, loss aversion, herding, and attention-driven trading around news events contribute to price overshooting, excessive short-term volatility, and suboptimal portfolio rebalancing. These effects aggregate across managers to produce market-level inefficiencies that distort the allocation of capital away from its highest-value uses, with downstream consequences for investment, employment, and growth.</w:t>
      </w:r>
    </w:p>
    <w:p w14:paraId="3CB106A7" w14:textId="77777777" w:rsidR="00F67DDB" w:rsidRPr="0070080E" w:rsidRDefault="0094076D">
      <w:pPr>
        <w:pStyle w:val="BodyText"/>
      </w:pPr>
      <w:r w:rsidRPr="0070080E">
        <w:t xml:space="preserve">The Shock Score framework developed in this thesis is designed to attenuate these behavioral effects by providing professional managers with a structured, quantitative signal at the moment of maximum uncertainty. The study established that information shock intensity systematically predicts managers’ risk decisions (H1), but it did not find a statistically significant effect of displaying the dashboard on portfolio outcomes (H2). The SDG 8 contribution is therefore prospective rather than demonstrated: if future work confirms that displaying such a signal </w:t>
      </w:r>
      <w:proofErr w:type="gramStart"/>
      <w:r w:rsidRPr="0070080E">
        <w:t>moderates</w:t>
      </w:r>
      <w:proofErr w:type="gramEnd"/>
      <w:r w:rsidRPr="0070080E">
        <w:t xml:space="preserve"> behavior, tools of this kind have the potential to reduce the amplitude and duration of behavioral distortions following information shocks. More disciplined professional decision-making during periods of market stress would contribute to more stable price discovery, reduced unnecessary volatility, and more efficient capital allocation across the economy. These outcomes are directly consistent with the SDG 8 objective of productive and stable financial markets as a foundation for sustainable economic growth.</w:t>
      </w:r>
    </w:p>
    <w:p w14:paraId="3CB106A8" w14:textId="162A9002" w:rsidR="00F67DDB" w:rsidRPr="0070080E" w:rsidRDefault="0094076D">
      <w:pPr>
        <w:pStyle w:val="Heading3"/>
      </w:pPr>
      <w:bookmarkStart w:id="197" w:name="sdg-10-reduced-inequalities"/>
      <w:bookmarkEnd w:id="196"/>
      <w:r w:rsidRPr="0070080E">
        <w:t>6.8.2 SDG 10</w:t>
      </w:r>
      <w:r w:rsidR="000A66AA">
        <w:t>—</w:t>
      </w:r>
      <w:r w:rsidRPr="0070080E">
        <w:t>Reduced Inequalities</w:t>
      </w:r>
    </w:p>
    <w:p w14:paraId="3CB106A9" w14:textId="77777777" w:rsidR="00F67DDB" w:rsidRPr="0070080E" w:rsidRDefault="0094076D">
      <w:pPr>
        <w:pStyle w:val="FirstParagraph"/>
      </w:pPr>
      <w:r w:rsidRPr="0070080E">
        <w:t>SDG 10 targets the reduction of inequality within and among countries, including through ensuring equal opportunity and reducing disparities in access to financial services and information. Target 10.5 specifically calls for improved regulation and monitoring of global financial markets, and Target 10.b addresses the need for development finance that supports productive capacity (</w:t>
      </w:r>
      <w:hyperlink r:id="rId386">
        <w:r w:rsidRPr="0070080E">
          <w:rPr>
            <w:rStyle w:val="Hyperlink"/>
          </w:rPr>
          <w:t>United Nations, 2015</w:t>
        </w:r>
      </w:hyperlink>
      <w:r w:rsidRPr="0070080E">
        <w:t>).</w:t>
      </w:r>
    </w:p>
    <w:p w14:paraId="3CB106AA" w14:textId="77777777" w:rsidR="00F67DDB" w:rsidRPr="0070080E" w:rsidRDefault="0094076D">
      <w:pPr>
        <w:pStyle w:val="BodyText"/>
      </w:pPr>
      <w:r w:rsidRPr="0070080E">
        <w:t>A structural inequality exists in contemporary financial markets between institutional investors and individual retail participants. Professional portfolio managers at large institutions have access to sophisticated analytical infrastructure, real-time data feeds, proprietary research, and experienced risk management teams. Retail investors and smaller market participants, by contrast, make portfolio decisions with limited tools and no structured framework for processing the significance of market-moving events. This informational asymmetry contributes to systematic performance disadvantages for non-professional investors during periods of market stress, when the consequences of behavioral bias are most severe.</w:t>
      </w:r>
    </w:p>
    <w:p w14:paraId="3CB106AB" w14:textId="66E36023" w:rsidR="00F67DDB" w:rsidRPr="0070080E" w:rsidRDefault="0094076D">
      <w:pPr>
        <w:pStyle w:val="BodyText"/>
      </w:pPr>
      <w:r w:rsidRPr="0070080E">
        <w:t>The Shock Score concept, as developed in this thesis, is grounded entirely in publicly available data sources: exchange price feeds and publicly distributed news articles. There is no proprietary information requirement. A publicly accessible implementation of the Shock Score</w:t>
      </w:r>
      <w:r w:rsidR="000A66AA">
        <w:t>—</w:t>
      </w:r>
      <w:r w:rsidRPr="0070080E">
        <w:t>for example, as a free web-based tool or mobile application</w:t>
      </w:r>
      <w:r w:rsidR="000A66AA">
        <w:t>—</w:t>
      </w:r>
      <w:r w:rsidRPr="0070080E">
        <w:t>would provide retail investors and individuals without professional financial training with access to the same type of structured information-shock-intensity signal examined in this study. The four dashboard signals</w:t>
      </w:r>
      <w:r w:rsidR="000A66AA">
        <w:t>—</w:t>
      </w:r>
      <w:r w:rsidRPr="0070080E">
        <w:t>sentiment direction, information shock severity, persistence horizon, and protocol recommendation</w:t>
      </w:r>
      <w:r w:rsidR="000A66AA">
        <w:t>—</w:t>
      </w:r>
      <w:r w:rsidRPr="0070080E">
        <w:t>are designed to be interpretable without specialist knowledge, communicating the key dimensions of an information shock in intuitive, actionable terms.</w:t>
      </w:r>
    </w:p>
    <w:p w14:paraId="3CB106AC" w14:textId="77777777" w:rsidR="00F67DDB" w:rsidRPr="0070080E" w:rsidRDefault="0094076D">
      <w:pPr>
        <w:pStyle w:val="BodyText"/>
      </w:pPr>
      <w:r w:rsidRPr="0070080E">
        <w:t>In this sense, the broader dissemination of the Shock Score framework could, in principle, contribute to SDG 10 by narrowing the informational inequality between institutional and retail market participants, equipping a wider population of investors with decision support that has previously existed only within professional institutional settings. This is a prospective possibility rather than a demonstrated outcome: the present study evaluated the instrument only with professional respondents, did not test it with retail investors, and, given the H2 null, did not establish a behavioral benefit even in the professional setting. Whether a publicly accessible Shock Score would in fact reduce informational inequality is therefore an empirical question for future work rather than a contribution claimed here.</w:t>
      </w:r>
    </w:p>
    <w:p w14:paraId="3CB106AD" w14:textId="77777777" w:rsidR="00F67DDB" w:rsidRPr="0070080E" w:rsidRDefault="0094076D">
      <w:pPr>
        <w:pStyle w:val="Heading2"/>
      </w:pPr>
      <w:bookmarkStart w:id="198" w:name="_Toc231913477"/>
      <w:bookmarkStart w:id="199" w:name="chapter-conclusion-4"/>
      <w:bookmarkEnd w:id="195"/>
      <w:bookmarkEnd w:id="197"/>
      <w:r w:rsidRPr="0070080E">
        <w:t>6.9 Chapter Conclusion</w:t>
      </w:r>
      <w:bookmarkEnd w:id="198"/>
    </w:p>
    <w:p w14:paraId="3CB106AE" w14:textId="77777777" w:rsidR="00F67DDB" w:rsidRPr="0070080E" w:rsidRDefault="0094076D">
      <w:pPr>
        <w:pStyle w:val="FirstParagraph"/>
      </w:pPr>
      <w:r w:rsidRPr="0070080E">
        <w:t>Chapter 6 has consolidated the conclusions of the study and translated them into recommendations and reflections. The empirical analysis supports the first hypothesis: the intensity of external information shocks is systematically associated with risk-reducing shifts in the Net Risk Stance of professional portfolio managers, consistent with the behavioral mechanisms identified in the literature reviewed in Chapter 3. The evidence on the second hypothesis does not show a statistically significant effect of the Shock Score dashboard on simulated portfolio outcomes, and no detectable effect is found on the underlying decision response either; this informative null is bounded to limited statistical power and to the joint conditionality of the simulation (Sections 5.8.1–5.8.2), and it warrants replication on a larger respondent base and in live or paper-trading settings.</w:t>
      </w:r>
    </w:p>
    <w:p w14:paraId="3CB106AF" w14:textId="6DDCD5EE" w:rsidR="00F67DDB" w:rsidRPr="0070080E" w:rsidRDefault="0094076D">
      <w:pPr>
        <w:pStyle w:val="BodyText"/>
      </w:pPr>
      <w:r w:rsidRPr="0070080E">
        <w:t>The broader contribution of the thesis lies in the integration of four elements</w:t>
      </w:r>
      <w:r w:rsidR="000A66AA">
        <w:t>—</w:t>
      </w:r>
      <w:r w:rsidRPr="0070080E">
        <w:t>a real-time composite measure of information shock intensity, a professional sample of equity portfolio managers, a structured behavioral decision-support intervention, and a quantitative outcome measure of decision response</w:t>
      </w:r>
      <w:r w:rsidR="000A66AA">
        <w:t>—</w:t>
      </w:r>
      <w:r w:rsidRPr="0070080E">
        <w:t>within a single empirical design. This integration responds to a gap that the literature review identifies clearly but that prior empirical work has not addressed. The recommendations for portfolio managers and risk governance practitioners set out earlier in this chapter, the lessons learned recorded in Section 6.6, the ethical considerations discussed in Section 6.7, and the alignment with the Sustainable Development Goals discussed in Section 6.8 together situate the contribution within the practical, ethical, and societal contexts in which professional investment management operates.</w:t>
      </w:r>
    </w:p>
    <w:p w14:paraId="3CB106B0" w14:textId="11A10448" w:rsidR="00F67DDB" w:rsidRPr="0070080E" w:rsidRDefault="0094076D">
      <w:pPr>
        <w:pStyle w:val="BodyText"/>
      </w:pPr>
      <w:r w:rsidRPr="0070080E">
        <w:t>The empirical evidence accumulated in this study suggests that behavioral decision support is a viable area of development for institutional investment processes, and that operational instruments grounded in observable inputs can be constructed without proprietary data dependencies. The work concludes here with the recognition that the agenda it has opened is broader than the design tested in these chapters, and that further research</w:t>
      </w:r>
      <w:r w:rsidR="000A66AA">
        <w:t>—</w:t>
      </w:r>
      <w:r w:rsidRPr="0070080E">
        <w:t>on live behavioral validation, on cross-market replication, and on the long-run consequences of structured behavioral prompts for professional decision-making</w:t>
      </w:r>
      <w:r w:rsidR="000A66AA">
        <w:t>—</w:t>
      </w:r>
      <w:r w:rsidRPr="0070080E">
        <w:t>is required to determine the conditions under which instruments of this kind deliver their intended benefits in practice.</w:t>
      </w:r>
    </w:p>
    <w:p w14:paraId="3CB106B1" w14:textId="77777777" w:rsidR="00F67DDB" w:rsidRPr="0070080E" w:rsidRDefault="0094076D">
      <w:pPr>
        <w:pStyle w:val="Heading1"/>
      </w:pPr>
      <w:bookmarkStart w:id="200" w:name="_Toc231913478"/>
      <w:bookmarkStart w:id="201" w:name="references"/>
      <w:bookmarkEnd w:id="174"/>
      <w:bookmarkEnd w:id="199"/>
      <w:r w:rsidRPr="0070080E">
        <w:t>References</w:t>
      </w:r>
      <w:bookmarkEnd w:id="200"/>
    </w:p>
    <w:p w14:paraId="3CB106B2" w14:textId="77777777" w:rsidR="00F67DDB" w:rsidRPr="0070080E" w:rsidRDefault="0094076D" w:rsidP="00B71810">
      <w:pPr>
        <w:pStyle w:val="Bibliography"/>
      </w:pPr>
      <w:r w:rsidRPr="0070080E">
        <w:t xml:space="preserve">Angelova, V., Dobbie, W., &amp; Yang, C. (2023). </w:t>
      </w:r>
      <w:r w:rsidRPr="0070080E">
        <w:rPr>
          <w:i/>
          <w:iCs/>
        </w:rPr>
        <w:t>Algorithmic recommendations and human discretion</w:t>
      </w:r>
      <w:r w:rsidRPr="0070080E">
        <w:t>. National Bureau of Economic Research. https://doi.org/10.3386/w31747</w:t>
      </w:r>
    </w:p>
    <w:p w14:paraId="3CB106B3" w14:textId="77777777" w:rsidR="00F67DDB" w:rsidRPr="0070080E" w:rsidRDefault="0094076D" w:rsidP="00B71810">
      <w:pPr>
        <w:pStyle w:val="Bibliography"/>
      </w:pPr>
      <w:r w:rsidRPr="0070080E">
        <w:t xml:space="preserve">Anthropic. (2026). </w:t>
      </w:r>
      <w:r w:rsidRPr="0070080E">
        <w:rPr>
          <w:i/>
          <w:iCs/>
        </w:rPr>
        <w:t>Claude</w:t>
      </w:r>
      <w:r w:rsidRPr="0070080E">
        <w:t xml:space="preserve"> (Sonnet) [Large language model]. https://www.anthropic.com</w:t>
      </w:r>
    </w:p>
    <w:p w14:paraId="3CB106B4" w14:textId="77777777" w:rsidR="00F67DDB" w:rsidRPr="0070080E" w:rsidRDefault="0094076D" w:rsidP="00B71810">
      <w:pPr>
        <w:pStyle w:val="Bibliography"/>
      </w:pPr>
      <w:r w:rsidRPr="0070080E">
        <w:t xml:space="preserve">Azimi, M. (2019). Are professional investors prone to behavioral biases? evidence from mutual fund managers. </w:t>
      </w:r>
      <w:r w:rsidRPr="0070080E">
        <w:rPr>
          <w:i/>
          <w:iCs/>
        </w:rPr>
        <w:t>SSRN Electronic Journal</w:t>
      </w:r>
      <w:r w:rsidRPr="0070080E">
        <w:t>. https://doi.org/10.2139/ssrn.3462776</w:t>
      </w:r>
    </w:p>
    <w:p w14:paraId="3CB106B5" w14:textId="77777777" w:rsidR="00F67DDB" w:rsidRPr="0070080E" w:rsidRDefault="0094076D" w:rsidP="00B71810">
      <w:pPr>
        <w:pStyle w:val="Bibliography"/>
      </w:pPr>
      <w:r w:rsidRPr="0070080E">
        <w:t xml:space="preserve">Baker, M., &amp; Wurgler, J. (2006). Investor sentiment and the cross‐section of stock returns. </w:t>
      </w:r>
      <w:r w:rsidRPr="0070080E">
        <w:rPr>
          <w:i/>
          <w:iCs/>
        </w:rPr>
        <w:t>The Journal of Finance</w:t>
      </w:r>
      <w:r w:rsidRPr="0070080E">
        <w:t xml:space="preserve">, </w:t>
      </w:r>
      <w:r w:rsidRPr="0070080E">
        <w:rPr>
          <w:i/>
          <w:iCs/>
        </w:rPr>
        <w:t>61</w:t>
      </w:r>
      <w:r w:rsidRPr="0070080E">
        <w:t>(4), 1645–1680. https://doi.org/10.1111/j.1540-6261.2006.00885.x</w:t>
      </w:r>
    </w:p>
    <w:p w14:paraId="3CB106B6" w14:textId="77777777" w:rsidR="00F67DDB" w:rsidRPr="0070080E" w:rsidRDefault="0094076D" w:rsidP="00B71810">
      <w:pPr>
        <w:pStyle w:val="Bibliography"/>
      </w:pPr>
      <w:r w:rsidRPr="0070080E">
        <w:t xml:space="preserve">Baker, M., &amp; Wurgler, J. (2007). Investor sentiment in the stock market. </w:t>
      </w:r>
      <w:r w:rsidRPr="0070080E">
        <w:rPr>
          <w:i/>
          <w:iCs/>
        </w:rPr>
        <w:t>Journal of Economic Perspectives</w:t>
      </w:r>
      <w:r w:rsidRPr="0070080E">
        <w:t xml:space="preserve">, </w:t>
      </w:r>
      <w:r w:rsidRPr="0070080E">
        <w:rPr>
          <w:i/>
          <w:iCs/>
        </w:rPr>
        <w:t>21</w:t>
      </w:r>
      <w:r w:rsidRPr="0070080E">
        <w:t>(2), 129–151. https://doi.org/10.1257/jep.21.2.129</w:t>
      </w:r>
    </w:p>
    <w:p w14:paraId="3CB106B7" w14:textId="452D862C" w:rsidR="00F67DDB" w:rsidRPr="0070080E" w:rsidRDefault="0094076D" w:rsidP="00B71810">
      <w:pPr>
        <w:pStyle w:val="Bibliography"/>
      </w:pPr>
      <w:r w:rsidRPr="0070080E">
        <w:t xml:space="preserve">Baker, S., Bloom, N., Davis, S., &amp; Terry, S. (2020). </w:t>
      </w:r>
      <w:r w:rsidR="00E003D7">
        <w:rPr>
          <w:i/>
          <w:iCs/>
        </w:rPr>
        <w:t>COVID</w:t>
      </w:r>
      <w:r w:rsidRPr="0070080E">
        <w:rPr>
          <w:i/>
          <w:iCs/>
        </w:rPr>
        <w:t>-induced economic uncertainty</w:t>
      </w:r>
      <w:r w:rsidRPr="0070080E">
        <w:t>. National Bureau of Economic Research. https://doi.org/10.3386/w26983</w:t>
      </w:r>
    </w:p>
    <w:p w14:paraId="3CB106B8" w14:textId="184C51E0" w:rsidR="00F67DDB" w:rsidRPr="0070080E" w:rsidRDefault="009C62D3" w:rsidP="00B71810">
      <w:pPr>
        <w:pStyle w:val="Bibliography"/>
      </w:pPr>
      <w:r w:rsidRPr="009C62D3">
        <w:t xml:space="preserve">Baker, Tom and Dellaert, Benedict G. C. </w:t>
      </w:r>
      <w:r w:rsidR="0094076D" w:rsidRPr="0070080E">
        <w:t xml:space="preserve">(2017). Regulating robo advice across the financial services industry. </w:t>
      </w:r>
      <w:r w:rsidR="0094076D" w:rsidRPr="0070080E">
        <w:rPr>
          <w:i/>
          <w:iCs/>
        </w:rPr>
        <w:t>SSRN Electronic Journal</w:t>
      </w:r>
      <w:r w:rsidR="0094076D" w:rsidRPr="0070080E">
        <w:t xml:space="preserve">. </w:t>
      </w:r>
      <w:r w:rsidR="00F4688C" w:rsidRPr="00F4688C">
        <w:t>https://dx.doi.org/10.2139/ssrn.2932189</w:t>
      </w:r>
    </w:p>
    <w:p w14:paraId="3CB106B9" w14:textId="77777777" w:rsidR="00F67DDB" w:rsidRPr="0070080E" w:rsidRDefault="0094076D" w:rsidP="00B71810">
      <w:pPr>
        <w:pStyle w:val="Bibliography"/>
      </w:pPr>
      <w:r w:rsidRPr="0070080E">
        <w:t xml:space="preserve">Barber, B. M., &amp; Odean, T. (2000). Trading is hazardous to your wealth: The common stock investment performance of individual investors. </w:t>
      </w:r>
      <w:r w:rsidRPr="0070080E">
        <w:rPr>
          <w:i/>
          <w:iCs/>
        </w:rPr>
        <w:t>SSRN Electronic Journal</w:t>
      </w:r>
      <w:r w:rsidRPr="0070080E">
        <w:t>. https://doi.org/10.2139/ssrn.219228</w:t>
      </w:r>
    </w:p>
    <w:p w14:paraId="3CB106BA" w14:textId="77777777" w:rsidR="00F67DDB" w:rsidRPr="0070080E" w:rsidRDefault="0094076D" w:rsidP="00B71810">
      <w:pPr>
        <w:pStyle w:val="Bibliography"/>
      </w:pPr>
      <w:r w:rsidRPr="0070080E">
        <w:t xml:space="preserve">Barber, B. M., &amp; Odean, T. (2001). Boys will be boys: Gender, overconfidence, and common stock investment. </w:t>
      </w:r>
      <w:r w:rsidRPr="0070080E">
        <w:rPr>
          <w:i/>
          <w:iCs/>
        </w:rPr>
        <w:t>The Quarterly Journal of Economics</w:t>
      </w:r>
      <w:r w:rsidRPr="0070080E">
        <w:t xml:space="preserve">, </w:t>
      </w:r>
      <w:r w:rsidRPr="0070080E">
        <w:rPr>
          <w:i/>
          <w:iCs/>
        </w:rPr>
        <w:t>116</w:t>
      </w:r>
      <w:r w:rsidRPr="0070080E">
        <w:t>(1), 261–292. https://doi.org/10.1162/003355301556400</w:t>
      </w:r>
    </w:p>
    <w:p w14:paraId="3CB106BB" w14:textId="77777777" w:rsidR="00F67DDB" w:rsidRPr="0070080E" w:rsidRDefault="0094076D" w:rsidP="00B71810">
      <w:pPr>
        <w:pStyle w:val="Bibliography"/>
      </w:pPr>
      <w:r w:rsidRPr="0070080E">
        <w:t xml:space="preserve">Barber, B. M., &amp; Odean, T. (2008). All that glitters: The effect of attention and news on the buying behavior of individual and institutional investors. </w:t>
      </w:r>
      <w:r w:rsidRPr="0070080E">
        <w:rPr>
          <w:i/>
          <w:iCs/>
        </w:rPr>
        <w:t>Review of Financial Studies</w:t>
      </w:r>
      <w:r w:rsidRPr="0070080E">
        <w:t xml:space="preserve">, </w:t>
      </w:r>
      <w:r w:rsidRPr="0070080E">
        <w:rPr>
          <w:i/>
          <w:iCs/>
        </w:rPr>
        <w:t>21</w:t>
      </w:r>
      <w:r w:rsidRPr="0070080E">
        <w:t>(2), 785–818. https://doi.org/10.1093/rfs/hhm079</w:t>
      </w:r>
    </w:p>
    <w:p w14:paraId="3CB106BC" w14:textId="77777777" w:rsidR="00F67DDB" w:rsidRPr="0070080E" w:rsidRDefault="0094076D" w:rsidP="00B71810">
      <w:pPr>
        <w:pStyle w:val="Bibliography"/>
      </w:pPr>
      <w:r w:rsidRPr="0070080E">
        <w:t xml:space="preserve">Barberis, N., &amp; Thaler, R. H. (2002). A survey of behavioral finance. </w:t>
      </w:r>
      <w:r w:rsidRPr="0070080E">
        <w:rPr>
          <w:i/>
          <w:iCs/>
        </w:rPr>
        <w:t>SSRN Electronic Journal</w:t>
      </w:r>
      <w:r w:rsidRPr="0070080E">
        <w:t>. https://doi.org/10.2139/ssrn.327880</w:t>
      </w:r>
    </w:p>
    <w:p w14:paraId="3CB106BD" w14:textId="22F90B8C" w:rsidR="00F67DDB" w:rsidRPr="0070080E" w:rsidRDefault="0094076D" w:rsidP="00B71810">
      <w:pPr>
        <w:pStyle w:val="Bibliography"/>
      </w:pPr>
      <w:r w:rsidRPr="0070080E">
        <w:t>Baruník, J., &amp; Křehlík, T. (2018). Measuring the frequency dynamics of financial connectedness and systemic risk</w:t>
      </w:r>
      <w:r w:rsidRPr="0070080E">
        <w:rPr>
          <w:i/>
          <w:iCs/>
        </w:rPr>
        <w:t xml:space="preserve">. Journal of Financial Econometrics, </w:t>
      </w:r>
      <w:r w:rsidRPr="0070080E">
        <w:t>16</w:t>
      </w:r>
      <w:r w:rsidR="00CA200C" w:rsidRPr="0070080E">
        <w:t xml:space="preserve"> </w:t>
      </w:r>
      <w:r w:rsidRPr="0070080E">
        <w:t>(2), 271–296. https://doi.org/10.1093/jjfinec/nby001</w:t>
      </w:r>
    </w:p>
    <w:p w14:paraId="3CB106BE" w14:textId="0178C3E3" w:rsidR="00F67DDB" w:rsidRPr="0070080E" w:rsidRDefault="0094076D" w:rsidP="00B71810">
      <w:pPr>
        <w:pStyle w:val="Bibliography"/>
      </w:pPr>
      <w:r w:rsidRPr="0070080E">
        <w:t>Ben-David, I., Graham, J. R., &amp; Harvey, C. R. (2013). Managerial miscalibration</w:t>
      </w:r>
      <w:r w:rsidRPr="0070080E">
        <w:rPr>
          <w:i/>
          <w:iCs/>
        </w:rPr>
        <w:t xml:space="preserve">. The Quarterly Journal of Economics, </w:t>
      </w:r>
      <w:r w:rsidRPr="0070080E">
        <w:t>128</w:t>
      </w:r>
      <w:r w:rsidR="00CA200C" w:rsidRPr="0070080E">
        <w:t xml:space="preserve"> </w:t>
      </w:r>
      <w:r w:rsidRPr="0070080E">
        <w:t>(4), 1547–1584. https://doi.org/10.1093/qje/qjt023</w:t>
      </w:r>
    </w:p>
    <w:p w14:paraId="3CB106BF" w14:textId="77777777" w:rsidR="00F67DDB" w:rsidRPr="0070080E" w:rsidRDefault="0094076D" w:rsidP="00B71810">
      <w:pPr>
        <w:pStyle w:val="Bibliography"/>
      </w:pPr>
      <w:r w:rsidRPr="0070080E">
        <w:t xml:space="preserve">Ben-Rephael, A., Hitzemann, S., &amp; Xiao, Y. (2021). Investor (mis)reaction, biased beliefs, and the mispricing cycle. </w:t>
      </w:r>
      <w:r w:rsidRPr="0070080E">
        <w:rPr>
          <w:i/>
          <w:iCs/>
        </w:rPr>
        <w:t>SSRN Electronic Journal</w:t>
      </w:r>
      <w:r w:rsidRPr="0070080E">
        <w:t>. https://doi.org/10.2139/ssrn.3966758</w:t>
      </w:r>
    </w:p>
    <w:p w14:paraId="3CB106C0" w14:textId="77777777" w:rsidR="00F67DDB" w:rsidRPr="0070080E" w:rsidRDefault="0094076D" w:rsidP="00B71810">
      <w:pPr>
        <w:pStyle w:val="Bibliography"/>
      </w:pPr>
      <w:r w:rsidRPr="0070080E">
        <w:t xml:space="preserve">Benzinga. (2026). </w:t>
      </w:r>
      <w:r w:rsidRPr="0070080E">
        <w:rPr>
          <w:i/>
          <w:iCs/>
        </w:rPr>
        <w:t>Benzinga news</w:t>
      </w:r>
      <w:r w:rsidRPr="0070080E">
        <w:t xml:space="preserve"> [Data set]. https://www.benzinga.com</w:t>
      </w:r>
    </w:p>
    <w:p w14:paraId="3CB106C1" w14:textId="77777777" w:rsidR="00F67DDB" w:rsidRPr="0070080E" w:rsidRDefault="0094076D" w:rsidP="00B71810">
      <w:pPr>
        <w:pStyle w:val="Bibliography"/>
      </w:pPr>
      <w:r w:rsidRPr="0070080E">
        <w:t xml:space="preserve">Bergkvist, L., &amp; Rossiter, J. R. (2007). The predictive validity of multiple-item versus single-item measures of the same constructs. </w:t>
      </w:r>
      <w:r w:rsidRPr="0070080E">
        <w:rPr>
          <w:i/>
          <w:iCs/>
        </w:rPr>
        <w:t>Journal of Marketing Research</w:t>
      </w:r>
      <w:r w:rsidRPr="0070080E">
        <w:t xml:space="preserve">, </w:t>
      </w:r>
      <w:r w:rsidRPr="0070080E">
        <w:rPr>
          <w:i/>
          <w:iCs/>
        </w:rPr>
        <w:t>44</w:t>
      </w:r>
      <w:r w:rsidRPr="0070080E">
        <w:t>(2), 175–184. https://doi.org/10.1509/jmkr.44.2.175</w:t>
      </w:r>
    </w:p>
    <w:p w14:paraId="3CB106C2" w14:textId="77777777" w:rsidR="00F67DDB" w:rsidRPr="0070080E" w:rsidRDefault="0094076D" w:rsidP="00B71810">
      <w:pPr>
        <w:pStyle w:val="Bibliography"/>
      </w:pPr>
      <w:r w:rsidRPr="0070080E">
        <w:t xml:space="preserve">Bhandari, G., Hassanein, K., &amp; Deaves, R. (2008). Debiasing investors with decision support systems: An experimental investigation. </w:t>
      </w:r>
      <w:r w:rsidRPr="0070080E">
        <w:rPr>
          <w:i/>
          <w:iCs/>
        </w:rPr>
        <w:t>Decision Support Systems</w:t>
      </w:r>
      <w:r w:rsidRPr="0070080E">
        <w:t xml:space="preserve">, </w:t>
      </w:r>
      <w:r w:rsidRPr="0070080E">
        <w:rPr>
          <w:i/>
          <w:iCs/>
        </w:rPr>
        <w:t>46</w:t>
      </w:r>
      <w:r w:rsidRPr="0070080E">
        <w:t>(1), 399–410. https://doi.org/10.1016/j.dss.2008.07.010</w:t>
      </w:r>
    </w:p>
    <w:p w14:paraId="3CB106C3" w14:textId="3AE550DE" w:rsidR="00F67DDB" w:rsidRPr="0070080E" w:rsidRDefault="0094076D" w:rsidP="00B71810">
      <w:pPr>
        <w:pStyle w:val="Bibliography"/>
      </w:pPr>
      <w:r w:rsidRPr="0070080E">
        <w:t xml:space="preserve">Bianchi, M., </w:t>
      </w:r>
      <w:r w:rsidR="000B1F0E">
        <w:t xml:space="preserve">&amp; </w:t>
      </w:r>
      <w:r w:rsidRPr="0070080E">
        <w:t xml:space="preserve">Briere, M. (2021). Robo-advising: Less </w:t>
      </w:r>
      <w:r w:rsidR="0062075B">
        <w:t>AI</w:t>
      </w:r>
      <w:r w:rsidR="0062075B" w:rsidRPr="0070080E">
        <w:t xml:space="preserve"> </w:t>
      </w:r>
      <w:r w:rsidRPr="0070080E">
        <w:t xml:space="preserve">and more </w:t>
      </w:r>
      <w:r w:rsidR="0062075B">
        <w:t>XAI</w:t>
      </w:r>
      <w:r w:rsidR="006076D9" w:rsidRPr="0070080E">
        <w:t>?</w:t>
      </w:r>
      <w:r w:rsidRPr="0070080E">
        <w:t xml:space="preserve"> </w:t>
      </w:r>
      <w:r w:rsidRPr="0070080E">
        <w:rPr>
          <w:i/>
          <w:iCs/>
        </w:rPr>
        <w:t>SSRN Electronic Journal</w:t>
      </w:r>
      <w:r w:rsidRPr="0070080E">
        <w:t>. https://doi.org/10.2139/ssrn.3825110</w:t>
      </w:r>
    </w:p>
    <w:p w14:paraId="3CB106C4" w14:textId="77777777" w:rsidR="00F67DDB" w:rsidRPr="0070080E" w:rsidRDefault="0094076D" w:rsidP="00B71810">
      <w:pPr>
        <w:pStyle w:val="Bibliography"/>
      </w:pPr>
      <w:r w:rsidRPr="0070080E">
        <w:t xml:space="preserve">Bikhchandani, S., &amp; Sharma, S. (2000). Herd behavior in financial markets. </w:t>
      </w:r>
      <w:r w:rsidRPr="0070080E">
        <w:rPr>
          <w:i/>
          <w:iCs/>
        </w:rPr>
        <w:t>IMF Staff Papers</w:t>
      </w:r>
      <w:r w:rsidRPr="0070080E">
        <w:t xml:space="preserve">, </w:t>
      </w:r>
      <w:r w:rsidRPr="0070080E">
        <w:rPr>
          <w:i/>
          <w:iCs/>
        </w:rPr>
        <w:t>47</w:t>
      </w:r>
      <w:r w:rsidRPr="0070080E">
        <w:t>(3), 279–310. https://doi.org/10.2307/3867650</w:t>
      </w:r>
    </w:p>
    <w:p w14:paraId="3CB106C5" w14:textId="77777777" w:rsidR="00F67DDB" w:rsidRPr="0070080E" w:rsidRDefault="0094076D" w:rsidP="00B71810">
      <w:pPr>
        <w:pStyle w:val="Bibliography"/>
      </w:pPr>
      <w:r w:rsidRPr="0070080E">
        <w:t xml:space="preserve">Bikhchandani, S., Hirshleifer, D., &amp; Welch, I. (1992). A theory of fads, fashion, custom, and cultural change as informational cascades. </w:t>
      </w:r>
      <w:r w:rsidRPr="0070080E">
        <w:rPr>
          <w:i/>
          <w:iCs/>
        </w:rPr>
        <w:t>Journal of Political Economy</w:t>
      </w:r>
      <w:r w:rsidRPr="0070080E">
        <w:t xml:space="preserve">, </w:t>
      </w:r>
      <w:r w:rsidRPr="0070080E">
        <w:rPr>
          <w:i/>
          <w:iCs/>
        </w:rPr>
        <w:t>100</w:t>
      </w:r>
      <w:r w:rsidRPr="0070080E">
        <w:t>(5), 992–1026. https://doi.org/10.1086/261849</w:t>
      </w:r>
    </w:p>
    <w:p w14:paraId="3CB106C6" w14:textId="77777777" w:rsidR="00F67DDB" w:rsidRPr="0070080E" w:rsidRDefault="0094076D" w:rsidP="00B71810">
      <w:pPr>
        <w:pStyle w:val="Bibliography"/>
      </w:pPr>
      <w:r w:rsidRPr="0070080E">
        <w:t xml:space="preserve">Brown, N. C., Wei, K. D., &amp; Wermers, R. (2014). Analyst recommendations, mutual fund herding, and overreaction in stock prices. </w:t>
      </w:r>
      <w:r w:rsidRPr="0070080E">
        <w:rPr>
          <w:i/>
          <w:iCs/>
        </w:rPr>
        <w:t>Management Science</w:t>
      </w:r>
      <w:r w:rsidRPr="0070080E">
        <w:t xml:space="preserve">, </w:t>
      </w:r>
      <w:r w:rsidRPr="0070080E">
        <w:rPr>
          <w:i/>
          <w:iCs/>
        </w:rPr>
        <w:t>60</w:t>
      </w:r>
      <w:r w:rsidRPr="0070080E">
        <w:t>(1), 1–20. https://doi.org/10.1287/mnsc.2013.1751</w:t>
      </w:r>
    </w:p>
    <w:p w14:paraId="3CB106C7" w14:textId="77777777" w:rsidR="00F67DDB" w:rsidRPr="0070080E" w:rsidRDefault="0094076D" w:rsidP="00B71810">
      <w:pPr>
        <w:pStyle w:val="Bibliography"/>
      </w:pPr>
      <w:r w:rsidRPr="0070080E">
        <w:t xml:space="preserve">Cameron, A. C., Gelbach, J. B., &amp; Miller, D. L. (2011). Robust inference with multiway clustering. </w:t>
      </w:r>
      <w:r w:rsidRPr="0070080E">
        <w:rPr>
          <w:i/>
          <w:iCs/>
        </w:rPr>
        <w:t>Journal of Business &amp; Economic Statistics</w:t>
      </w:r>
      <w:r w:rsidRPr="0070080E">
        <w:t xml:space="preserve">, </w:t>
      </w:r>
      <w:r w:rsidRPr="0070080E">
        <w:rPr>
          <w:i/>
          <w:iCs/>
        </w:rPr>
        <w:t>29</w:t>
      </w:r>
      <w:r w:rsidRPr="0070080E">
        <w:t>(2), 238–249. https://doi.org/10.1198/jbes.2010.07136</w:t>
      </w:r>
    </w:p>
    <w:p w14:paraId="3CB106C8" w14:textId="77777777" w:rsidR="00F67DDB" w:rsidRPr="0070080E" w:rsidRDefault="0094076D" w:rsidP="00B71810">
      <w:pPr>
        <w:pStyle w:val="Bibliography"/>
      </w:pPr>
      <w:r w:rsidRPr="0070080E">
        <w:t xml:space="preserve">Charness, G., Gneezy, U., &amp; Kuhn, M. A. (2012). Experimental methods: Between-subject and within-subject design. </w:t>
      </w:r>
      <w:r w:rsidRPr="0070080E">
        <w:rPr>
          <w:i/>
          <w:iCs/>
        </w:rPr>
        <w:t>Journal of Economic Behavior &amp; Organization</w:t>
      </w:r>
      <w:r w:rsidRPr="0070080E">
        <w:t xml:space="preserve">, </w:t>
      </w:r>
      <w:r w:rsidRPr="0070080E">
        <w:rPr>
          <w:i/>
          <w:iCs/>
        </w:rPr>
        <w:t>81</w:t>
      </w:r>
      <w:r w:rsidRPr="0070080E">
        <w:t>(1), 1–8. https://doi.org/10.1016/j.jebo.2011.08.009</w:t>
      </w:r>
    </w:p>
    <w:p w14:paraId="3CB106C9" w14:textId="77777777" w:rsidR="00F67DDB" w:rsidRPr="0070080E" w:rsidRDefault="0094076D" w:rsidP="00B71810">
      <w:pPr>
        <w:pStyle w:val="Bibliography"/>
      </w:pPr>
      <w:r w:rsidRPr="0070080E">
        <w:t xml:space="preserve">Chen, S., Li, J., Rau, P. R., &amp; Yan, C. (2024). </w:t>
      </w:r>
      <w:r w:rsidRPr="0070080E">
        <w:rPr>
          <w:i/>
          <w:iCs/>
        </w:rPr>
        <w:t>Animal spirits: Superstitious behavior by mutual fund managers</w:t>
      </w:r>
      <w:r w:rsidRPr="0070080E">
        <w:t>. https://doi.org/10.2139/ssrn.4942370</w:t>
      </w:r>
    </w:p>
    <w:p w14:paraId="3CB106CA" w14:textId="0A5C2C8B" w:rsidR="00F67DDB" w:rsidRPr="0070080E" w:rsidRDefault="0094076D" w:rsidP="00B71810">
      <w:pPr>
        <w:pStyle w:val="Bibliography"/>
      </w:pPr>
      <w:r w:rsidRPr="0070080E">
        <w:t xml:space="preserve">Coates, J. M., &amp; Herbert, J. (2008). Endogenous steroids and financial risk taking on a </w:t>
      </w:r>
      <w:r w:rsidR="006076D9" w:rsidRPr="0070080E">
        <w:t>London</w:t>
      </w:r>
      <w:r w:rsidRPr="0070080E">
        <w:t xml:space="preserve"> trading floor. </w:t>
      </w:r>
      <w:r w:rsidRPr="0070080E">
        <w:rPr>
          <w:i/>
          <w:iCs/>
        </w:rPr>
        <w:t>Proceedings of the National Academy of Sciences</w:t>
      </w:r>
      <w:r w:rsidRPr="0070080E">
        <w:t xml:space="preserve">, </w:t>
      </w:r>
      <w:r w:rsidRPr="0070080E">
        <w:rPr>
          <w:i/>
          <w:iCs/>
        </w:rPr>
        <w:t>105</w:t>
      </w:r>
      <w:r w:rsidRPr="0070080E">
        <w:t>(16), 6167–6172. https://doi.org/10.1073/pnas.0704025105</w:t>
      </w:r>
    </w:p>
    <w:p w14:paraId="3CB106CB" w14:textId="77777777" w:rsidR="00F67DDB" w:rsidRPr="0070080E" w:rsidRDefault="0094076D" w:rsidP="00B71810">
      <w:pPr>
        <w:pStyle w:val="Bibliography"/>
      </w:pPr>
      <w:r w:rsidRPr="0070080E">
        <w:t xml:space="preserve">Cochrane, J. H. (2005). </w:t>
      </w:r>
      <w:r w:rsidRPr="0070080E">
        <w:rPr>
          <w:i/>
          <w:iCs/>
        </w:rPr>
        <w:t>Asset pricing</w:t>
      </w:r>
      <w:r w:rsidRPr="0070080E">
        <w:t xml:space="preserve"> (Rev. ed.). Princeton University Press.</w:t>
      </w:r>
    </w:p>
    <w:p w14:paraId="3CB106CC" w14:textId="77777777" w:rsidR="00F67DDB" w:rsidRPr="0070080E" w:rsidRDefault="0094076D" w:rsidP="00B71810">
      <w:pPr>
        <w:pStyle w:val="Bibliography"/>
      </w:pPr>
      <w:r w:rsidRPr="0070080E">
        <w:t xml:space="preserve">Cremers, M., Pareek, A., &amp; Sautner, Z. (2021). Short‐term institutions, analyst recommendations, and mispricing: The role of higher order beliefs. </w:t>
      </w:r>
      <w:r w:rsidRPr="0070080E">
        <w:rPr>
          <w:i/>
          <w:iCs/>
        </w:rPr>
        <w:t>Journal of Accounting Research</w:t>
      </w:r>
      <w:r w:rsidRPr="0070080E">
        <w:t xml:space="preserve">, </w:t>
      </w:r>
      <w:r w:rsidRPr="0070080E">
        <w:rPr>
          <w:i/>
          <w:iCs/>
        </w:rPr>
        <w:t>59</w:t>
      </w:r>
      <w:r w:rsidRPr="0070080E">
        <w:t>(3), 911–958. https://doi.org/10.1111/1475-679x.12352</w:t>
      </w:r>
    </w:p>
    <w:p w14:paraId="3CB106CD" w14:textId="77777777" w:rsidR="00F67DDB" w:rsidRPr="0070080E" w:rsidRDefault="0094076D" w:rsidP="00B71810">
      <w:pPr>
        <w:pStyle w:val="Bibliography"/>
      </w:pPr>
      <w:r w:rsidRPr="0070080E">
        <w:t xml:space="preserve">Da, Z., Engelberg, J., &amp; Gao, P. (2011). In search of attention. </w:t>
      </w:r>
      <w:r w:rsidRPr="0070080E">
        <w:rPr>
          <w:i/>
          <w:iCs/>
        </w:rPr>
        <w:t>The Journal of Finance</w:t>
      </w:r>
      <w:r w:rsidRPr="0070080E">
        <w:t xml:space="preserve">, </w:t>
      </w:r>
      <w:r w:rsidRPr="0070080E">
        <w:rPr>
          <w:i/>
          <w:iCs/>
        </w:rPr>
        <w:t>66</w:t>
      </w:r>
      <w:r w:rsidRPr="0070080E">
        <w:t>(5), 1461–1499. https://doi.org/10.1111/j.1540-6261.2011.01679.x</w:t>
      </w:r>
    </w:p>
    <w:p w14:paraId="3CB106CE" w14:textId="730D0E8D" w:rsidR="00F67DDB" w:rsidRPr="0070080E" w:rsidRDefault="0094076D" w:rsidP="00B71810">
      <w:pPr>
        <w:pStyle w:val="Bibliography"/>
      </w:pPr>
      <w:r w:rsidRPr="0070080E">
        <w:t>Da, Z., Engelberg, J., &amp; Gao, P. (2015). The sum of all fears</w:t>
      </w:r>
      <w:r w:rsidR="00DE7499">
        <w:t>:</w:t>
      </w:r>
      <w:r w:rsidRPr="0070080E">
        <w:t xml:space="preserve"> investor sentiment and asset prices. </w:t>
      </w:r>
      <w:r w:rsidRPr="0070080E">
        <w:rPr>
          <w:i/>
          <w:iCs/>
        </w:rPr>
        <w:t>Review of Financial Studies</w:t>
      </w:r>
      <w:r w:rsidRPr="0070080E">
        <w:t xml:space="preserve">, </w:t>
      </w:r>
      <w:r w:rsidRPr="0070080E">
        <w:rPr>
          <w:i/>
          <w:iCs/>
        </w:rPr>
        <w:t>28</w:t>
      </w:r>
      <w:r w:rsidRPr="0070080E">
        <w:t>(1), 1–32. https://doi.org/10.1093/rfs/hhu072</w:t>
      </w:r>
    </w:p>
    <w:p w14:paraId="3CB106CF" w14:textId="77777777" w:rsidR="00F67DDB" w:rsidRPr="0070080E" w:rsidRDefault="0094076D" w:rsidP="00B71810">
      <w:pPr>
        <w:pStyle w:val="Bibliography"/>
      </w:pPr>
      <w:r w:rsidRPr="0070080E">
        <w:t xml:space="preserve">Daniel, K., Hirshleifer, D., &amp; Subrahmanyam, A. (1998). Investor psychology and security market under‐ and overreactions. </w:t>
      </w:r>
      <w:r w:rsidRPr="0070080E">
        <w:rPr>
          <w:i/>
          <w:iCs/>
        </w:rPr>
        <w:t>The Journal of Finance</w:t>
      </w:r>
      <w:r w:rsidRPr="0070080E">
        <w:t xml:space="preserve">, </w:t>
      </w:r>
      <w:r w:rsidRPr="0070080E">
        <w:rPr>
          <w:i/>
          <w:iCs/>
        </w:rPr>
        <w:t>53</w:t>
      </w:r>
      <w:r w:rsidRPr="0070080E">
        <w:t>(6), 1839–1885. https://doi.org/10.1111/0022-1082.00077</w:t>
      </w:r>
    </w:p>
    <w:p w14:paraId="3CB106D0" w14:textId="0D258673" w:rsidR="00F67DDB" w:rsidRPr="0070080E" w:rsidRDefault="0094076D" w:rsidP="00B71810">
      <w:pPr>
        <w:pStyle w:val="Bibliography"/>
      </w:pPr>
      <w:r w:rsidRPr="0070080E">
        <w:t xml:space="preserve">De </w:t>
      </w:r>
      <w:r w:rsidR="003706E0">
        <w:t>Bondt</w:t>
      </w:r>
      <w:r w:rsidRPr="0070080E">
        <w:t xml:space="preserve">, W. F. M., &amp; Thaler, R. (1985). Does the stock market </w:t>
      </w:r>
      <w:r w:rsidR="00EE3975" w:rsidRPr="0070080E">
        <w:t>overreact?</w:t>
      </w:r>
      <w:r w:rsidRPr="0070080E">
        <w:t xml:space="preserve"> </w:t>
      </w:r>
      <w:r w:rsidRPr="0070080E">
        <w:rPr>
          <w:i/>
          <w:iCs/>
        </w:rPr>
        <w:t>The Journal of Finance</w:t>
      </w:r>
      <w:r w:rsidRPr="0070080E">
        <w:t xml:space="preserve">, </w:t>
      </w:r>
      <w:r w:rsidRPr="0070080E">
        <w:rPr>
          <w:i/>
          <w:iCs/>
        </w:rPr>
        <w:t>40</w:t>
      </w:r>
      <w:r w:rsidRPr="0070080E">
        <w:t>(3), 793–805. https://doi.org/10.1111/j.1540-6261.1985.tb05004.x</w:t>
      </w:r>
    </w:p>
    <w:p w14:paraId="3CB106D1" w14:textId="73A394DC" w:rsidR="00F67DDB" w:rsidRPr="0070080E" w:rsidRDefault="0094076D" w:rsidP="00B71810">
      <w:pPr>
        <w:pStyle w:val="Bibliography"/>
      </w:pPr>
      <w:r w:rsidRPr="0070080E">
        <w:t>DeMiguel, V., Garlappi, L., &amp; Uppal, R. (2009). Optimal versus naive diversification: How inefficient is the 1/n</w:t>
      </w:r>
      <w:r w:rsidR="00EE3975">
        <w:t xml:space="preserve"> </w:t>
      </w:r>
      <w:r w:rsidRPr="0070080E">
        <w:t xml:space="preserve">portfolio </w:t>
      </w:r>
      <w:r w:rsidR="00EE3975" w:rsidRPr="0070080E">
        <w:t>strategy?</w:t>
      </w:r>
      <w:r w:rsidRPr="0070080E">
        <w:t xml:space="preserve"> </w:t>
      </w:r>
      <w:r w:rsidRPr="0070080E">
        <w:rPr>
          <w:i/>
          <w:iCs/>
        </w:rPr>
        <w:t>Review of Financial Studies</w:t>
      </w:r>
      <w:r w:rsidRPr="0070080E">
        <w:t xml:space="preserve">, </w:t>
      </w:r>
      <w:r w:rsidRPr="0070080E">
        <w:rPr>
          <w:i/>
          <w:iCs/>
        </w:rPr>
        <w:t>22</w:t>
      </w:r>
      <w:r w:rsidRPr="0070080E">
        <w:t>(5), 1915–1953. https://doi.org/10.1093/rfs/hhm075</w:t>
      </w:r>
    </w:p>
    <w:p w14:paraId="3CB106D2" w14:textId="77777777" w:rsidR="00F67DDB" w:rsidRPr="0070080E" w:rsidRDefault="0094076D" w:rsidP="00B71810">
      <w:pPr>
        <w:pStyle w:val="Bibliography"/>
      </w:pPr>
      <w:r w:rsidRPr="0070080E">
        <w:t xml:space="preserve">Dietvorst, B. J., Simmons, J. P., &amp; Massey, C. (2015). Algorithm aversion: People erroneously avoid algorithms after seeing them err. </w:t>
      </w:r>
      <w:r w:rsidRPr="0070080E">
        <w:rPr>
          <w:i/>
          <w:iCs/>
        </w:rPr>
        <w:t>Journal of Experimental Psychology: General</w:t>
      </w:r>
      <w:r w:rsidRPr="0070080E">
        <w:t xml:space="preserve">, </w:t>
      </w:r>
      <w:r w:rsidRPr="0070080E">
        <w:rPr>
          <w:i/>
          <w:iCs/>
        </w:rPr>
        <w:t>144</w:t>
      </w:r>
      <w:r w:rsidRPr="0070080E">
        <w:t>(1), 114–126. https://doi.org/10.1037/xge0000033</w:t>
      </w:r>
    </w:p>
    <w:p w14:paraId="3CB106D3" w14:textId="226FBEE7" w:rsidR="00F67DDB" w:rsidRPr="0070080E" w:rsidRDefault="0094076D" w:rsidP="00B71810">
      <w:pPr>
        <w:pStyle w:val="Bibliography"/>
      </w:pPr>
      <w:r w:rsidRPr="0070080E">
        <w:t xml:space="preserve">Doronila, R. A. (2025). </w:t>
      </w:r>
      <w:r w:rsidRPr="0070080E">
        <w:rPr>
          <w:i/>
          <w:iCs/>
        </w:rPr>
        <w:t xml:space="preserve">Is </w:t>
      </w:r>
      <w:r w:rsidR="00EE3975" w:rsidRPr="0070080E">
        <w:rPr>
          <w:i/>
          <w:iCs/>
        </w:rPr>
        <w:t>Likert</w:t>
      </w:r>
      <w:r w:rsidRPr="0070080E">
        <w:rPr>
          <w:i/>
          <w:iCs/>
        </w:rPr>
        <w:t xml:space="preserve"> scale ‘still in’ in </w:t>
      </w:r>
      <w:r w:rsidR="00EE3975" w:rsidRPr="0070080E">
        <w:rPr>
          <w:i/>
          <w:iCs/>
        </w:rPr>
        <w:t>2024?</w:t>
      </w:r>
      <w:r w:rsidRPr="0070080E">
        <w:t xml:space="preserve"> https://doi.org/10.2139/ssrn.5877342</w:t>
      </w:r>
    </w:p>
    <w:p w14:paraId="3CB106D4" w14:textId="77777777" w:rsidR="00F67DDB" w:rsidRPr="0070080E" w:rsidRDefault="0094076D" w:rsidP="00B71810">
      <w:pPr>
        <w:pStyle w:val="Bibliography"/>
      </w:pPr>
      <w:r w:rsidRPr="0070080E">
        <w:t xml:space="preserve">Elkind, D., Kaminski, K., Lo, A. W., Siah, K. W., &amp; Wong, C. H. (2022). When do investors freak out? machine learning predictions of panic selling. </w:t>
      </w:r>
      <w:r w:rsidRPr="0070080E">
        <w:rPr>
          <w:i/>
          <w:iCs/>
        </w:rPr>
        <w:t>The Journal of Financial Data Science</w:t>
      </w:r>
      <w:r w:rsidRPr="0070080E">
        <w:t xml:space="preserve">, </w:t>
      </w:r>
      <w:r w:rsidRPr="0070080E">
        <w:rPr>
          <w:i/>
          <w:iCs/>
        </w:rPr>
        <w:t>4</w:t>
      </w:r>
      <w:r w:rsidRPr="0070080E">
        <w:t>(1), 11–39. https://doi.org/10.3905/jfds.2021.1.085</w:t>
      </w:r>
    </w:p>
    <w:p w14:paraId="3CB106D5" w14:textId="77777777" w:rsidR="00F67DDB" w:rsidRPr="0070080E" w:rsidRDefault="0094076D" w:rsidP="00B71810">
      <w:pPr>
        <w:pStyle w:val="Bibliography"/>
      </w:pPr>
      <w:r w:rsidRPr="0070080E">
        <w:t xml:space="preserve">Engelberg, J., &amp; Parsons, C. A. (2009). The causal impact of media in financial markets. </w:t>
      </w:r>
      <w:r w:rsidRPr="0070080E">
        <w:rPr>
          <w:i/>
          <w:iCs/>
        </w:rPr>
        <w:t>SSRN Electronic Journal</w:t>
      </w:r>
      <w:r w:rsidRPr="0070080E">
        <w:t>. https://doi.org/10.2139/ssrn.1462416</w:t>
      </w:r>
    </w:p>
    <w:p w14:paraId="3CB106D6" w14:textId="77777777" w:rsidR="00F67DDB" w:rsidRPr="0070080E" w:rsidRDefault="0094076D" w:rsidP="00B71810">
      <w:pPr>
        <w:pStyle w:val="Bibliography"/>
      </w:pPr>
      <w:r w:rsidRPr="0070080E">
        <w:t xml:space="preserve">Frazzini, A. (2006). The disposition effect and underreaction to news. </w:t>
      </w:r>
      <w:r w:rsidRPr="0070080E">
        <w:rPr>
          <w:i/>
          <w:iCs/>
        </w:rPr>
        <w:t>The Journal of Finance</w:t>
      </w:r>
      <w:r w:rsidRPr="0070080E">
        <w:t xml:space="preserve">, </w:t>
      </w:r>
      <w:r w:rsidRPr="0070080E">
        <w:rPr>
          <w:i/>
          <w:iCs/>
        </w:rPr>
        <w:t>61</w:t>
      </w:r>
      <w:r w:rsidRPr="0070080E">
        <w:t>(4), 2017–2046. https://doi.org/10.1111/j.1540-6261.2006.00896.x</w:t>
      </w:r>
    </w:p>
    <w:p w14:paraId="3CB106D7" w14:textId="77777777" w:rsidR="00F67DDB" w:rsidRPr="0070080E" w:rsidRDefault="0094076D" w:rsidP="00B71810">
      <w:pPr>
        <w:pStyle w:val="Bibliography"/>
      </w:pPr>
      <w:r w:rsidRPr="0070080E">
        <w:t xml:space="preserve">French, K. R., &amp; Roll, R. (1986). Stock return variances. </w:t>
      </w:r>
      <w:r w:rsidRPr="0070080E">
        <w:rPr>
          <w:i/>
          <w:iCs/>
        </w:rPr>
        <w:t>Journal of Financial Economics</w:t>
      </w:r>
      <w:r w:rsidRPr="0070080E">
        <w:t xml:space="preserve">, </w:t>
      </w:r>
      <w:r w:rsidRPr="0070080E">
        <w:rPr>
          <w:i/>
          <w:iCs/>
        </w:rPr>
        <w:t>17</w:t>
      </w:r>
      <w:r w:rsidRPr="0070080E">
        <w:t>(1), 5–26. https://doi.org/10.1016/0304-405x(86)90004-8</w:t>
      </w:r>
    </w:p>
    <w:p w14:paraId="3CB106D8" w14:textId="77777777" w:rsidR="00F67DDB" w:rsidRPr="0070080E" w:rsidRDefault="0094076D" w:rsidP="00B71810">
      <w:pPr>
        <w:pStyle w:val="Bibliography"/>
      </w:pPr>
      <w:r w:rsidRPr="0070080E">
        <w:t xml:space="preserve">Gervais, S., &amp; Odean, T. (2001). Learning to be overconfident. </w:t>
      </w:r>
      <w:r w:rsidRPr="0070080E">
        <w:rPr>
          <w:i/>
          <w:iCs/>
        </w:rPr>
        <w:t>Review of Financial Studies</w:t>
      </w:r>
      <w:r w:rsidRPr="0070080E">
        <w:t xml:space="preserve">, </w:t>
      </w:r>
      <w:r w:rsidRPr="0070080E">
        <w:rPr>
          <w:i/>
          <w:iCs/>
        </w:rPr>
        <w:t>14</w:t>
      </w:r>
      <w:r w:rsidRPr="0070080E">
        <w:t>(1), 1–27. https://doi.org/10.1093/rfs/14.1.1</w:t>
      </w:r>
    </w:p>
    <w:p w14:paraId="3CB106D9" w14:textId="77777777" w:rsidR="00F67DDB" w:rsidRPr="0070080E" w:rsidRDefault="0094076D" w:rsidP="00B71810">
      <w:pPr>
        <w:pStyle w:val="Bibliography"/>
      </w:pPr>
      <w:r w:rsidRPr="0070080E">
        <w:t xml:space="preserve">Goodell, J. W., Kumar, S., Rao, P., &amp; Verma, S. (2023). Emotions and stock market anomalies: A systematic review. </w:t>
      </w:r>
      <w:r w:rsidRPr="0070080E">
        <w:rPr>
          <w:i/>
          <w:iCs/>
        </w:rPr>
        <w:t>Journal of Behavioral and Experimental Finance</w:t>
      </w:r>
      <w:r w:rsidRPr="0070080E">
        <w:t xml:space="preserve">, </w:t>
      </w:r>
      <w:r w:rsidRPr="0070080E">
        <w:rPr>
          <w:i/>
          <w:iCs/>
        </w:rPr>
        <w:t>37</w:t>
      </w:r>
      <w:r w:rsidRPr="0070080E">
        <w:t>, 100722. https://doi.org/10.1016/j.jbef.2022.100722</w:t>
      </w:r>
    </w:p>
    <w:p w14:paraId="3CB106DA" w14:textId="33FB7238" w:rsidR="00F67DDB" w:rsidRPr="0070080E" w:rsidRDefault="0094076D" w:rsidP="00B71810">
      <w:pPr>
        <w:pStyle w:val="Bibliography"/>
      </w:pPr>
      <w:r w:rsidRPr="0070080E">
        <w:t xml:space="preserve">Grinblatt, M., &amp; Keloharju, M. (2001). What makes investors </w:t>
      </w:r>
      <w:r w:rsidR="00EE3975" w:rsidRPr="0070080E">
        <w:t>trade?</w:t>
      </w:r>
      <w:r w:rsidRPr="0070080E">
        <w:t xml:space="preserve"> </w:t>
      </w:r>
      <w:r w:rsidRPr="0070080E">
        <w:rPr>
          <w:i/>
          <w:iCs/>
        </w:rPr>
        <w:t>The Journal of Finance</w:t>
      </w:r>
      <w:r w:rsidRPr="0070080E">
        <w:t xml:space="preserve">, </w:t>
      </w:r>
      <w:r w:rsidRPr="0070080E">
        <w:rPr>
          <w:i/>
          <w:iCs/>
        </w:rPr>
        <w:t>56</w:t>
      </w:r>
      <w:r w:rsidRPr="0070080E">
        <w:t>(2), 589–616. https://doi.org/10.1111/0022-1082.00338</w:t>
      </w:r>
    </w:p>
    <w:p w14:paraId="3CB106DB" w14:textId="77777777" w:rsidR="00F67DDB" w:rsidRPr="0070080E" w:rsidRDefault="0094076D" w:rsidP="00B71810">
      <w:pPr>
        <w:pStyle w:val="Bibliography"/>
      </w:pPr>
      <w:r w:rsidRPr="0070080E">
        <w:t xml:space="preserve">Harvey, C. R., Mazzoleni, M., &amp; Melone, A. (2025). The unintended consequences of rebalancing. </w:t>
      </w:r>
      <w:r w:rsidRPr="0070080E">
        <w:rPr>
          <w:i/>
          <w:iCs/>
        </w:rPr>
        <w:t>SSRN Electronic Journal</w:t>
      </w:r>
      <w:r w:rsidRPr="0070080E">
        <w:t>. https://doi.org/10.2139/ssrn.5122748</w:t>
      </w:r>
    </w:p>
    <w:p w14:paraId="3CB106DC" w14:textId="77777777" w:rsidR="00F67DDB" w:rsidRPr="0070080E" w:rsidRDefault="0094076D" w:rsidP="00B71810">
      <w:pPr>
        <w:pStyle w:val="Bibliography"/>
      </w:pPr>
      <w:r w:rsidRPr="0070080E">
        <w:t xml:space="preserve">Henderson, V., Hobson, D., &amp; Tse, A. S. (2018). Probability weighting, stop-loss and the disposition effect. </w:t>
      </w:r>
      <w:r w:rsidRPr="0070080E">
        <w:rPr>
          <w:i/>
          <w:iCs/>
        </w:rPr>
        <w:t>Journal of Economic Theory</w:t>
      </w:r>
      <w:r w:rsidRPr="0070080E">
        <w:t xml:space="preserve">, </w:t>
      </w:r>
      <w:r w:rsidRPr="0070080E">
        <w:rPr>
          <w:i/>
          <w:iCs/>
        </w:rPr>
        <w:t>178</w:t>
      </w:r>
      <w:r w:rsidRPr="0070080E">
        <w:t>, 360–397. https://doi.org/10.1016/j.jet.2018.10.002</w:t>
      </w:r>
    </w:p>
    <w:p w14:paraId="3CB106DD" w14:textId="77777777" w:rsidR="00F67DDB" w:rsidRPr="0070080E" w:rsidRDefault="0094076D" w:rsidP="00B71810">
      <w:pPr>
        <w:pStyle w:val="Bibliography"/>
      </w:pPr>
      <w:r w:rsidRPr="0070080E">
        <w:t xml:space="preserve">Hirshleifer, D. (2015). Behavioral finance. </w:t>
      </w:r>
      <w:r w:rsidRPr="0070080E">
        <w:rPr>
          <w:i/>
          <w:iCs/>
        </w:rPr>
        <w:t>Annual Review of Financial Economics</w:t>
      </w:r>
      <w:r w:rsidRPr="0070080E">
        <w:t xml:space="preserve">, </w:t>
      </w:r>
      <w:r w:rsidRPr="0070080E">
        <w:rPr>
          <w:i/>
          <w:iCs/>
        </w:rPr>
        <w:t>7</w:t>
      </w:r>
      <w:r w:rsidRPr="0070080E">
        <w:t>(1), 133–159. https://doi.org/10.1146/annurev-financial-092214-043752</w:t>
      </w:r>
    </w:p>
    <w:p w14:paraId="3CB106DE" w14:textId="77777777" w:rsidR="00F67DDB" w:rsidRPr="0070080E" w:rsidRDefault="0094076D" w:rsidP="00B71810">
      <w:pPr>
        <w:pStyle w:val="Bibliography"/>
      </w:pPr>
      <w:r w:rsidRPr="0070080E">
        <w:t xml:space="preserve">Hodgkinson, G. P., Bown, N. J., Maule, A. J., Glaister, K. W., &amp; Pearman, A. D. (1999). Breaking the frame: An analysis of strategic cognition and decision making under uncertainty. </w:t>
      </w:r>
      <w:r w:rsidRPr="0070080E">
        <w:rPr>
          <w:i/>
          <w:iCs/>
        </w:rPr>
        <w:t>Strategic Management Journal</w:t>
      </w:r>
      <w:r w:rsidRPr="0070080E">
        <w:t xml:space="preserve">, </w:t>
      </w:r>
      <w:r w:rsidRPr="0070080E">
        <w:rPr>
          <w:i/>
          <w:iCs/>
        </w:rPr>
        <w:t>20</w:t>
      </w:r>
      <w:r w:rsidRPr="0070080E">
        <w:t>(10), 977–985. https://doi.org/10.1002/(SICI)1097-0266(199910)20:10&lt;</w:t>
      </w:r>
      <w:proofErr w:type="gramStart"/>
      <w:r w:rsidRPr="0070080E">
        <w:t>977::</w:t>
      </w:r>
      <w:proofErr w:type="gramEnd"/>
      <w:r w:rsidRPr="0070080E">
        <w:t>AID-SMJ58&gt;3.0.CO;2-X</w:t>
      </w:r>
    </w:p>
    <w:p w14:paraId="3CB106DF" w14:textId="262ADC87" w:rsidR="00F67DDB" w:rsidRPr="0070080E" w:rsidRDefault="0094076D" w:rsidP="00B71810">
      <w:pPr>
        <w:pStyle w:val="Bibliography"/>
      </w:pPr>
      <w:r w:rsidRPr="0070080E">
        <w:t>Huber, C., Huber, J., &amp; Kirchler, M. (2021). Market shocks and professionals’ investment behavior</w:t>
      </w:r>
      <w:r w:rsidR="000A66AA">
        <w:t>—</w:t>
      </w:r>
      <w:r w:rsidRPr="0070080E">
        <w:t xml:space="preserve">Evidence from the COVID-19 crash. </w:t>
      </w:r>
      <w:r w:rsidRPr="0070080E">
        <w:rPr>
          <w:i/>
          <w:iCs/>
        </w:rPr>
        <w:t>Journal of Banking &amp; Finance</w:t>
      </w:r>
      <w:r w:rsidRPr="0070080E">
        <w:t xml:space="preserve">, </w:t>
      </w:r>
      <w:r w:rsidRPr="0070080E">
        <w:rPr>
          <w:i/>
          <w:iCs/>
        </w:rPr>
        <w:t>133</w:t>
      </w:r>
      <w:r w:rsidRPr="0070080E">
        <w:t>, Article 106247. https://doi.org/10.1016/j.jbankfin.2021.106247</w:t>
      </w:r>
    </w:p>
    <w:p w14:paraId="3CB106E0" w14:textId="77777777" w:rsidR="00F67DDB" w:rsidRPr="0070080E" w:rsidRDefault="0094076D" w:rsidP="00B71810">
      <w:pPr>
        <w:pStyle w:val="Bibliography"/>
      </w:pPr>
      <w:r w:rsidRPr="0070080E">
        <w:t xml:space="preserve">Huber, C., Huber, J., &amp; Kirchler, M. (2022). Volatility shocks and investment behavior. </w:t>
      </w:r>
      <w:r w:rsidRPr="0070080E">
        <w:rPr>
          <w:i/>
          <w:iCs/>
        </w:rPr>
        <w:t>Journal of Economic Behavior &amp; Organization</w:t>
      </w:r>
      <w:r w:rsidRPr="0070080E">
        <w:t xml:space="preserve">, </w:t>
      </w:r>
      <w:r w:rsidRPr="0070080E">
        <w:rPr>
          <w:i/>
          <w:iCs/>
        </w:rPr>
        <w:t>194</w:t>
      </w:r>
      <w:r w:rsidRPr="0070080E">
        <w:t>, 56–70. https://doi.org/10.1016/j.jebo.2021.12.007</w:t>
      </w:r>
    </w:p>
    <w:p w14:paraId="3CB106E1" w14:textId="77777777" w:rsidR="00F67DDB" w:rsidRPr="0070080E" w:rsidRDefault="0094076D" w:rsidP="00B71810">
      <w:pPr>
        <w:pStyle w:val="Bibliography"/>
      </w:pPr>
      <w:r w:rsidRPr="0070080E">
        <w:t xml:space="preserve">Interactive Brokers. (2026). </w:t>
      </w:r>
      <w:r w:rsidRPr="0070080E">
        <w:rPr>
          <w:i/>
          <w:iCs/>
        </w:rPr>
        <w:t>Historical market data</w:t>
      </w:r>
      <w:r w:rsidRPr="0070080E">
        <w:t xml:space="preserve"> [Data set]. https://www.interactivebrokers.co.uk</w:t>
      </w:r>
    </w:p>
    <w:p w14:paraId="3CB106E2" w14:textId="77777777" w:rsidR="00F67DDB" w:rsidRPr="0070080E" w:rsidRDefault="0094076D" w:rsidP="00B71810">
      <w:pPr>
        <w:pStyle w:val="Bibliography"/>
      </w:pPr>
      <w:r w:rsidRPr="0070080E">
        <w:t xml:space="preserve">Jiang, G. J., &amp; Zhu, K. X. (2017). Information shocks and short-term market underreaction. </w:t>
      </w:r>
      <w:r w:rsidRPr="0070080E">
        <w:rPr>
          <w:i/>
          <w:iCs/>
        </w:rPr>
        <w:t>Journal of Financial Economics</w:t>
      </w:r>
      <w:r w:rsidRPr="0070080E">
        <w:t xml:space="preserve">, </w:t>
      </w:r>
      <w:r w:rsidRPr="0070080E">
        <w:rPr>
          <w:i/>
          <w:iCs/>
        </w:rPr>
        <w:t>124</w:t>
      </w:r>
      <w:r w:rsidRPr="0070080E">
        <w:t>(1), 43–64. https://doi.org/10.1016/j.jfineco.2016.06.006</w:t>
      </w:r>
    </w:p>
    <w:p w14:paraId="3CB106E3" w14:textId="732FD4A2" w:rsidR="00F67DDB" w:rsidRPr="0070080E" w:rsidRDefault="0094076D" w:rsidP="00B71810">
      <w:pPr>
        <w:pStyle w:val="Bibliography"/>
      </w:pPr>
      <w:r w:rsidRPr="0070080E">
        <w:t xml:space="preserve">Jiang, H., &amp; Verardo, M. (2018). Does herding behavior reveal skill? </w:t>
      </w:r>
      <w:r w:rsidR="00DE7499">
        <w:t>A</w:t>
      </w:r>
      <w:r w:rsidRPr="0070080E">
        <w:t xml:space="preserve">n analysis of mutual fund performance. </w:t>
      </w:r>
      <w:r w:rsidRPr="0070080E">
        <w:rPr>
          <w:i/>
          <w:iCs/>
        </w:rPr>
        <w:t>The Journal of Finance</w:t>
      </w:r>
      <w:r w:rsidRPr="0070080E">
        <w:t xml:space="preserve">, </w:t>
      </w:r>
      <w:r w:rsidRPr="0070080E">
        <w:rPr>
          <w:i/>
          <w:iCs/>
        </w:rPr>
        <w:t>73</w:t>
      </w:r>
      <w:r w:rsidRPr="0070080E">
        <w:t>(5), 2229–2269. https://doi.org/10.1111/jofi.12699</w:t>
      </w:r>
    </w:p>
    <w:p w14:paraId="3CB106E4" w14:textId="77777777" w:rsidR="00F67DDB" w:rsidRPr="0070080E" w:rsidRDefault="0094076D" w:rsidP="00B71810">
      <w:pPr>
        <w:pStyle w:val="Bibliography"/>
      </w:pPr>
      <w:r w:rsidRPr="0070080E">
        <w:t xml:space="preserve">Jolliffe, I. T., &amp; Cadima, J. (2016). Principal component analysis: A review and recent developments. </w:t>
      </w:r>
      <w:r w:rsidRPr="0070080E">
        <w:rPr>
          <w:i/>
          <w:iCs/>
        </w:rPr>
        <w:t>Philosophical Transactions of the Royal Society A: Mathematical, Physical and Engineering Sciences</w:t>
      </w:r>
      <w:r w:rsidRPr="0070080E">
        <w:t xml:space="preserve">, </w:t>
      </w:r>
      <w:r w:rsidRPr="0070080E">
        <w:rPr>
          <w:i/>
          <w:iCs/>
        </w:rPr>
        <w:t>374</w:t>
      </w:r>
      <w:r w:rsidRPr="0070080E">
        <w:t>(2065), 20150202. https://doi.org/10.1098/rsta.2015.0202</w:t>
      </w:r>
    </w:p>
    <w:p w14:paraId="3CB106E5" w14:textId="77777777" w:rsidR="00F67DDB" w:rsidRPr="0070080E" w:rsidRDefault="0094076D" w:rsidP="00B71810">
      <w:pPr>
        <w:pStyle w:val="Bibliography"/>
      </w:pPr>
      <w:r w:rsidRPr="0070080E">
        <w:t xml:space="preserve">Jung, D., Dorner, V., Glaser, F., &amp; Morana, S. (2018). Robo-advisory. </w:t>
      </w:r>
      <w:r w:rsidRPr="0070080E">
        <w:rPr>
          <w:i/>
          <w:iCs/>
        </w:rPr>
        <w:t>Business &amp; Information Systems Engineering</w:t>
      </w:r>
      <w:r w:rsidRPr="0070080E">
        <w:t xml:space="preserve">, </w:t>
      </w:r>
      <w:r w:rsidRPr="0070080E">
        <w:rPr>
          <w:i/>
          <w:iCs/>
        </w:rPr>
        <w:t>60</w:t>
      </w:r>
      <w:r w:rsidRPr="0070080E">
        <w:t>(1), 81–86. https://doi.org/10.1007/s12599-018-0521-9</w:t>
      </w:r>
    </w:p>
    <w:p w14:paraId="3CB106E6" w14:textId="77777777" w:rsidR="00F67DDB" w:rsidRPr="0070080E" w:rsidRDefault="0094076D" w:rsidP="00B71810">
      <w:pPr>
        <w:pStyle w:val="Bibliography"/>
      </w:pPr>
      <w:r w:rsidRPr="0070080E">
        <w:t xml:space="preserve">Kahneman, D. (2003). Maps of bounded rationality: Psychology for behavioral economics. </w:t>
      </w:r>
      <w:r w:rsidRPr="0070080E">
        <w:rPr>
          <w:i/>
          <w:iCs/>
        </w:rPr>
        <w:t>American Economic Review</w:t>
      </w:r>
      <w:r w:rsidRPr="0070080E">
        <w:t xml:space="preserve">, </w:t>
      </w:r>
      <w:r w:rsidRPr="0070080E">
        <w:rPr>
          <w:i/>
          <w:iCs/>
        </w:rPr>
        <w:t>93</w:t>
      </w:r>
      <w:r w:rsidRPr="0070080E">
        <w:t>(5), 1449–1475. https://doi.org/10.1257/000282803322655392</w:t>
      </w:r>
    </w:p>
    <w:p w14:paraId="3CB106E7" w14:textId="77777777" w:rsidR="00F67DDB" w:rsidRPr="0070080E" w:rsidRDefault="0094076D" w:rsidP="00B71810">
      <w:pPr>
        <w:pStyle w:val="Bibliography"/>
      </w:pPr>
      <w:r w:rsidRPr="0070080E">
        <w:t xml:space="preserve">Kahneman, D. (2011). </w:t>
      </w:r>
      <w:r w:rsidRPr="0070080E">
        <w:rPr>
          <w:i/>
          <w:iCs/>
        </w:rPr>
        <w:t>Thinking, fast and slow</w:t>
      </w:r>
      <w:r w:rsidRPr="0070080E">
        <w:t>. Farrar, Straus and Giroux.</w:t>
      </w:r>
    </w:p>
    <w:p w14:paraId="3CB106E8" w14:textId="77777777" w:rsidR="00F67DDB" w:rsidRPr="0070080E" w:rsidRDefault="0094076D" w:rsidP="00B71810">
      <w:pPr>
        <w:pStyle w:val="Bibliography"/>
      </w:pPr>
      <w:r w:rsidRPr="0070080E">
        <w:t xml:space="preserve">Kahneman, D., &amp; Lovallo, D. (1993). Timid choices and bold forecasts: A cognitive perspective on risk taking. </w:t>
      </w:r>
      <w:r w:rsidRPr="0070080E">
        <w:rPr>
          <w:i/>
          <w:iCs/>
        </w:rPr>
        <w:t>Management Science</w:t>
      </w:r>
      <w:r w:rsidRPr="0070080E">
        <w:t xml:space="preserve">, </w:t>
      </w:r>
      <w:r w:rsidRPr="0070080E">
        <w:rPr>
          <w:i/>
          <w:iCs/>
        </w:rPr>
        <w:t>39</w:t>
      </w:r>
      <w:r w:rsidRPr="0070080E">
        <w:t>(1), 17–31. https://doi.org/10.1287/mnsc.39.1.17</w:t>
      </w:r>
    </w:p>
    <w:p w14:paraId="3CB106E9" w14:textId="77777777" w:rsidR="00F67DDB" w:rsidRPr="0070080E" w:rsidRDefault="0094076D" w:rsidP="00B71810">
      <w:pPr>
        <w:pStyle w:val="Bibliography"/>
      </w:pPr>
      <w:r w:rsidRPr="0070080E">
        <w:t xml:space="preserve">Kahneman, D., &amp; Tversky, A. (1979). Prospect theory: An analysis of decision under risk. </w:t>
      </w:r>
      <w:r w:rsidRPr="0070080E">
        <w:rPr>
          <w:i/>
          <w:iCs/>
        </w:rPr>
        <w:t>Econometrica</w:t>
      </w:r>
      <w:r w:rsidRPr="0070080E">
        <w:t xml:space="preserve">, </w:t>
      </w:r>
      <w:r w:rsidRPr="0070080E">
        <w:rPr>
          <w:i/>
          <w:iCs/>
        </w:rPr>
        <w:t>47</w:t>
      </w:r>
      <w:r w:rsidRPr="0070080E">
        <w:t>(2), 263. https://doi.org/10.2307/1914185</w:t>
      </w:r>
    </w:p>
    <w:p w14:paraId="3CB106EA" w14:textId="77777777" w:rsidR="00F67DDB" w:rsidRPr="0070080E" w:rsidRDefault="0094076D" w:rsidP="00B71810">
      <w:pPr>
        <w:pStyle w:val="Bibliography"/>
      </w:pPr>
      <w:r w:rsidRPr="0070080E">
        <w:t xml:space="preserve">Kahneman, D., Sibony, O., &amp; Sunstein, C. R. (2021). </w:t>
      </w:r>
      <w:r w:rsidRPr="0070080E">
        <w:rPr>
          <w:i/>
          <w:iCs/>
        </w:rPr>
        <w:t>Noise: A flaw in human judgment</w:t>
      </w:r>
      <w:r w:rsidRPr="0070080E">
        <w:t>. Little, Brown Spark.</w:t>
      </w:r>
    </w:p>
    <w:p w14:paraId="3CB106EB" w14:textId="77777777" w:rsidR="00F67DDB" w:rsidRPr="0070080E" w:rsidRDefault="0094076D" w:rsidP="00B71810">
      <w:pPr>
        <w:pStyle w:val="Bibliography"/>
      </w:pPr>
      <w:r w:rsidRPr="0070080E">
        <w:t xml:space="preserve">Koo, T. K., &amp; Li, M. Y. (2016). A guideline of selecting and reporting intraclass correlation coefficients for reliability research. </w:t>
      </w:r>
      <w:r w:rsidRPr="0070080E">
        <w:rPr>
          <w:i/>
          <w:iCs/>
        </w:rPr>
        <w:t>Journal of Chiropractic Medicine</w:t>
      </w:r>
      <w:r w:rsidRPr="0070080E">
        <w:t xml:space="preserve">, </w:t>
      </w:r>
      <w:r w:rsidRPr="0070080E">
        <w:rPr>
          <w:i/>
          <w:iCs/>
        </w:rPr>
        <w:t>15</w:t>
      </w:r>
      <w:r w:rsidRPr="0070080E">
        <w:t>(2), 155–163. https://doi.org/10.1016/j.jcm.2016.02.012</w:t>
      </w:r>
    </w:p>
    <w:p w14:paraId="3CB106EC" w14:textId="77777777" w:rsidR="00F67DDB" w:rsidRPr="0070080E" w:rsidRDefault="0094076D" w:rsidP="00B71810">
      <w:pPr>
        <w:pStyle w:val="Bibliography"/>
      </w:pPr>
      <w:r w:rsidRPr="0070080E">
        <w:t xml:space="preserve">Krosnick, J. A. (1999). Survey research. </w:t>
      </w:r>
      <w:r w:rsidRPr="0070080E">
        <w:rPr>
          <w:i/>
          <w:iCs/>
        </w:rPr>
        <w:t>Annual Review of Psychology</w:t>
      </w:r>
      <w:r w:rsidRPr="0070080E">
        <w:t xml:space="preserve">, </w:t>
      </w:r>
      <w:r w:rsidRPr="0070080E">
        <w:rPr>
          <w:i/>
          <w:iCs/>
        </w:rPr>
        <w:t>50</w:t>
      </w:r>
      <w:r w:rsidRPr="0070080E">
        <w:t>(1), 537–567. https://doi.org/10.1146/annurev.psych.50.1.537</w:t>
      </w:r>
    </w:p>
    <w:p w14:paraId="3CB106ED" w14:textId="77777777" w:rsidR="00F67DDB" w:rsidRPr="0070080E" w:rsidRDefault="0094076D" w:rsidP="00B71810">
      <w:pPr>
        <w:pStyle w:val="Bibliography"/>
      </w:pPr>
      <w:r w:rsidRPr="0070080E">
        <w:t xml:space="preserve">Lim, T. (2026). Emotion-aware decision support system for real-time financial sentiment and behavior-based trading risk advisory. </w:t>
      </w:r>
      <w:r w:rsidRPr="0070080E">
        <w:rPr>
          <w:i/>
          <w:iCs/>
        </w:rPr>
        <w:t>Journal of Behavioral Finance</w:t>
      </w:r>
      <w:r w:rsidRPr="0070080E">
        <w:t>, 1–24. https://doi.org/10.1080/15427560.2025.2609644</w:t>
      </w:r>
    </w:p>
    <w:p w14:paraId="3CB106EE" w14:textId="7635E8D6" w:rsidR="00F67DDB" w:rsidRPr="00D4254E" w:rsidRDefault="006965AA" w:rsidP="00D4254E">
      <w:pPr>
        <w:pStyle w:val="Bibliography"/>
      </w:pPr>
      <w:r w:rsidRPr="006965AA">
        <w:t>Löffler</w:t>
      </w:r>
      <w:r w:rsidR="0094076D" w:rsidRPr="0070080E">
        <w:t>, G. (20</w:t>
      </w:r>
      <w:r w:rsidR="00D4254E">
        <w:t>21</w:t>
      </w:r>
      <w:r w:rsidR="0094076D" w:rsidRPr="0070080E">
        <w:t xml:space="preserve">). </w:t>
      </w:r>
      <w:r w:rsidR="00D4254E" w:rsidRPr="00D4254E">
        <w:t>Negative News and the Stock Market Impact of Tone in Rating Reports</w:t>
      </w:r>
      <w:r w:rsidR="00D4254E">
        <w:t xml:space="preserve">. </w:t>
      </w:r>
      <w:r w:rsidR="0094076D" w:rsidRPr="0070080E">
        <w:rPr>
          <w:i/>
          <w:iCs/>
        </w:rPr>
        <w:t>SSRN Electronic Journal</w:t>
      </w:r>
      <w:r w:rsidR="0094076D" w:rsidRPr="0070080E">
        <w:t>. https://doi.org/10.2139/ssrn.2802570</w:t>
      </w:r>
    </w:p>
    <w:p w14:paraId="3CB106EF" w14:textId="77777777" w:rsidR="00F67DDB" w:rsidRPr="0070080E" w:rsidRDefault="0094076D" w:rsidP="00B71810">
      <w:pPr>
        <w:pStyle w:val="Bibliography"/>
      </w:pPr>
      <w:r w:rsidRPr="0070080E">
        <w:t xml:space="preserve">Lo, A. W. (2004). The adaptive markets hypothesis. </w:t>
      </w:r>
      <w:r w:rsidRPr="0070080E">
        <w:rPr>
          <w:i/>
          <w:iCs/>
        </w:rPr>
        <w:t>The Journal of Portfolio Management</w:t>
      </w:r>
      <w:r w:rsidRPr="0070080E">
        <w:t xml:space="preserve">, </w:t>
      </w:r>
      <w:r w:rsidRPr="0070080E">
        <w:rPr>
          <w:i/>
          <w:iCs/>
        </w:rPr>
        <w:t>30</w:t>
      </w:r>
      <w:r w:rsidRPr="0070080E">
        <w:t>(5), 15–29. https://doi.org/10.3905/jpm.2004.442611</w:t>
      </w:r>
    </w:p>
    <w:p w14:paraId="3CB106F0" w14:textId="77777777" w:rsidR="00F67DDB" w:rsidRPr="0070080E" w:rsidRDefault="0094076D" w:rsidP="00B71810">
      <w:pPr>
        <w:pStyle w:val="Bibliography"/>
      </w:pPr>
      <w:r w:rsidRPr="0070080E">
        <w:t xml:space="preserve">Lo, A. W., &amp; Repin, D. V. (2002). The psychophysiology of real-time financial risk processing. </w:t>
      </w:r>
      <w:r w:rsidRPr="0070080E">
        <w:rPr>
          <w:i/>
          <w:iCs/>
        </w:rPr>
        <w:t>Journal of Cognitive Neuroscience</w:t>
      </w:r>
      <w:r w:rsidRPr="0070080E">
        <w:t xml:space="preserve">, </w:t>
      </w:r>
      <w:r w:rsidRPr="0070080E">
        <w:rPr>
          <w:i/>
          <w:iCs/>
        </w:rPr>
        <w:t>14</w:t>
      </w:r>
      <w:r w:rsidRPr="0070080E">
        <w:t>(3), 323–339. https://doi.org/10.1162/089892902317361877</w:t>
      </w:r>
    </w:p>
    <w:p w14:paraId="3CB106F1" w14:textId="77777777" w:rsidR="00F67DDB" w:rsidRPr="0070080E" w:rsidRDefault="0094076D" w:rsidP="00B71810">
      <w:pPr>
        <w:pStyle w:val="Bibliography"/>
      </w:pPr>
      <w:r w:rsidRPr="0070080E">
        <w:t xml:space="preserve">Lo, A. W., Repin, D. V., &amp; Steenbarger, B. N. (2005). Fear and greed in financial markets: A clinical study of day-traders. </w:t>
      </w:r>
      <w:r w:rsidRPr="0070080E">
        <w:rPr>
          <w:i/>
          <w:iCs/>
        </w:rPr>
        <w:t>American Economic Review</w:t>
      </w:r>
      <w:r w:rsidRPr="0070080E">
        <w:t xml:space="preserve">, </w:t>
      </w:r>
      <w:r w:rsidRPr="0070080E">
        <w:rPr>
          <w:i/>
          <w:iCs/>
        </w:rPr>
        <w:t>95</w:t>
      </w:r>
      <w:r w:rsidRPr="0070080E">
        <w:t>(2), 352–359. https://doi.org/10.1257/000282805774670095</w:t>
      </w:r>
    </w:p>
    <w:p w14:paraId="3CB106F2" w14:textId="5059A110" w:rsidR="00F67DDB" w:rsidRPr="0070080E" w:rsidRDefault="0094076D" w:rsidP="00B71810">
      <w:pPr>
        <w:pStyle w:val="Bibliography"/>
      </w:pPr>
      <w:r w:rsidRPr="0070080E">
        <w:t xml:space="preserve">Loewenstein, G. F., Weber, E. U., Hsee, C. K., &amp; Welch, N. (2001). Risk as </w:t>
      </w:r>
      <w:r w:rsidR="000552DD" w:rsidRPr="0070080E">
        <w:t>feelings.</w:t>
      </w:r>
      <w:r w:rsidRPr="0070080E">
        <w:t xml:space="preserve"> </w:t>
      </w:r>
      <w:r w:rsidRPr="0070080E">
        <w:rPr>
          <w:i/>
          <w:iCs/>
        </w:rPr>
        <w:t>Psychological Bulletin</w:t>
      </w:r>
      <w:r w:rsidRPr="0070080E">
        <w:t xml:space="preserve">, </w:t>
      </w:r>
      <w:r w:rsidRPr="0070080E">
        <w:rPr>
          <w:i/>
          <w:iCs/>
        </w:rPr>
        <w:t>127</w:t>
      </w:r>
      <w:r w:rsidRPr="0070080E">
        <w:t>(2), 267–286. https://doi.org/10.1037/0033-2909.127.2.267</w:t>
      </w:r>
    </w:p>
    <w:p w14:paraId="3CB106F3" w14:textId="77777777" w:rsidR="00F67DDB" w:rsidRPr="0070080E" w:rsidRDefault="0094076D" w:rsidP="00B71810">
      <w:pPr>
        <w:pStyle w:val="Bibliography"/>
      </w:pPr>
      <w:r w:rsidRPr="0070080E">
        <w:t xml:space="preserve">MacKinnon, J. G., &amp; White, H. (1985). Some heteroskedasticity-consistent covariance matrix estimators with improved finite sample properties. </w:t>
      </w:r>
      <w:r w:rsidRPr="0070080E">
        <w:rPr>
          <w:i/>
          <w:iCs/>
        </w:rPr>
        <w:t>Journal of Econometrics</w:t>
      </w:r>
      <w:r w:rsidRPr="0070080E">
        <w:t xml:space="preserve">, </w:t>
      </w:r>
      <w:r w:rsidRPr="0070080E">
        <w:rPr>
          <w:i/>
          <w:iCs/>
        </w:rPr>
        <w:t>29</w:t>
      </w:r>
      <w:r w:rsidRPr="0070080E">
        <w:t>(3), 305–325. https://doi.org/10.1016/0304-4076(85)90158-7</w:t>
      </w:r>
    </w:p>
    <w:p w14:paraId="3CB106F4" w14:textId="378BA02E" w:rsidR="00F67DDB" w:rsidRPr="0070080E" w:rsidRDefault="0094076D" w:rsidP="00B71810">
      <w:pPr>
        <w:pStyle w:val="Bibliography"/>
      </w:pPr>
      <w:r w:rsidRPr="0070080E">
        <w:t>Malkiel, B. G., &amp; Fama, E. F. (1970). Efficient capital markets: A review of theory and empirical work</w:t>
      </w:r>
      <w:r w:rsidRPr="0070080E">
        <w:rPr>
          <w:i/>
          <w:iCs/>
        </w:rPr>
        <w:t xml:space="preserve">. The Journal of Finance, </w:t>
      </w:r>
      <w:r w:rsidRPr="0070080E">
        <w:t>25</w:t>
      </w:r>
      <w:r w:rsidR="00CA200C" w:rsidRPr="0070080E">
        <w:t xml:space="preserve"> </w:t>
      </w:r>
      <w:r w:rsidRPr="0070080E">
        <w:t>(2), 383–417. https://doi.org/10.1111/j.1540-6261.1970.tb00518.x</w:t>
      </w:r>
    </w:p>
    <w:p w14:paraId="3CB106F5" w14:textId="77777777" w:rsidR="00F67DDB" w:rsidRPr="0070080E" w:rsidRDefault="0094076D" w:rsidP="00B71810">
      <w:pPr>
        <w:pStyle w:val="Bibliography"/>
      </w:pPr>
      <w:r w:rsidRPr="0070080E">
        <w:t xml:space="preserve">March, J. G., &amp; Shapira, Z. (1987). Managerial perspectives on risk and risk taking. </w:t>
      </w:r>
      <w:r w:rsidRPr="0070080E">
        <w:rPr>
          <w:i/>
          <w:iCs/>
        </w:rPr>
        <w:t>Management Science</w:t>
      </w:r>
      <w:r w:rsidRPr="0070080E">
        <w:t xml:space="preserve">, </w:t>
      </w:r>
      <w:r w:rsidRPr="0070080E">
        <w:rPr>
          <w:i/>
          <w:iCs/>
        </w:rPr>
        <w:t>33</w:t>
      </w:r>
      <w:r w:rsidRPr="0070080E">
        <w:t>(11), 1404–1418. https://doi.org/10.1287/mnsc.33.11.1404</w:t>
      </w:r>
    </w:p>
    <w:p w14:paraId="3CB106F6" w14:textId="77777777" w:rsidR="00F67DDB" w:rsidRPr="0070080E" w:rsidRDefault="0094076D" w:rsidP="00B71810">
      <w:pPr>
        <w:pStyle w:val="Bibliography"/>
      </w:pPr>
      <w:r w:rsidRPr="0070080E">
        <w:t xml:space="preserve">Markowitz, H. (1952). Portfolio selection. </w:t>
      </w:r>
      <w:r w:rsidRPr="0070080E">
        <w:rPr>
          <w:i/>
          <w:iCs/>
        </w:rPr>
        <w:t>The Journal of Finance</w:t>
      </w:r>
      <w:r w:rsidRPr="0070080E">
        <w:t xml:space="preserve">, </w:t>
      </w:r>
      <w:r w:rsidRPr="0070080E">
        <w:rPr>
          <w:i/>
          <w:iCs/>
        </w:rPr>
        <w:t>7</w:t>
      </w:r>
      <w:r w:rsidRPr="0070080E">
        <w:t>(1), 77–91. https://doi.org/10.1111/j.1540-6261.1952.tb01525.x</w:t>
      </w:r>
    </w:p>
    <w:p w14:paraId="3CB106F7" w14:textId="77777777" w:rsidR="00F67DDB" w:rsidRPr="0070080E" w:rsidRDefault="0094076D" w:rsidP="00B71810">
      <w:pPr>
        <w:pStyle w:val="Bibliography"/>
      </w:pPr>
      <w:r w:rsidRPr="0070080E">
        <w:t xml:space="preserve">Meng, Y., Li, X., &amp; Xiong, X. (2024). Information shocks and short-term market overreaction: The role of investor attention. </w:t>
      </w:r>
      <w:r w:rsidRPr="0070080E">
        <w:rPr>
          <w:i/>
          <w:iCs/>
        </w:rPr>
        <w:t>International Review of Financial Analysis</w:t>
      </w:r>
      <w:r w:rsidRPr="0070080E">
        <w:t xml:space="preserve">, </w:t>
      </w:r>
      <w:r w:rsidRPr="0070080E">
        <w:rPr>
          <w:i/>
          <w:iCs/>
        </w:rPr>
        <w:t>93</w:t>
      </w:r>
      <w:r w:rsidRPr="0070080E">
        <w:t>, 103219. https://doi.org/10.1016/j.irfa.2024.103219</w:t>
      </w:r>
    </w:p>
    <w:p w14:paraId="3CB106F8" w14:textId="1984D109" w:rsidR="00F67DDB" w:rsidRPr="0070080E" w:rsidRDefault="0094076D" w:rsidP="00B71810">
      <w:pPr>
        <w:pStyle w:val="Bibliography"/>
      </w:pPr>
      <w:r w:rsidRPr="0070080E">
        <w:t xml:space="preserve">Moore, D. A., &amp; Healy, P. J. (2008). The trouble with </w:t>
      </w:r>
      <w:r w:rsidR="000552DD" w:rsidRPr="0070080E">
        <w:t>overconfidence.</w:t>
      </w:r>
      <w:r w:rsidRPr="0070080E">
        <w:t xml:space="preserve"> </w:t>
      </w:r>
      <w:r w:rsidRPr="0070080E">
        <w:rPr>
          <w:i/>
          <w:iCs/>
        </w:rPr>
        <w:t>Psychological Review</w:t>
      </w:r>
      <w:r w:rsidRPr="0070080E">
        <w:t xml:space="preserve">, </w:t>
      </w:r>
      <w:r w:rsidRPr="0070080E">
        <w:rPr>
          <w:i/>
          <w:iCs/>
        </w:rPr>
        <w:t>115</w:t>
      </w:r>
      <w:r w:rsidRPr="0070080E">
        <w:t>(2), 502–517. https://doi.org/10.1037/0033-295x.115.2.502</w:t>
      </w:r>
    </w:p>
    <w:p w14:paraId="3CB106F9" w14:textId="77777777" w:rsidR="00F67DDB" w:rsidRPr="0070080E" w:rsidRDefault="0094076D" w:rsidP="00B71810">
      <w:pPr>
        <w:pStyle w:val="Bibliography"/>
      </w:pPr>
      <w:r w:rsidRPr="0070080E">
        <w:t xml:space="preserve">Neel, M. (2024). Country-level loss aversion and the market response to earnings news. </w:t>
      </w:r>
      <w:r w:rsidRPr="0070080E">
        <w:rPr>
          <w:i/>
          <w:iCs/>
        </w:rPr>
        <w:t>SSRN Electronic Journal</w:t>
      </w:r>
      <w:r w:rsidRPr="0070080E">
        <w:t>. https://doi.org/10.2139/ssrn.4768248</w:t>
      </w:r>
    </w:p>
    <w:p w14:paraId="3CB106FA" w14:textId="1754012A" w:rsidR="00F67DDB" w:rsidRPr="0070080E" w:rsidRDefault="0094076D" w:rsidP="00B71810">
      <w:pPr>
        <w:pStyle w:val="Bibliography"/>
      </w:pPr>
      <w:r w:rsidRPr="0070080E">
        <w:t xml:space="preserve">Odean, T. (1999). Do investors trade too </w:t>
      </w:r>
      <w:r w:rsidR="000552DD" w:rsidRPr="0070080E">
        <w:t>much?</w:t>
      </w:r>
      <w:r w:rsidRPr="0070080E">
        <w:t xml:space="preserve"> </w:t>
      </w:r>
      <w:r w:rsidRPr="0070080E">
        <w:rPr>
          <w:i/>
          <w:iCs/>
        </w:rPr>
        <w:t>American Economic Review</w:t>
      </w:r>
      <w:r w:rsidRPr="0070080E">
        <w:t xml:space="preserve">, </w:t>
      </w:r>
      <w:r w:rsidRPr="0070080E">
        <w:rPr>
          <w:i/>
          <w:iCs/>
        </w:rPr>
        <w:t>89</w:t>
      </w:r>
      <w:r w:rsidRPr="0070080E">
        <w:t>(5), 1279–1298. https://doi.org/10.1257/aer.89.5.1279</w:t>
      </w:r>
    </w:p>
    <w:p w14:paraId="3CB106FB" w14:textId="77777777" w:rsidR="00F67DDB" w:rsidRPr="0070080E" w:rsidRDefault="0094076D" w:rsidP="00B71810">
      <w:pPr>
        <w:pStyle w:val="Bibliography"/>
      </w:pPr>
      <w:r w:rsidRPr="0070080E">
        <w:t xml:space="preserve">Parasuraman, R., &amp; Manzey, D. H. (2010). Complacency and bias in human use of automation: An attentional integration. </w:t>
      </w:r>
      <w:r w:rsidRPr="0070080E">
        <w:rPr>
          <w:i/>
          <w:iCs/>
        </w:rPr>
        <w:t>Human Factors: The Journal of the Human Factors and Ergonomics Society</w:t>
      </w:r>
      <w:r w:rsidRPr="0070080E">
        <w:t xml:space="preserve">, </w:t>
      </w:r>
      <w:r w:rsidRPr="0070080E">
        <w:rPr>
          <w:i/>
          <w:iCs/>
        </w:rPr>
        <w:t>52</w:t>
      </w:r>
      <w:r w:rsidRPr="0070080E">
        <w:t>(3), 381–410. https://doi.org/10.1177/0018720810376055</w:t>
      </w:r>
    </w:p>
    <w:p w14:paraId="3CB106FC" w14:textId="77777777" w:rsidR="00F67DDB" w:rsidRPr="0070080E" w:rsidRDefault="0094076D" w:rsidP="00B71810">
      <w:pPr>
        <w:pStyle w:val="Bibliography"/>
      </w:pPr>
      <w:r w:rsidRPr="0070080E">
        <w:t xml:space="preserve">Peng, L., &amp; Xiong, W. (2006). Investor attention, overconfidence and category learning. </w:t>
      </w:r>
      <w:r w:rsidRPr="0070080E">
        <w:rPr>
          <w:i/>
          <w:iCs/>
        </w:rPr>
        <w:t>Journal of Financial Economics</w:t>
      </w:r>
      <w:r w:rsidRPr="0070080E">
        <w:t xml:space="preserve">, </w:t>
      </w:r>
      <w:r w:rsidRPr="0070080E">
        <w:rPr>
          <w:i/>
          <w:iCs/>
        </w:rPr>
        <w:t>80</w:t>
      </w:r>
      <w:r w:rsidRPr="0070080E">
        <w:t>(3), 563–602. https://doi.org/10.1016/j.jfineco.2005.05.003</w:t>
      </w:r>
    </w:p>
    <w:p w14:paraId="3CB106FD" w14:textId="77777777" w:rsidR="00F67DDB" w:rsidRPr="0070080E" w:rsidRDefault="0094076D" w:rsidP="00B71810">
      <w:pPr>
        <w:pStyle w:val="Bibliography"/>
      </w:pPr>
      <w:r w:rsidRPr="0070080E">
        <w:t xml:space="preserve">Petersen, M. A. (2009). Estimating standard errors in finance panel data sets: Comparing approaches. </w:t>
      </w:r>
      <w:r w:rsidRPr="0070080E">
        <w:rPr>
          <w:i/>
          <w:iCs/>
        </w:rPr>
        <w:t>Review of Financial Studies</w:t>
      </w:r>
      <w:r w:rsidRPr="0070080E">
        <w:t xml:space="preserve">, </w:t>
      </w:r>
      <w:r w:rsidRPr="0070080E">
        <w:rPr>
          <w:i/>
          <w:iCs/>
        </w:rPr>
        <w:t>22</w:t>
      </w:r>
      <w:r w:rsidRPr="0070080E">
        <w:t>(1), 435–480. https://doi.org/10.1093/rfs/hhn053</w:t>
      </w:r>
    </w:p>
    <w:p w14:paraId="3CB106FE" w14:textId="77777777" w:rsidR="00F67DDB" w:rsidRPr="0070080E" w:rsidRDefault="0094076D" w:rsidP="00B71810">
      <w:pPr>
        <w:pStyle w:val="Bibliography"/>
      </w:pPr>
      <w:r w:rsidRPr="0070080E">
        <w:t xml:space="preserve">RavenPack. (2011). </w:t>
      </w:r>
      <w:r w:rsidRPr="0070080E">
        <w:rPr>
          <w:i/>
          <w:iCs/>
        </w:rPr>
        <w:t>Introducing the RavenPack sentiment index</w:t>
      </w:r>
      <w:r w:rsidRPr="0070080E">
        <w:t xml:space="preserve"> (RavenPack Research Series No. 2). https://www.ravenpack.com/research/introducing-ravenpack-sentiment-index</w:t>
      </w:r>
    </w:p>
    <w:p w14:paraId="3CB106FF" w14:textId="77777777" w:rsidR="00F67DDB" w:rsidRPr="0070080E" w:rsidRDefault="0094076D" w:rsidP="00B71810">
      <w:pPr>
        <w:pStyle w:val="Bibliography"/>
      </w:pPr>
      <w:r w:rsidRPr="0070080E">
        <w:t xml:space="preserve">Rigobon, R. (2003). Identification through heteroskedasticity. </w:t>
      </w:r>
      <w:r w:rsidRPr="0070080E">
        <w:rPr>
          <w:i/>
          <w:iCs/>
        </w:rPr>
        <w:t>Review of Economics and Statistics</w:t>
      </w:r>
      <w:r w:rsidRPr="0070080E">
        <w:t xml:space="preserve">, </w:t>
      </w:r>
      <w:r w:rsidRPr="0070080E">
        <w:rPr>
          <w:i/>
          <w:iCs/>
        </w:rPr>
        <w:t>85</w:t>
      </w:r>
      <w:r w:rsidRPr="0070080E">
        <w:t>(4), 777–792. https://doi.org/10.1162/003465303772815727</w:t>
      </w:r>
    </w:p>
    <w:p w14:paraId="3CB10700" w14:textId="77777777" w:rsidR="00F67DDB" w:rsidRPr="0070080E" w:rsidRDefault="0094076D" w:rsidP="00B71810">
      <w:pPr>
        <w:pStyle w:val="Bibliography"/>
      </w:pPr>
      <w:r w:rsidRPr="0070080E">
        <w:t xml:space="preserve">Rudin, C. (2019). Stop explaining black box machine learning models for high stakes decisions and use interpretable models instead. </w:t>
      </w:r>
      <w:r w:rsidRPr="0070080E">
        <w:rPr>
          <w:i/>
          <w:iCs/>
        </w:rPr>
        <w:t>Nature Machine Intelligence</w:t>
      </w:r>
      <w:r w:rsidRPr="0070080E">
        <w:t xml:space="preserve">, </w:t>
      </w:r>
      <w:r w:rsidRPr="0070080E">
        <w:rPr>
          <w:i/>
          <w:iCs/>
        </w:rPr>
        <w:t>1</w:t>
      </w:r>
      <w:r w:rsidRPr="0070080E">
        <w:t>(5), 206–215. https://doi.org/10.1038/s42256-019-0048-x</w:t>
      </w:r>
    </w:p>
    <w:p w14:paraId="3CB10701" w14:textId="77777777" w:rsidR="00F67DDB" w:rsidRPr="0070080E" w:rsidRDefault="0094076D" w:rsidP="00B71810">
      <w:pPr>
        <w:pStyle w:val="Bibliography"/>
      </w:pPr>
      <w:r w:rsidRPr="0070080E">
        <w:t xml:space="preserve">S&amp;P Dow Jones Indices. (2026). </w:t>
      </w:r>
      <w:r w:rsidRPr="0070080E">
        <w:rPr>
          <w:i/>
          <w:iCs/>
        </w:rPr>
        <w:t>S&amp;P 500</w:t>
      </w:r>
      <w:r w:rsidRPr="0070080E">
        <w:t xml:space="preserve"> [Index]. https://www.spglobal.com/spdji/en/indices/equity/sp-500/</w:t>
      </w:r>
    </w:p>
    <w:p w14:paraId="3CB10702" w14:textId="77777777" w:rsidR="00F67DDB" w:rsidRPr="0070080E" w:rsidRDefault="0094076D" w:rsidP="00B71810">
      <w:pPr>
        <w:pStyle w:val="Bibliography"/>
      </w:pPr>
      <w:r w:rsidRPr="0070080E">
        <w:t xml:space="preserve">Saunders, M., Lewis, P., &amp; Thornhill, A. (2019). </w:t>
      </w:r>
      <w:r w:rsidRPr="0070080E">
        <w:rPr>
          <w:i/>
          <w:iCs/>
        </w:rPr>
        <w:t>Research methods for business students</w:t>
      </w:r>
      <w:r w:rsidRPr="0070080E">
        <w:t xml:space="preserve"> (8th ed.). Pearson.</w:t>
      </w:r>
    </w:p>
    <w:p w14:paraId="3CB10703" w14:textId="77777777" w:rsidR="00F67DDB" w:rsidRPr="0070080E" w:rsidRDefault="0094076D" w:rsidP="00B71810">
      <w:pPr>
        <w:pStyle w:val="Bibliography"/>
      </w:pPr>
      <w:r w:rsidRPr="0070080E">
        <w:t xml:space="preserve">Shadish, W. R., Cook, T. D., &amp; Campbell, D. T. (2002). </w:t>
      </w:r>
      <w:r w:rsidRPr="0070080E">
        <w:rPr>
          <w:i/>
          <w:iCs/>
        </w:rPr>
        <w:t>Experimental and quasi-experimental designs for generalized causal inference</w:t>
      </w:r>
      <w:r w:rsidRPr="0070080E">
        <w:t>. Houghton Mifflin.</w:t>
      </w:r>
    </w:p>
    <w:p w14:paraId="3CB10704" w14:textId="77777777" w:rsidR="00F67DDB" w:rsidRPr="0070080E" w:rsidRDefault="0094076D" w:rsidP="00B71810">
      <w:pPr>
        <w:pStyle w:val="Bibliography"/>
      </w:pPr>
      <w:r w:rsidRPr="0070080E">
        <w:t xml:space="preserve">Sharpe, W. F. (1966). Mutual fund performance. </w:t>
      </w:r>
      <w:r w:rsidRPr="0070080E">
        <w:rPr>
          <w:i/>
          <w:iCs/>
        </w:rPr>
        <w:t>The Journal of Business</w:t>
      </w:r>
      <w:r w:rsidRPr="0070080E">
        <w:t xml:space="preserve">, </w:t>
      </w:r>
      <w:r w:rsidRPr="0070080E">
        <w:rPr>
          <w:i/>
          <w:iCs/>
        </w:rPr>
        <w:t>39</w:t>
      </w:r>
      <w:r w:rsidRPr="0070080E">
        <w:t>(S1), 119. https://doi.org/10.1086/294846</w:t>
      </w:r>
    </w:p>
    <w:p w14:paraId="3CB10705" w14:textId="7039644B" w:rsidR="00F67DDB" w:rsidRPr="0070080E" w:rsidRDefault="0094076D" w:rsidP="00B71810">
      <w:pPr>
        <w:pStyle w:val="Bibliography"/>
      </w:pPr>
      <w:r w:rsidRPr="0070080E">
        <w:t xml:space="preserve">Shefrin, H. (2007). </w:t>
      </w:r>
      <w:r w:rsidRPr="0070080E">
        <w:rPr>
          <w:i/>
          <w:iCs/>
        </w:rPr>
        <w:t>Beyond greed and fear</w:t>
      </w:r>
      <w:r w:rsidRPr="0070080E">
        <w:t>. Oxford University Press</w:t>
      </w:r>
      <w:r w:rsidR="003706E0">
        <w:t xml:space="preserve"> </w:t>
      </w:r>
      <w:r w:rsidRPr="0070080E">
        <w:t>New York, NY. https://doi.org/10.1093/oso/9780195304213.001.0001</w:t>
      </w:r>
    </w:p>
    <w:p w14:paraId="3CB10706" w14:textId="77777777" w:rsidR="00F67DDB" w:rsidRPr="0070080E" w:rsidRDefault="0094076D" w:rsidP="00B71810">
      <w:pPr>
        <w:pStyle w:val="Bibliography"/>
      </w:pPr>
      <w:r w:rsidRPr="0070080E">
        <w:t xml:space="preserve">SIFMA. (2025). </w:t>
      </w:r>
      <w:r w:rsidRPr="0070080E">
        <w:rPr>
          <w:i/>
          <w:iCs/>
        </w:rPr>
        <w:t>Capital markets fact book 2025</w:t>
      </w:r>
      <w:r w:rsidRPr="0070080E">
        <w:t>. Securities Industry and Financial Markets Association. https://www.sifma.org/research/statistics/fact-book</w:t>
      </w:r>
    </w:p>
    <w:p w14:paraId="3CB10707" w14:textId="77777777" w:rsidR="00F67DDB" w:rsidRPr="0070080E" w:rsidRDefault="0094076D" w:rsidP="00B71810">
      <w:pPr>
        <w:pStyle w:val="Bibliography"/>
      </w:pPr>
      <w:r w:rsidRPr="0070080E">
        <w:t xml:space="preserve">Simon, H. A. (1955). A behavioral model of rational choice. </w:t>
      </w:r>
      <w:r w:rsidRPr="0070080E">
        <w:rPr>
          <w:i/>
          <w:iCs/>
        </w:rPr>
        <w:t>The Quarterly Journal of Economics</w:t>
      </w:r>
      <w:r w:rsidRPr="0070080E">
        <w:t xml:space="preserve">, </w:t>
      </w:r>
      <w:r w:rsidRPr="0070080E">
        <w:rPr>
          <w:i/>
          <w:iCs/>
        </w:rPr>
        <w:t>69</w:t>
      </w:r>
      <w:r w:rsidRPr="0070080E">
        <w:t>(1), 99. https://doi.org/10.2307/1884852</w:t>
      </w:r>
    </w:p>
    <w:p w14:paraId="3CB10708" w14:textId="0CBD7942" w:rsidR="00F67DDB" w:rsidRPr="0070080E" w:rsidRDefault="0094076D" w:rsidP="00B71810">
      <w:pPr>
        <w:pStyle w:val="Bibliography"/>
      </w:pPr>
      <w:r w:rsidRPr="0070080E">
        <w:t xml:space="preserve">Song, Q., Liu, A., Yang, S. Y., Deane, A., &amp; Datta, K. (2015). An extreme firm-specific news sentiment </w:t>
      </w:r>
      <w:r w:rsidR="00486F33" w:rsidRPr="0070080E">
        <w:t>asymmetry-based</w:t>
      </w:r>
      <w:r w:rsidRPr="0070080E">
        <w:t xml:space="preserve"> trading strategy. </w:t>
      </w:r>
      <w:r w:rsidRPr="0070080E">
        <w:rPr>
          <w:i/>
          <w:iCs/>
        </w:rPr>
        <w:t>SSRN Electronic Journal</w:t>
      </w:r>
      <w:r w:rsidRPr="0070080E">
        <w:t>. https://doi.org/10.2139/ssrn.2631135</w:t>
      </w:r>
    </w:p>
    <w:p w14:paraId="3CB10709" w14:textId="77777777" w:rsidR="00F67DDB" w:rsidRPr="0070080E" w:rsidRDefault="0094076D" w:rsidP="00B71810">
      <w:pPr>
        <w:pStyle w:val="Bibliography"/>
      </w:pPr>
      <w:r w:rsidRPr="0070080E">
        <w:t xml:space="preserve">Sortino, F. A., &amp; van der Meer, R. (1991). Downside risk. </w:t>
      </w:r>
      <w:r w:rsidRPr="0070080E">
        <w:rPr>
          <w:i/>
          <w:iCs/>
        </w:rPr>
        <w:t>The Journal of Portfolio Management</w:t>
      </w:r>
      <w:r w:rsidRPr="0070080E">
        <w:t xml:space="preserve">, </w:t>
      </w:r>
      <w:r w:rsidRPr="0070080E">
        <w:rPr>
          <w:i/>
          <w:iCs/>
        </w:rPr>
        <w:t>17</w:t>
      </w:r>
      <w:r w:rsidRPr="0070080E">
        <w:t>(4), 27–31. https://doi.org/10.3905/jpm.1991.409343</w:t>
      </w:r>
    </w:p>
    <w:p w14:paraId="3CB1070A" w14:textId="77777777" w:rsidR="00F67DDB" w:rsidRPr="0070080E" w:rsidRDefault="0094076D" w:rsidP="00B71810">
      <w:pPr>
        <w:pStyle w:val="Bibliography"/>
      </w:pPr>
      <w:r w:rsidRPr="0070080E">
        <w:t xml:space="preserve">Statman, M. (2019). Behavioral finance: The second generation. </w:t>
      </w:r>
      <w:r w:rsidRPr="0070080E">
        <w:rPr>
          <w:i/>
          <w:iCs/>
        </w:rPr>
        <w:t>SSRN Electronic Journal</w:t>
      </w:r>
      <w:r w:rsidRPr="0070080E">
        <w:t>. https://doi.org/10.2139/ssrn.3668963</w:t>
      </w:r>
    </w:p>
    <w:p w14:paraId="3CB1070B" w14:textId="77777777" w:rsidR="00F67DDB" w:rsidRPr="0070080E" w:rsidRDefault="0094076D" w:rsidP="00B71810">
      <w:pPr>
        <w:pStyle w:val="Bibliography"/>
      </w:pPr>
      <w:r w:rsidRPr="0070080E">
        <w:t xml:space="preserve">Tetlock, P. C. (2007). Giving content to investor sentiment: The role of media in the stock market. </w:t>
      </w:r>
      <w:r w:rsidRPr="0070080E">
        <w:rPr>
          <w:i/>
          <w:iCs/>
        </w:rPr>
        <w:t>The Journal of Finance</w:t>
      </w:r>
      <w:r w:rsidRPr="0070080E">
        <w:t xml:space="preserve">, </w:t>
      </w:r>
      <w:r w:rsidRPr="0070080E">
        <w:rPr>
          <w:i/>
          <w:iCs/>
        </w:rPr>
        <w:t>62</w:t>
      </w:r>
      <w:r w:rsidRPr="0070080E">
        <w:t>(3), 1139–1168. https://doi.org/10.1111/j.1540-6261.2007.01232.x</w:t>
      </w:r>
    </w:p>
    <w:p w14:paraId="3CB1070C" w14:textId="77777777" w:rsidR="00F67DDB" w:rsidRPr="0070080E" w:rsidRDefault="0094076D" w:rsidP="00B71810">
      <w:pPr>
        <w:pStyle w:val="Bibliography"/>
      </w:pPr>
      <w:r w:rsidRPr="0070080E">
        <w:t xml:space="preserve">Thaler, R. H., &amp; Benartzi, S. (2004). Save more tomorrow™: Using behavioral economics to increase employee saving. </w:t>
      </w:r>
      <w:r w:rsidRPr="0070080E">
        <w:rPr>
          <w:i/>
          <w:iCs/>
        </w:rPr>
        <w:t>Journal of Political Economy</w:t>
      </w:r>
      <w:r w:rsidRPr="0070080E">
        <w:t xml:space="preserve">, </w:t>
      </w:r>
      <w:r w:rsidRPr="0070080E">
        <w:rPr>
          <w:i/>
          <w:iCs/>
        </w:rPr>
        <w:t>112</w:t>
      </w:r>
      <w:r w:rsidRPr="0070080E">
        <w:t>(S1), S164–S187. https://doi.org/10.1086/380085</w:t>
      </w:r>
    </w:p>
    <w:p w14:paraId="3CB1070D" w14:textId="77777777" w:rsidR="00F67DDB" w:rsidRPr="0070080E" w:rsidRDefault="0094076D" w:rsidP="00B71810">
      <w:pPr>
        <w:pStyle w:val="Bibliography"/>
      </w:pPr>
      <w:r w:rsidRPr="0070080E">
        <w:t xml:space="preserve">Thaler, R. H., &amp; Sunstein, C. R. (2008). </w:t>
      </w:r>
      <w:r w:rsidRPr="0070080E">
        <w:rPr>
          <w:i/>
          <w:iCs/>
        </w:rPr>
        <w:t>Nudge: Improving decisions about health, wealth, and happiness</w:t>
      </w:r>
      <w:r w:rsidRPr="0070080E">
        <w:t>. Yale University Press.</w:t>
      </w:r>
    </w:p>
    <w:p w14:paraId="3CB1070E" w14:textId="77777777" w:rsidR="00F67DDB" w:rsidRPr="0070080E" w:rsidRDefault="0094076D" w:rsidP="00B71810">
      <w:pPr>
        <w:pStyle w:val="Bibliography"/>
      </w:pPr>
      <w:r w:rsidRPr="0070080E">
        <w:t xml:space="preserve">Tversky, A., &amp; Kahneman, D. (1974). Judgment under uncertainty: Heuristics and biases. </w:t>
      </w:r>
      <w:r w:rsidRPr="0070080E">
        <w:rPr>
          <w:i/>
          <w:iCs/>
        </w:rPr>
        <w:t>Science</w:t>
      </w:r>
      <w:r w:rsidRPr="0070080E">
        <w:t xml:space="preserve">, </w:t>
      </w:r>
      <w:r w:rsidRPr="0070080E">
        <w:rPr>
          <w:i/>
          <w:iCs/>
        </w:rPr>
        <w:t>185</w:t>
      </w:r>
      <w:r w:rsidRPr="0070080E">
        <w:t>(4157), 1124–1131. https://doi.org/10.1126/science.185.4157.1124</w:t>
      </w:r>
    </w:p>
    <w:p w14:paraId="3CB1070F" w14:textId="77777777" w:rsidR="00F67DDB" w:rsidRPr="0070080E" w:rsidRDefault="0094076D" w:rsidP="00B71810">
      <w:pPr>
        <w:pStyle w:val="Bibliography"/>
      </w:pPr>
      <w:r w:rsidRPr="0070080E">
        <w:t xml:space="preserve">United Nations. (2015). </w:t>
      </w:r>
      <w:r w:rsidRPr="0070080E">
        <w:rPr>
          <w:i/>
          <w:iCs/>
        </w:rPr>
        <w:t>Transforming our world: The 2030 Agenda for Sustainable Development</w:t>
      </w:r>
      <w:r w:rsidRPr="0070080E">
        <w:t xml:space="preserve"> (A/RES/70/1). https://sdgs.un.org/2030agenda</w:t>
      </w:r>
    </w:p>
    <w:p w14:paraId="3CB10710" w14:textId="77777777" w:rsidR="00F67DDB" w:rsidRPr="0070080E" w:rsidRDefault="0094076D" w:rsidP="00B71810">
      <w:pPr>
        <w:pStyle w:val="Bibliography"/>
      </w:pPr>
      <w:r w:rsidRPr="0070080E">
        <w:t xml:space="preserve">Weber, E. U., Siebenmorgen, N., &amp; Weber, M. (2005). Communicating asset risk: How name recognition and the format of historic volatility information affect risk perception and investment decisions. </w:t>
      </w:r>
      <w:r w:rsidRPr="0070080E">
        <w:rPr>
          <w:i/>
          <w:iCs/>
        </w:rPr>
        <w:t>Risk Analysis</w:t>
      </w:r>
      <w:r w:rsidRPr="0070080E">
        <w:t xml:space="preserve">, </w:t>
      </w:r>
      <w:r w:rsidRPr="0070080E">
        <w:rPr>
          <w:i/>
          <w:iCs/>
        </w:rPr>
        <w:t>25</w:t>
      </w:r>
      <w:r w:rsidRPr="0070080E">
        <w:t>(3), 597–609. https://doi.org/10.1111/j.1539-6924.2005.00627.x</w:t>
      </w:r>
    </w:p>
    <w:p w14:paraId="3CB10711" w14:textId="77777777" w:rsidR="00F67DDB" w:rsidRPr="0070080E" w:rsidRDefault="0094076D" w:rsidP="00B71810">
      <w:pPr>
        <w:pStyle w:val="Bibliography"/>
      </w:pPr>
      <w:r w:rsidRPr="0070080E">
        <w:t xml:space="preserve">Wennberg, K., Delmar, F., &amp; McKelvie, A. (2016). Variable risk preferences in new firm growth and survival. </w:t>
      </w:r>
      <w:r w:rsidRPr="0070080E">
        <w:rPr>
          <w:i/>
          <w:iCs/>
        </w:rPr>
        <w:t>Journal of Business Venturing</w:t>
      </w:r>
      <w:r w:rsidRPr="0070080E">
        <w:t xml:space="preserve">, </w:t>
      </w:r>
      <w:r w:rsidRPr="0070080E">
        <w:rPr>
          <w:i/>
          <w:iCs/>
        </w:rPr>
        <w:t>31</w:t>
      </w:r>
      <w:r w:rsidRPr="0070080E">
        <w:t>(4), 408–427. https://doi.org/10.1016/j.jbusvent.2016.05.001</w:t>
      </w:r>
    </w:p>
    <w:p w14:paraId="3CB10712" w14:textId="77777777" w:rsidR="00F67DDB" w:rsidRPr="0070080E" w:rsidRDefault="0094076D" w:rsidP="00B71810">
      <w:pPr>
        <w:pStyle w:val="Bibliography"/>
      </w:pPr>
      <w:r w:rsidRPr="0070080E">
        <w:t xml:space="preserve">Wiseman, R. M., &amp; Gomez-Mejia, L. R. (1998). A behavioral agency model of managerial risk taking. </w:t>
      </w:r>
      <w:r w:rsidRPr="0070080E">
        <w:rPr>
          <w:i/>
          <w:iCs/>
        </w:rPr>
        <w:t>The Academy of Management Review</w:t>
      </w:r>
      <w:r w:rsidRPr="0070080E">
        <w:t xml:space="preserve">, </w:t>
      </w:r>
      <w:r w:rsidRPr="0070080E">
        <w:rPr>
          <w:i/>
          <w:iCs/>
        </w:rPr>
        <w:t>23</w:t>
      </w:r>
      <w:r w:rsidRPr="0070080E">
        <w:t>(1), 133. https://doi.org/10.2307/259103</w:t>
      </w:r>
    </w:p>
    <w:p w14:paraId="3CB10713" w14:textId="77777777" w:rsidR="00F67DDB" w:rsidRPr="0070080E" w:rsidRDefault="0094076D" w:rsidP="00B71810">
      <w:pPr>
        <w:pStyle w:val="Bibliography"/>
      </w:pPr>
      <w:r w:rsidRPr="0070080E">
        <w:t xml:space="preserve">Yahoo Finance. (2026). </w:t>
      </w:r>
      <w:r w:rsidRPr="0070080E">
        <w:rPr>
          <w:i/>
          <w:iCs/>
        </w:rPr>
        <w:t>Historical market data</w:t>
      </w:r>
      <w:r w:rsidRPr="0070080E">
        <w:t xml:space="preserve"> [Data set]. https://finance.yahoo.com</w:t>
      </w:r>
    </w:p>
    <w:p w14:paraId="3CB10714" w14:textId="77777777" w:rsidR="00F67DDB" w:rsidRPr="0070080E" w:rsidRDefault="0094076D" w:rsidP="00B71810">
      <w:pPr>
        <w:pStyle w:val="Bibliography"/>
      </w:pPr>
      <w:r w:rsidRPr="0070080E">
        <w:t xml:space="preserve">Yang, Y., UY, M. C. S., &amp; Huang, A. (2020). </w:t>
      </w:r>
      <w:r w:rsidRPr="0070080E">
        <w:rPr>
          <w:i/>
          <w:iCs/>
        </w:rPr>
        <w:t>FinBERT: A pretrained language model for financial communications</w:t>
      </w:r>
      <w:r w:rsidRPr="0070080E">
        <w:t xml:space="preserve"> [Preprint]. arXiv. https://doi.org/10.48550/arXiv.2006.08097</w:t>
      </w:r>
    </w:p>
    <w:p w14:paraId="3CB10715" w14:textId="6488292E" w:rsidR="00F67DDB" w:rsidRPr="0070080E" w:rsidRDefault="0094076D">
      <w:pPr>
        <w:pStyle w:val="Heading1"/>
      </w:pPr>
      <w:bookmarkStart w:id="202" w:name="_Toc231913479"/>
      <w:bookmarkStart w:id="203" w:name="Xd966f329b11397171faab7f0517ac6afbe87656"/>
      <w:bookmarkEnd w:id="201"/>
      <w:r w:rsidRPr="0070080E">
        <w:t>Appendix 1. Thesis Proposal Approval Form</w:t>
      </w:r>
      <w:bookmarkEnd w:id="202"/>
    </w:p>
    <w:p w14:paraId="3CB10716" w14:textId="56A0C39E" w:rsidR="00F67DDB" w:rsidRPr="0070080E" w:rsidRDefault="00001BC5" w:rsidP="008A16ED">
      <w:pPr>
        <w:pStyle w:val="Compact"/>
      </w:pPr>
      <w:r w:rsidRPr="0070080E">
        <w:rPr>
          <w:noProof/>
        </w:rPr>
        <w:drawing>
          <wp:anchor distT="0" distB="0" distL="114300" distR="114300" simplePos="0" relativeHeight="251658752" behindDoc="0" locked="0" layoutInCell="1" allowOverlap="1" wp14:anchorId="3CB10835" wp14:editId="707D728A">
            <wp:simplePos x="0" y="0"/>
            <wp:positionH relativeFrom="margin">
              <wp:align>right</wp:align>
            </wp:positionH>
            <wp:positionV relativeFrom="paragraph">
              <wp:posOffset>7404</wp:posOffset>
            </wp:positionV>
            <wp:extent cx="5902570" cy="8446477"/>
            <wp:effectExtent l="0" t="0" r="3175" b="0"/>
            <wp:wrapNone/>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documents/theis_approval_form.png"/>
                    <pic:cNvPicPr>
                      <a:picLocks noChangeAspect="1" noChangeArrowheads="1"/>
                    </pic:cNvPicPr>
                  </pic:nvPicPr>
                  <pic:blipFill>
                    <a:blip r:embed="rId387">
                      <a:extLst>
                        <a:ext uri="{28A0092B-C50C-407E-A947-70E740481C1C}">
                          <a14:useLocalDpi xmlns:a14="http://schemas.microsoft.com/office/drawing/2010/main" val="0"/>
                        </a:ext>
                      </a:extLst>
                    </a:blip>
                    <a:stretch>
                      <a:fillRect/>
                    </a:stretch>
                  </pic:blipFill>
                  <pic:spPr bwMode="auto">
                    <a:xfrm>
                      <a:off x="0" y="0"/>
                      <a:ext cx="5902570" cy="8446477"/>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3CB10717" w14:textId="77777777" w:rsidR="00F67DDB" w:rsidRPr="0070080E" w:rsidRDefault="0094076D">
      <w:pPr>
        <w:pStyle w:val="Heading1"/>
      </w:pPr>
      <w:bookmarkStart w:id="204" w:name="_Toc231913480"/>
      <w:bookmarkStart w:id="205" w:name="appendix-2.-ai-disclosure-statement"/>
      <w:bookmarkEnd w:id="203"/>
      <w:r w:rsidRPr="0070080E">
        <w:t>Appendix 2. AI Disclosure Statement</w:t>
      </w:r>
      <w:bookmarkEnd w:id="204"/>
    </w:p>
    <w:p w14:paraId="3CB10718" w14:textId="77777777" w:rsidR="00F67DDB" w:rsidRPr="0070080E" w:rsidRDefault="0094076D">
      <w:pPr>
        <w:pStyle w:val="FirstParagraph"/>
      </w:pPr>
      <w:r w:rsidRPr="0070080E">
        <w:rPr>
          <w:b/>
          <w:bCs/>
        </w:rPr>
        <w:t>AI Disclosure Statement</w:t>
      </w:r>
    </w:p>
    <w:p w14:paraId="3CB10719" w14:textId="77777777" w:rsidR="00F67DDB" w:rsidRPr="0070080E" w:rsidRDefault="0094076D">
      <w:pPr>
        <w:pStyle w:val="BodyText"/>
      </w:pPr>
      <w:r w:rsidRPr="0070080E">
        <w:t>I declare that Artificial Intelligence tools were used in the preparation of this work for the following purposes:</w:t>
      </w:r>
    </w:p>
    <w:p w14:paraId="3CB1071A" w14:textId="77777777" w:rsidR="00F67DDB" w:rsidRPr="0070080E" w:rsidRDefault="0094076D">
      <w:pPr>
        <w:numPr>
          <w:ilvl w:val="0"/>
          <w:numId w:val="10"/>
        </w:numPr>
      </w:pPr>
      <w:r w:rsidRPr="0070080E">
        <w:rPr>
          <w:b/>
          <w:bCs/>
        </w:rPr>
        <w:t>Sentiment scoring of financial news articles.</w:t>
      </w:r>
      <w:r w:rsidRPr="0070080E">
        <w:t xml:space="preserve"> FinBERT (</w:t>
      </w:r>
      <w:hyperlink r:id="rId388">
        <w:r w:rsidRPr="0070080E">
          <w:rPr>
            <w:rStyle w:val="Hyperlink"/>
          </w:rPr>
          <w:t>Yang et al., 2020</w:t>
        </w:r>
      </w:hyperlink>
      <w:r w:rsidRPr="0070080E">
        <w:t>), a transformer-based language model pre-trained on financial text, was applied programmatically to compute sentence-level sentiment scores for Benzinga news articles. These scores form the Sentiment Extremity component of the Shock Score, as specified in Section 4.3.5. The scoring procedure was fully automated and was designed, configured, and validated independently.</w:t>
      </w:r>
    </w:p>
    <w:p w14:paraId="3CB1071B" w14:textId="77777777" w:rsidR="00F67DDB" w:rsidRPr="0070080E" w:rsidRDefault="0094076D">
      <w:pPr>
        <w:numPr>
          <w:ilvl w:val="0"/>
          <w:numId w:val="10"/>
        </w:numPr>
      </w:pPr>
      <w:r w:rsidRPr="0070080E">
        <w:rPr>
          <w:b/>
          <w:bCs/>
        </w:rPr>
        <w:t>Standardization of news summaries for survey scenarios.</w:t>
      </w:r>
      <w:r w:rsidRPr="0070080E">
        <w:t xml:space="preserve"> Claude Sonnet (Anthropic) was used via API to condense raw news articles into 2-to-3-sentence summaries of consistent length, register, and information density for presentation within the survey instrument (Section 4.4.2). The summarization prompt was written for this study; all summaries were reviewed for factual accuracy and consistency with the source material prior to deployment.</w:t>
      </w:r>
    </w:p>
    <w:p w14:paraId="3CB1071C" w14:textId="77777777" w:rsidR="00F67DDB" w:rsidRPr="0070080E" w:rsidRDefault="0094076D">
      <w:pPr>
        <w:numPr>
          <w:ilvl w:val="0"/>
          <w:numId w:val="10"/>
        </w:numPr>
      </w:pPr>
      <w:r w:rsidRPr="0070080E">
        <w:rPr>
          <w:b/>
          <w:bCs/>
        </w:rPr>
        <w:t>Software development support.</w:t>
      </w:r>
      <w:r w:rsidRPr="0070080E">
        <w:t xml:space="preserve"> Claude Code (Anthropic) was used as a programming assistant to support the development of API interfaces with Interactive Brokers, Google Forms, and Yahoo Finance, and to assist with code optimization across the data pipeline scripts. All code was reviewed, tested, and validated prior to use. The research design, analytical logic, and pipeline architecture were defined independently.</w:t>
      </w:r>
    </w:p>
    <w:p w14:paraId="3CB1071D" w14:textId="77777777" w:rsidR="00F67DDB" w:rsidRPr="0070080E" w:rsidRDefault="0094076D">
      <w:pPr>
        <w:numPr>
          <w:ilvl w:val="0"/>
          <w:numId w:val="10"/>
        </w:numPr>
      </w:pPr>
      <w:r w:rsidRPr="0070080E">
        <w:rPr>
          <w:b/>
          <w:bCs/>
        </w:rPr>
        <w:t>Literature search assistance.</w:t>
      </w:r>
      <w:r w:rsidRPr="0070080E">
        <w:t xml:space="preserve"> OpenAI deep search functionality was used to assist with systematic identification of relevant academic publications during the literature review phase (Chapter 2). All sources were independently read, evaluated, and cited. No AI-generated text was incorporated into the literature review.</w:t>
      </w:r>
    </w:p>
    <w:p w14:paraId="3CB1071E" w14:textId="77777777" w:rsidR="00F67DDB" w:rsidRPr="0070080E" w:rsidRDefault="0094076D">
      <w:pPr>
        <w:numPr>
          <w:ilvl w:val="0"/>
          <w:numId w:val="10"/>
        </w:numPr>
      </w:pPr>
      <w:r w:rsidRPr="0070080E">
        <w:rPr>
          <w:b/>
          <w:bCs/>
        </w:rPr>
        <w:t>Language and style review.</w:t>
      </w:r>
      <w:r w:rsidRPr="0070080E">
        <w:t xml:space="preserve"> Claude Opus (Anthropic) was used to review draft thesis text for grammatical correctness and stylistic consistency. All substantive content, argumentation, analytical interpretation, and conclusions were authored independently. AI suggestions were adopted selectively and did not alter the intellectual substance of any section.</w:t>
      </w:r>
    </w:p>
    <w:p w14:paraId="3CB1071F" w14:textId="77777777" w:rsidR="00F67DDB" w:rsidRPr="0070080E" w:rsidRDefault="0094076D">
      <w:pPr>
        <w:pStyle w:val="FirstParagraph"/>
      </w:pPr>
      <w:r w:rsidRPr="0070080E">
        <w:t>All analysis, interpretation, conclusions, and final content represent my own intellectual work. I remain fully responsible for the accuracy and originality of this submission.</w:t>
      </w:r>
    </w:p>
    <w:p w14:paraId="39C063E7" w14:textId="77777777" w:rsidR="002A2462" w:rsidRPr="0070080E" w:rsidRDefault="002A2462">
      <w:pPr>
        <w:pStyle w:val="BodyText"/>
        <w:rPr>
          <w:b/>
          <w:bCs/>
        </w:rPr>
      </w:pPr>
    </w:p>
    <w:p w14:paraId="4FA87378" w14:textId="77777777" w:rsidR="002A2462" w:rsidRPr="0070080E" w:rsidRDefault="002A2462">
      <w:pPr>
        <w:pStyle w:val="BodyText"/>
        <w:rPr>
          <w:b/>
          <w:bCs/>
        </w:rPr>
      </w:pPr>
    </w:p>
    <w:p w14:paraId="3CB10720" w14:textId="2D5C795B" w:rsidR="00F67DDB" w:rsidRPr="0070080E" w:rsidRDefault="0094076D">
      <w:pPr>
        <w:pStyle w:val="BodyText"/>
      </w:pPr>
      <w:r w:rsidRPr="0070080E">
        <w:rPr>
          <w:b/>
          <w:bCs/>
        </w:rPr>
        <w:t>Student name:</w:t>
      </w:r>
      <w:r w:rsidRPr="0070080E">
        <w:t xml:space="preserve"> Aliaksei Malashonak</w:t>
      </w:r>
    </w:p>
    <w:p w14:paraId="3CB10721" w14:textId="77777777" w:rsidR="00F67DDB" w:rsidRPr="0070080E" w:rsidRDefault="0094076D">
      <w:pPr>
        <w:pStyle w:val="BodyText"/>
      </w:pPr>
      <w:r w:rsidRPr="0070080E">
        <w:rPr>
          <w:b/>
          <w:bCs/>
        </w:rPr>
        <w:t>Program:</w:t>
      </w:r>
      <w:r w:rsidRPr="0070080E">
        <w:t xml:space="preserve"> Executive MBA</w:t>
      </w:r>
    </w:p>
    <w:p w14:paraId="3CB10722" w14:textId="77777777" w:rsidR="00F67DDB" w:rsidRPr="0070080E" w:rsidRDefault="0094076D">
      <w:pPr>
        <w:pStyle w:val="BodyText"/>
      </w:pPr>
      <w:r w:rsidRPr="0070080E">
        <w:rPr>
          <w:b/>
          <w:bCs/>
        </w:rPr>
        <w:t>Course / Project / Thesis title:</w:t>
      </w:r>
      <w:r w:rsidRPr="0070080E">
        <w:t xml:space="preserve"> Reducing Emotional Biases in Investment Portfolio Management</w:t>
      </w:r>
    </w:p>
    <w:p w14:paraId="3CB10723" w14:textId="21E99855" w:rsidR="00F67DDB" w:rsidRPr="0070080E" w:rsidRDefault="0094076D">
      <w:pPr>
        <w:pStyle w:val="BodyText"/>
      </w:pPr>
      <w:r w:rsidRPr="0070080E">
        <w:rPr>
          <w:b/>
          <w:bCs/>
        </w:rPr>
        <w:t>Date:</w:t>
      </w:r>
      <w:r w:rsidRPr="0070080E">
        <w:t xml:space="preserve"> </w:t>
      </w:r>
    </w:p>
    <w:p w14:paraId="3CB10724" w14:textId="77777777" w:rsidR="00F67DDB" w:rsidRPr="0070080E" w:rsidRDefault="0094076D">
      <w:pPr>
        <w:pStyle w:val="Heading1"/>
      </w:pPr>
      <w:bookmarkStart w:id="206" w:name="_Toc231913481"/>
      <w:bookmarkStart w:id="207" w:name="appendix-3.-thesis-turn-in-checklist"/>
      <w:bookmarkEnd w:id="205"/>
      <w:r w:rsidRPr="0070080E">
        <w:t>Appendix 3. Thesis Turn-In Checklist</w:t>
      </w:r>
      <w:bookmarkEnd w:id="206"/>
    </w:p>
    <w:p w14:paraId="3CB10725" w14:textId="77777777" w:rsidR="00F67DDB" w:rsidRPr="0070080E" w:rsidRDefault="0094076D">
      <w:pPr>
        <w:pStyle w:val="FirstParagraph"/>
      </w:pPr>
      <w:r w:rsidRPr="0070080E">
        <w:t>Student name: Aliaksei Malashonak</w:t>
      </w:r>
    </w:p>
    <w:p w14:paraId="3CB10726" w14:textId="77777777" w:rsidR="00F67DDB" w:rsidRPr="0070080E" w:rsidRDefault="0094076D">
      <w:pPr>
        <w:pStyle w:val="BodyText"/>
      </w:pPr>
      <w:r w:rsidRPr="0070080E">
        <w:t>Mentor: Dr. Stefano Canossa</w:t>
      </w:r>
    </w:p>
    <w:p w14:paraId="3CB10727" w14:textId="77777777" w:rsidR="00F67DDB" w:rsidRPr="0070080E" w:rsidRDefault="0094076D">
      <w:pPr>
        <w:pStyle w:val="BodyText"/>
      </w:pPr>
      <w:r w:rsidRPr="0070080E">
        <w:t>Student initial that the item has been checked:</w:t>
      </w:r>
    </w:p>
    <w:tbl>
      <w:tblPr>
        <w:tblStyle w:val="Table"/>
        <w:tblW w:w="5151" w:type="pct"/>
        <w:tblLayout w:type="fixed"/>
        <w:tblLook w:val="0020" w:firstRow="1" w:lastRow="0" w:firstColumn="0" w:lastColumn="0" w:noHBand="0" w:noVBand="0"/>
      </w:tblPr>
      <w:tblGrid>
        <w:gridCol w:w="1604"/>
        <w:gridCol w:w="7254"/>
        <w:gridCol w:w="785"/>
      </w:tblGrid>
      <w:tr w:rsidR="00F67DDB" w:rsidRPr="0070080E" w14:paraId="3CB1072B" w14:textId="77777777" w:rsidTr="0094076D">
        <w:trPr>
          <w:cnfStyle w:val="100000000000" w:firstRow="1" w:lastRow="0" w:firstColumn="0" w:lastColumn="0" w:oddVBand="0" w:evenVBand="0" w:oddHBand="0" w:evenHBand="0" w:firstRowFirstColumn="0" w:firstRowLastColumn="0" w:lastRowFirstColumn="0" w:lastRowLastColumn="0"/>
          <w:tblHeader/>
        </w:trPr>
        <w:tc>
          <w:tcPr>
            <w:tcW w:w="1638" w:type="dxa"/>
          </w:tcPr>
          <w:p w14:paraId="3CB10728" w14:textId="77777777" w:rsidR="00F67DDB" w:rsidRPr="0070080E" w:rsidRDefault="0094076D">
            <w:pPr>
              <w:pStyle w:val="Compact"/>
            </w:pPr>
            <w:r w:rsidRPr="0070080E">
              <w:t>Section</w:t>
            </w:r>
          </w:p>
        </w:tc>
        <w:tc>
          <w:tcPr>
            <w:tcW w:w="7429" w:type="dxa"/>
          </w:tcPr>
          <w:p w14:paraId="3CB10729" w14:textId="77777777" w:rsidR="00F67DDB" w:rsidRPr="0070080E" w:rsidRDefault="0094076D">
            <w:pPr>
              <w:pStyle w:val="Compact"/>
            </w:pPr>
            <w:r w:rsidRPr="0070080E">
              <w:t>Check Item</w:t>
            </w:r>
          </w:p>
        </w:tc>
        <w:tc>
          <w:tcPr>
            <w:tcW w:w="799" w:type="dxa"/>
          </w:tcPr>
          <w:p w14:paraId="3CB1072A" w14:textId="77777777" w:rsidR="00F67DDB" w:rsidRPr="0070080E" w:rsidRDefault="0094076D">
            <w:pPr>
              <w:pStyle w:val="Compact"/>
            </w:pPr>
            <w:r w:rsidRPr="0070080E">
              <w:t>Initial</w:t>
            </w:r>
          </w:p>
        </w:tc>
      </w:tr>
      <w:tr w:rsidR="00F67DDB" w:rsidRPr="0070080E" w14:paraId="3CB1072F" w14:textId="77777777" w:rsidTr="0094076D">
        <w:tc>
          <w:tcPr>
            <w:tcW w:w="1638" w:type="dxa"/>
          </w:tcPr>
          <w:p w14:paraId="3CB1072C" w14:textId="77777777" w:rsidR="00F67DDB" w:rsidRPr="0070080E" w:rsidRDefault="0094076D">
            <w:pPr>
              <w:pStyle w:val="Compact"/>
            </w:pPr>
            <w:r w:rsidRPr="0070080E">
              <w:t>Title page</w:t>
            </w:r>
          </w:p>
        </w:tc>
        <w:tc>
          <w:tcPr>
            <w:tcW w:w="7429" w:type="dxa"/>
          </w:tcPr>
          <w:p w14:paraId="3CB1072D" w14:textId="77777777" w:rsidR="00F67DDB" w:rsidRPr="0070080E" w:rsidRDefault="0094076D">
            <w:pPr>
              <w:pStyle w:val="Compact"/>
            </w:pPr>
            <w:r w:rsidRPr="0070080E">
              <w:t>SBS format used</w:t>
            </w:r>
          </w:p>
        </w:tc>
        <w:tc>
          <w:tcPr>
            <w:tcW w:w="799" w:type="dxa"/>
          </w:tcPr>
          <w:p w14:paraId="3CB1072E" w14:textId="77777777" w:rsidR="00F67DDB" w:rsidRPr="0070080E" w:rsidRDefault="00F67DDB">
            <w:pPr>
              <w:pStyle w:val="Compact"/>
            </w:pPr>
          </w:p>
        </w:tc>
      </w:tr>
      <w:tr w:rsidR="00F67DDB" w:rsidRPr="0070080E" w14:paraId="3CB10733" w14:textId="77777777" w:rsidTr="0094076D">
        <w:tc>
          <w:tcPr>
            <w:tcW w:w="1638" w:type="dxa"/>
          </w:tcPr>
          <w:p w14:paraId="3CB10730" w14:textId="77777777" w:rsidR="00F67DDB" w:rsidRPr="0070080E" w:rsidRDefault="0094076D">
            <w:pPr>
              <w:pStyle w:val="Compact"/>
            </w:pPr>
            <w:r w:rsidRPr="0070080E">
              <w:t>Contents</w:t>
            </w:r>
          </w:p>
        </w:tc>
        <w:tc>
          <w:tcPr>
            <w:tcW w:w="7429" w:type="dxa"/>
          </w:tcPr>
          <w:p w14:paraId="3CB10731" w14:textId="77777777" w:rsidR="00F67DDB" w:rsidRPr="0070080E" w:rsidRDefault="0094076D">
            <w:pPr>
              <w:pStyle w:val="Compact"/>
            </w:pPr>
            <w:r w:rsidRPr="0070080E">
              <w:t>Six-chapter format (not five/not seven)</w:t>
            </w:r>
          </w:p>
        </w:tc>
        <w:tc>
          <w:tcPr>
            <w:tcW w:w="799" w:type="dxa"/>
          </w:tcPr>
          <w:p w14:paraId="3CB10732" w14:textId="065342FE" w:rsidR="00F67DDB" w:rsidRPr="0070080E" w:rsidRDefault="003859AB">
            <w:pPr>
              <w:pStyle w:val="Compact"/>
            </w:pPr>
            <w:r w:rsidRPr="0070080E">
              <w:t>X</w:t>
            </w:r>
          </w:p>
        </w:tc>
      </w:tr>
      <w:tr w:rsidR="00F67DDB" w:rsidRPr="0070080E" w14:paraId="3CB10737" w14:textId="77777777" w:rsidTr="0094076D">
        <w:tc>
          <w:tcPr>
            <w:tcW w:w="1638" w:type="dxa"/>
          </w:tcPr>
          <w:p w14:paraId="3CB10734" w14:textId="77777777" w:rsidR="00F67DDB" w:rsidRPr="0070080E" w:rsidRDefault="0094076D">
            <w:pPr>
              <w:pStyle w:val="Compact"/>
            </w:pPr>
            <w:r w:rsidRPr="0070080E">
              <w:t>Main-body Length</w:t>
            </w:r>
          </w:p>
        </w:tc>
        <w:tc>
          <w:tcPr>
            <w:tcW w:w="7429" w:type="dxa"/>
          </w:tcPr>
          <w:p w14:paraId="3CB10735" w14:textId="77777777" w:rsidR="00F67DDB" w:rsidRPr="0070080E" w:rsidRDefault="0094076D">
            <w:pPr>
              <w:pStyle w:val="Compact"/>
            </w:pPr>
            <w:r w:rsidRPr="0070080E">
              <w:t>20,000 words</w:t>
            </w:r>
          </w:p>
        </w:tc>
        <w:tc>
          <w:tcPr>
            <w:tcW w:w="799" w:type="dxa"/>
          </w:tcPr>
          <w:p w14:paraId="3CB10736" w14:textId="76073C6F" w:rsidR="00F67DDB" w:rsidRPr="0070080E" w:rsidRDefault="004F0D4B">
            <w:pPr>
              <w:pStyle w:val="Compact"/>
            </w:pPr>
            <w:r w:rsidRPr="0070080E">
              <w:t>X</w:t>
            </w:r>
          </w:p>
        </w:tc>
      </w:tr>
      <w:tr w:rsidR="00F67DDB" w:rsidRPr="0070080E" w14:paraId="3CB1073B" w14:textId="77777777" w:rsidTr="0094076D">
        <w:tc>
          <w:tcPr>
            <w:tcW w:w="1638" w:type="dxa"/>
          </w:tcPr>
          <w:p w14:paraId="3CB10738" w14:textId="77777777" w:rsidR="00F67DDB" w:rsidRPr="0070080E" w:rsidRDefault="0094076D">
            <w:pPr>
              <w:pStyle w:val="Compact"/>
            </w:pPr>
            <w:r w:rsidRPr="0070080E">
              <w:t>Text format</w:t>
            </w:r>
          </w:p>
        </w:tc>
        <w:tc>
          <w:tcPr>
            <w:tcW w:w="7429" w:type="dxa"/>
          </w:tcPr>
          <w:p w14:paraId="3CB10739" w14:textId="77777777" w:rsidR="00F67DDB" w:rsidRPr="0070080E" w:rsidRDefault="0094076D">
            <w:pPr>
              <w:pStyle w:val="Compact"/>
            </w:pPr>
            <w:r w:rsidRPr="0070080E">
              <w:t>Text align-left (not centered)</w:t>
            </w:r>
          </w:p>
        </w:tc>
        <w:tc>
          <w:tcPr>
            <w:tcW w:w="799" w:type="dxa"/>
          </w:tcPr>
          <w:p w14:paraId="3CB1073A" w14:textId="3A909B97" w:rsidR="00F67DDB" w:rsidRPr="0070080E" w:rsidRDefault="004F0D4B">
            <w:pPr>
              <w:pStyle w:val="Compact"/>
            </w:pPr>
            <w:r w:rsidRPr="0070080E">
              <w:t>X</w:t>
            </w:r>
          </w:p>
        </w:tc>
      </w:tr>
      <w:tr w:rsidR="00F67DDB" w:rsidRPr="0070080E" w14:paraId="3CB1073F" w14:textId="77777777" w:rsidTr="0094076D">
        <w:tc>
          <w:tcPr>
            <w:tcW w:w="1638" w:type="dxa"/>
          </w:tcPr>
          <w:p w14:paraId="3CB1073C" w14:textId="77777777" w:rsidR="00F67DDB" w:rsidRPr="0070080E" w:rsidRDefault="00F67DDB">
            <w:pPr>
              <w:pStyle w:val="Compact"/>
            </w:pPr>
          </w:p>
        </w:tc>
        <w:tc>
          <w:tcPr>
            <w:tcW w:w="7429" w:type="dxa"/>
          </w:tcPr>
          <w:p w14:paraId="3CB1073D" w14:textId="77777777" w:rsidR="00F67DDB" w:rsidRPr="0070080E" w:rsidRDefault="0094076D">
            <w:pPr>
              <w:pStyle w:val="Compact"/>
            </w:pPr>
            <w:r w:rsidRPr="0070080E">
              <w:t>11 pt. Calibri / double spaced</w:t>
            </w:r>
          </w:p>
        </w:tc>
        <w:tc>
          <w:tcPr>
            <w:tcW w:w="799" w:type="dxa"/>
          </w:tcPr>
          <w:p w14:paraId="3CB1073E" w14:textId="42549287" w:rsidR="00F67DDB" w:rsidRPr="0070080E" w:rsidRDefault="004F0D4B">
            <w:pPr>
              <w:pStyle w:val="Compact"/>
            </w:pPr>
            <w:r w:rsidRPr="0070080E">
              <w:t>X</w:t>
            </w:r>
          </w:p>
        </w:tc>
      </w:tr>
      <w:tr w:rsidR="00F67DDB" w:rsidRPr="0070080E" w14:paraId="3CB10743" w14:textId="77777777" w:rsidTr="0094076D">
        <w:tc>
          <w:tcPr>
            <w:tcW w:w="1638" w:type="dxa"/>
          </w:tcPr>
          <w:p w14:paraId="3CB10740" w14:textId="77777777" w:rsidR="00F67DDB" w:rsidRPr="0070080E" w:rsidRDefault="00F67DDB">
            <w:pPr>
              <w:pStyle w:val="Compact"/>
            </w:pPr>
          </w:p>
        </w:tc>
        <w:tc>
          <w:tcPr>
            <w:tcW w:w="7429" w:type="dxa"/>
          </w:tcPr>
          <w:p w14:paraId="3CB10741" w14:textId="77777777" w:rsidR="00F67DDB" w:rsidRPr="0070080E" w:rsidRDefault="0094076D">
            <w:pPr>
              <w:pStyle w:val="Compact"/>
            </w:pPr>
            <w:r w:rsidRPr="0070080E">
              <w:t>Only chapters start on new page (not sub-chapters)</w:t>
            </w:r>
          </w:p>
        </w:tc>
        <w:tc>
          <w:tcPr>
            <w:tcW w:w="799" w:type="dxa"/>
          </w:tcPr>
          <w:p w14:paraId="3CB10742" w14:textId="4D161BCF" w:rsidR="00F67DDB" w:rsidRPr="0070080E" w:rsidRDefault="004F0D4B">
            <w:pPr>
              <w:pStyle w:val="Compact"/>
            </w:pPr>
            <w:r w:rsidRPr="0070080E">
              <w:t>X</w:t>
            </w:r>
          </w:p>
        </w:tc>
      </w:tr>
      <w:tr w:rsidR="00F67DDB" w:rsidRPr="0070080E" w14:paraId="3CB10747" w14:textId="77777777" w:rsidTr="0094076D">
        <w:tc>
          <w:tcPr>
            <w:tcW w:w="1638" w:type="dxa"/>
          </w:tcPr>
          <w:p w14:paraId="3CB10744" w14:textId="77777777" w:rsidR="00F67DDB" w:rsidRPr="0070080E" w:rsidRDefault="00F67DDB">
            <w:pPr>
              <w:pStyle w:val="Compact"/>
            </w:pPr>
          </w:p>
        </w:tc>
        <w:tc>
          <w:tcPr>
            <w:tcW w:w="7429" w:type="dxa"/>
          </w:tcPr>
          <w:p w14:paraId="3CB10745" w14:textId="77777777" w:rsidR="00F67DDB" w:rsidRPr="0070080E" w:rsidRDefault="0094076D">
            <w:pPr>
              <w:pStyle w:val="Compact"/>
            </w:pPr>
            <w:r w:rsidRPr="0070080E">
              <w:t>Paragraphs indented (not flush left with space between paragraphs)</w:t>
            </w:r>
          </w:p>
        </w:tc>
        <w:tc>
          <w:tcPr>
            <w:tcW w:w="799" w:type="dxa"/>
          </w:tcPr>
          <w:p w14:paraId="3CB10746" w14:textId="19D4E252" w:rsidR="00F67DDB" w:rsidRPr="0070080E" w:rsidRDefault="003859AB">
            <w:pPr>
              <w:pStyle w:val="Compact"/>
            </w:pPr>
            <w:r w:rsidRPr="0070080E">
              <w:t>X</w:t>
            </w:r>
          </w:p>
        </w:tc>
      </w:tr>
      <w:tr w:rsidR="00F67DDB" w:rsidRPr="0070080E" w14:paraId="3CB1074B" w14:textId="77777777" w:rsidTr="0094076D">
        <w:tc>
          <w:tcPr>
            <w:tcW w:w="1638" w:type="dxa"/>
          </w:tcPr>
          <w:p w14:paraId="3CB10748" w14:textId="77777777" w:rsidR="00F67DDB" w:rsidRPr="0070080E" w:rsidRDefault="00F67DDB">
            <w:pPr>
              <w:pStyle w:val="Compact"/>
            </w:pPr>
          </w:p>
        </w:tc>
        <w:tc>
          <w:tcPr>
            <w:tcW w:w="7429" w:type="dxa"/>
          </w:tcPr>
          <w:p w14:paraId="3CB10749" w14:textId="77777777" w:rsidR="00F67DDB" w:rsidRPr="0070080E" w:rsidRDefault="0094076D">
            <w:pPr>
              <w:pStyle w:val="Compact"/>
            </w:pPr>
            <w:r w:rsidRPr="0070080E">
              <w:t>Sub-chapters numbered (not merely sub-chapter titles)</w:t>
            </w:r>
          </w:p>
        </w:tc>
        <w:tc>
          <w:tcPr>
            <w:tcW w:w="799" w:type="dxa"/>
          </w:tcPr>
          <w:p w14:paraId="3CB1074A" w14:textId="6AC2D525" w:rsidR="00F67DDB" w:rsidRPr="0070080E" w:rsidRDefault="0076507B">
            <w:pPr>
              <w:pStyle w:val="Compact"/>
            </w:pPr>
            <w:r w:rsidRPr="0070080E">
              <w:t>X</w:t>
            </w:r>
          </w:p>
        </w:tc>
      </w:tr>
      <w:tr w:rsidR="00F67DDB" w:rsidRPr="0070080E" w14:paraId="3CB1074F" w14:textId="77777777" w:rsidTr="0094076D">
        <w:tc>
          <w:tcPr>
            <w:tcW w:w="1638" w:type="dxa"/>
          </w:tcPr>
          <w:p w14:paraId="3CB1074C" w14:textId="77777777" w:rsidR="00F67DDB" w:rsidRPr="0070080E" w:rsidRDefault="00F67DDB">
            <w:pPr>
              <w:pStyle w:val="Compact"/>
            </w:pPr>
          </w:p>
        </w:tc>
        <w:tc>
          <w:tcPr>
            <w:tcW w:w="7429" w:type="dxa"/>
          </w:tcPr>
          <w:p w14:paraId="3CB1074D" w14:textId="77777777" w:rsidR="00F67DDB" w:rsidRPr="0070080E" w:rsidRDefault="0094076D">
            <w:pPr>
              <w:pStyle w:val="Compact"/>
            </w:pPr>
            <w:r w:rsidRPr="0070080E">
              <w:t>APA header style used</w:t>
            </w:r>
          </w:p>
        </w:tc>
        <w:tc>
          <w:tcPr>
            <w:tcW w:w="799" w:type="dxa"/>
          </w:tcPr>
          <w:p w14:paraId="3CB1074E" w14:textId="6422C771" w:rsidR="00F67DDB" w:rsidRPr="0070080E" w:rsidRDefault="0076507B">
            <w:pPr>
              <w:pStyle w:val="Compact"/>
            </w:pPr>
            <w:r w:rsidRPr="0070080E">
              <w:t>X</w:t>
            </w:r>
          </w:p>
        </w:tc>
      </w:tr>
      <w:tr w:rsidR="00F67DDB" w:rsidRPr="0070080E" w14:paraId="3CB10753" w14:textId="77777777" w:rsidTr="0094076D">
        <w:tc>
          <w:tcPr>
            <w:tcW w:w="1638" w:type="dxa"/>
          </w:tcPr>
          <w:p w14:paraId="3CB10750" w14:textId="77777777" w:rsidR="00F67DDB" w:rsidRPr="0070080E" w:rsidRDefault="00F67DDB">
            <w:pPr>
              <w:pStyle w:val="Compact"/>
            </w:pPr>
          </w:p>
        </w:tc>
        <w:tc>
          <w:tcPr>
            <w:tcW w:w="7429" w:type="dxa"/>
          </w:tcPr>
          <w:p w14:paraId="3CB10751" w14:textId="77777777" w:rsidR="00F67DDB" w:rsidRPr="0070080E" w:rsidRDefault="0094076D">
            <w:pPr>
              <w:pStyle w:val="Compact"/>
            </w:pPr>
            <w:r w:rsidRPr="0070080E">
              <w:t>APA figure and table number and title formatting used above the figure</w:t>
            </w:r>
          </w:p>
        </w:tc>
        <w:tc>
          <w:tcPr>
            <w:tcW w:w="799" w:type="dxa"/>
          </w:tcPr>
          <w:p w14:paraId="3CB10752" w14:textId="3C1D8E00" w:rsidR="00F67DDB" w:rsidRPr="0070080E" w:rsidRDefault="0076507B">
            <w:pPr>
              <w:pStyle w:val="Compact"/>
            </w:pPr>
            <w:r w:rsidRPr="0070080E">
              <w:t>X</w:t>
            </w:r>
          </w:p>
        </w:tc>
      </w:tr>
      <w:tr w:rsidR="00F67DDB" w:rsidRPr="0070080E" w14:paraId="3CB10757" w14:textId="77777777" w:rsidTr="0094076D">
        <w:tc>
          <w:tcPr>
            <w:tcW w:w="1638" w:type="dxa"/>
          </w:tcPr>
          <w:p w14:paraId="3CB10754" w14:textId="77777777" w:rsidR="00F67DDB" w:rsidRPr="0070080E" w:rsidRDefault="00F67DDB">
            <w:pPr>
              <w:pStyle w:val="Compact"/>
            </w:pPr>
          </w:p>
        </w:tc>
        <w:tc>
          <w:tcPr>
            <w:tcW w:w="7429" w:type="dxa"/>
          </w:tcPr>
          <w:p w14:paraId="3CB10755" w14:textId="77777777" w:rsidR="00F67DDB" w:rsidRPr="0070080E" w:rsidRDefault="0094076D">
            <w:pPr>
              <w:pStyle w:val="Compact"/>
            </w:pPr>
            <w:r w:rsidRPr="0070080E">
              <w:t>APA figure and table reference format used below the figure</w:t>
            </w:r>
          </w:p>
        </w:tc>
        <w:tc>
          <w:tcPr>
            <w:tcW w:w="799" w:type="dxa"/>
          </w:tcPr>
          <w:p w14:paraId="3CB10756" w14:textId="03AE4631" w:rsidR="00F67DDB" w:rsidRPr="0070080E" w:rsidRDefault="0076507B">
            <w:pPr>
              <w:pStyle w:val="Compact"/>
            </w:pPr>
            <w:r w:rsidRPr="0070080E">
              <w:t>X</w:t>
            </w:r>
          </w:p>
        </w:tc>
      </w:tr>
      <w:tr w:rsidR="00F67DDB" w:rsidRPr="0070080E" w14:paraId="3CB1075B" w14:textId="77777777" w:rsidTr="0094076D">
        <w:tc>
          <w:tcPr>
            <w:tcW w:w="1638" w:type="dxa"/>
          </w:tcPr>
          <w:p w14:paraId="3CB10758" w14:textId="77777777" w:rsidR="00F67DDB" w:rsidRPr="0070080E" w:rsidRDefault="00F67DDB">
            <w:pPr>
              <w:pStyle w:val="Compact"/>
            </w:pPr>
          </w:p>
        </w:tc>
        <w:tc>
          <w:tcPr>
            <w:tcW w:w="7429" w:type="dxa"/>
          </w:tcPr>
          <w:p w14:paraId="3CB10759" w14:textId="77777777" w:rsidR="00F67DDB" w:rsidRPr="0070080E" w:rsidRDefault="0094076D">
            <w:pPr>
              <w:pStyle w:val="Compact"/>
            </w:pPr>
            <w:r w:rsidRPr="0070080E">
              <w:t>Either “from” or “based on” plus entire reference line</w:t>
            </w:r>
          </w:p>
        </w:tc>
        <w:tc>
          <w:tcPr>
            <w:tcW w:w="799" w:type="dxa"/>
          </w:tcPr>
          <w:p w14:paraId="3CB1075A" w14:textId="678A3413" w:rsidR="00F67DDB" w:rsidRPr="0070080E" w:rsidRDefault="0076507B">
            <w:pPr>
              <w:pStyle w:val="Compact"/>
            </w:pPr>
            <w:r w:rsidRPr="0070080E">
              <w:t>X</w:t>
            </w:r>
          </w:p>
        </w:tc>
      </w:tr>
      <w:tr w:rsidR="00F67DDB" w:rsidRPr="0070080E" w14:paraId="3CB1075F" w14:textId="77777777" w:rsidTr="0094076D">
        <w:tc>
          <w:tcPr>
            <w:tcW w:w="1638" w:type="dxa"/>
          </w:tcPr>
          <w:p w14:paraId="3CB1075C" w14:textId="77777777" w:rsidR="00F67DDB" w:rsidRPr="0070080E" w:rsidRDefault="0094076D">
            <w:pPr>
              <w:pStyle w:val="Compact"/>
            </w:pPr>
            <w:r w:rsidRPr="0070080E">
              <w:t>Text content</w:t>
            </w:r>
          </w:p>
        </w:tc>
        <w:tc>
          <w:tcPr>
            <w:tcW w:w="7429" w:type="dxa"/>
          </w:tcPr>
          <w:p w14:paraId="3CB1075D" w14:textId="77777777" w:rsidR="00F67DDB" w:rsidRPr="0070080E" w:rsidRDefault="0094076D">
            <w:pPr>
              <w:pStyle w:val="Compact"/>
            </w:pPr>
            <w:r w:rsidRPr="0070080E">
              <w:t>Reference to SBS Swiss Business School (not Swiss Business School)</w:t>
            </w:r>
          </w:p>
        </w:tc>
        <w:tc>
          <w:tcPr>
            <w:tcW w:w="799" w:type="dxa"/>
          </w:tcPr>
          <w:p w14:paraId="3CB1075E" w14:textId="77777777" w:rsidR="00F67DDB" w:rsidRPr="0070080E" w:rsidRDefault="00F67DDB">
            <w:pPr>
              <w:pStyle w:val="Compact"/>
            </w:pPr>
          </w:p>
        </w:tc>
      </w:tr>
      <w:tr w:rsidR="00F67DDB" w:rsidRPr="0070080E" w14:paraId="3CB10763" w14:textId="77777777" w:rsidTr="0094076D">
        <w:tc>
          <w:tcPr>
            <w:tcW w:w="1638" w:type="dxa"/>
          </w:tcPr>
          <w:p w14:paraId="3CB10760" w14:textId="77777777" w:rsidR="00F67DDB" w:rsidRPr="0070080E" w:rsidRDefault="00F67DDB">
            <w:pPr>
              <w:pStyle w:val="Compact"/>
            </w:pPr>
          </w:p>
        </w:tc>
        <w:tc>
          <w:tcPr>
            <w:tcW w:w="7429" w:type="dxa"/>
          </w:tcPr>
          <w:p w14:paraId="3CB10761" w14:textId="77777777" w:rsidR="00F67DDB" w:rsidRPr="0070080E" w:rsidRDefault="0094076D">
            <w:pPr>
              <w:pStyle w:val="Compact"/>
            </w:pPr>
            <w:r w:rsidRPr="0070080E">
              <w:t>Reference to Dr. Wolfs (not Wolf)</w:t>
            </w:r>
          </w:p>
        </w:tc>
        <w:tc>
          <w:tcPr>
            <w:tcW w:w="799" w:type="dxa"/>
          </w:tcPr>
          <w:p w14:paraId="3CB10762" w14:textId="77777777" w:rsidR="00F67DDB" w:rsidRPr="0070080E" w:rsidRDefault="00F67DDB">
            <w:pPr>
              <w:pStyle w:val="Compact"/>
            </w:pPr>
          </w:p>
        </w:tc>
      </w:tr>
      <w:tr w:rsidR="00F67DDB" w:rsidRPr="0070080E" w14:paraId="3CB10767" w14:textId="77777777" w:rsidTr="0094076D">
        <w:tc>
          <w:tcPr>
            <w:tcW w:w="1638" w:type="dxa"/>
          </w:tcPr>
          <w:p w14:paraId="3CB10764" w14:textId="77777777" w:rsidR="00F67DDB" w:rsidRPr="0070080E" w:rsidRDefault="0094076D">
            <w:pPr>
              <w:pStyle w:val="Compact"/>
            </w:pPr>
            <w:r w:rsidRPr="0070080E">
              <w:t>Hypotheses</w:t>
            </w:r>
          </w:p>
        </w:tc>
        <w:tc>
          <w:tcPr>
            <w:tcW w:w="7429" w:type="dxa"/>
          </w:tcPr>
          <w:p w14:paraId="3CB10765" w14:textId="77777777" w:rsidR="00F67DDB" w:rsidRPr="0070080E" w:rsidRDefault="0094076D">
            <w:pPr>
              <w:pStyle w:val="Compact"/>
            </w:pPr>
            <w:r w:rsidRPr="0070080E">
              <w:t>Hypotheses written as Hₒ (H1ₒ/H2ₒ) and Hₐ (H1ₐ/H2ₐ)</w:t>
            </w:r>
          </w:p>
        </w:tc>
        <w:tc>
          <w:tcPr>
            <w:tcW w:w="799" w:type="dxa"/>
          </w:tcPr>
          <w:p w14:paraId="3CB10766" w14:textId="487A224B" w:rsidR="00F67DDB" w:rsidRPr="0070080E" w:rsidRDefault="0076507B">
            <w:pPr>
              <w:pStyle w:val="Compact"/>
            </w:pPr>
            <w:r w:rsidRPr="0070080E">
              <w:t>X</w:t>
            </w:r>
          </w:p>
        </w:tc>
      </w:tr>
      <w:tr w:rsidR="00F67DDB" w:rsidRPr="0070080E" w14:paraId="3CB1076B" w14:textId="77777777" w:rsidTr="0094076D">
        <w:tc>
          <w:tcPr>
            <w:tcW w:w="1638" w:type="dxa"/>
          </w:tcPr>
          <w:p w14:paraId="3CB10768" w14:textId="77777777" w:rsidR="00F67DDB" w:rsidRPr="0070080E" w:rsidRDefault="00F67DDB">
            <w:pPr>
              <w:pStyle w:val="Compact"/>
            </w:pPr>
          </w:p>
        </w:tc>
        <w:tc>
          <w:tcPr>
            <w:tcW w:w="7429" w:type="dxa"/>
          </w:tcPr>
          <w:p w14:paraId="3CB10769" w14:textId="77777777" w:rsidR="00F67DDB" w:rsidRPr="0070080E" w:rsidRDefault="0094076D">
            <w:pPr>
              <w:pStyle w:val="Compact"/>
            </w:pPr>
            <w:r w:rsidRPr="0070080E">
              <w:t>Hypothesis testing results reported per thesis handbook</w:t>
            </w:r>
          </w:p>
        </w:tc>
        <w:tc>
          <w:tcPr>
            <w:tcW w:w="799" w:type="dxa"/>
          </w:tcPr>
          <w:p w14:paraId="3CB1076A" w14:textId="1FED0482" w:rsidR="00F67DDB" w:rsidRPr="0070080E" w:rsidRDefault="00CD3EB1">
            <w:pPr>
              <w:pStyle w:val="Compact"/>
            </w:pPr>
            <w:r w:rsidRPr="0070080E">
              <w:t>X</w:t>
            </w:r>
          </w:p>
        </w:tc>
      </w:tr>
      <w:tr w:rsidR="00F67DDB" w:rsidRPr="0070080E" w14:paraId="3CB1076F" w14:textId="77777777" w:rsidTr="0094076D">
        <w:tc>
          <w:tcPr>
            <w:tcW w:w="1638" w:type="dxa"/>
          </w:tcPr>
          <w:p w14:paraId="3CB1076C" w14:textId="77777777" w:rsidR="00F67DDB" w:rsidRPr="0070080E" w:rsidRDefault="00F67DDB">
            <w:pPr>
              <w:pStyle w:val="Compact"/>
            </w:pPr>
          </w:p>
        </w:tc>
        <w:tc>
          <w:tcPr>
            <w:tcW w:w="7429" w:type="dxa"/>
          </w:tcPr>
          <w:p w14:paraId="3CB1076D" w14:textId="77777777" w:rsidR="00F67DDB" w:rsidRPr="0070080E" w:rsidRDefault="0094076D">
            <w:pPr>
              <w:pStyle w:val="Compact"/>
            </w:pPr>
            <w:r w:rsidRPr="0070080E">
              <w:t>“Fail to reject the null hypothesis” used</w:t>
            </w:r>
          </w:p>
        </w:tc>
        <w:tc>
          <w:tcPr>
            <w:tcW w:w="799" w:type="dxa"/>
          </w:tcPr>
          <w:p w14:paraId="3CB1076E" w14:textId="56E6818F" w:rsidR="00F67DDB" w:rsidRPr="0070080E" w:rsidRDefault="00CD3EB1">
            <w:pPr>
              <w:pStyle w:val="Compact"/>
            </w:pPr>
            <w:r w:rsidRPr="0070080E">
              <w:t>X</w:t>
            </w:r>
          </w:p>
        </w:tc>
      </w:tr>
      <w:tr w:rsidR="00F67DDB" w:rsidRPr="0070080E" w14:paraId="3CB10773" w14:textId="77777777" w:rsidTr="0094076D">
        <w:tc>
          <w:tcPr>
            <w:tcW w:w="1638" w:type="dxa"/>
          </w:tcPr>
          <w:p w14:paraId="3CB10770" w14:textId="77777777" w:rsidR="00F67DDB" w:rsidRPr="0070080E" w:rsidRDefault="00F67DDB">
            <w:pPr>
              <w:pStyle w:val="Compact"/>
            </w:pPr>
          </w:p>
        </w:tc>
        <w:tc>
          <w:tcPr>
            <w:tcW w:w="7429" w:type="dxa"/>
          </w:tcPr>
          <w:p w14:paraId="3CB10771" w14:textId="77777777" w:rsidR="00F67DDB" w:rsidRPr="0070080E" w:rsidRDefault="0094076D">
            <w:pPr>
              <w:pStyle w:val="Compact"/>
            </w:pPr>
            <w:r w:rsidRPr="0070080E">
              <w:t>“Support for the alternative hypothesis was found” used</w:t>
            </w:r>
          </w:p>
        </w:tc>
        <w:tc>
          <w:tcPr>
            <w:tcW w:w="799" w:type="dxa"/>
          </w:tcPr>
          <w:p w14:paraId="3CB10772" w14:textId="240E8789" w:rsidR="00F67DDB" w:rsidRPr="0070080E" w:rsidRDefault="007A2489">
            <w:pPr>
              <w:pStyle w:val="Compact"/>
            </w:pPr>
            <w:r w:rsidRPr="0070080E">
              <w:t>X</w:t>
            </w:r>
          </w:p>
        </w:tc>
      </w:tr>
      <w:tr w:rsidR="00F67DDB" w:rsidRPr="0070080E" w14:paraId="3CB10777" w14:textId="77777777" w:rsidTr="0094076D">
        <w:tc>
          <w:tcPr>
            <w:tcW w:w="1638" w:type="dxa"/>
          </w:tcPr>
          <w:p w14:paraId="3CB10774" w14:textId="77777777" w:rsidR="00F67DDB" w:rsidRPr="0070080E" w:rsidRDefault="00F67DDB">
            <w:pPr>
              <w:pStyle w:val="Compact"/>
            </w:pPr>
          </w:p>
        </w:tc>
        <w:tc>
          <w:tcPr>
            <w:tcW w:w="7429" w:type="dxa"/>
          </w:tcPr>
          <w:p w14:paraId="3CB10775" w14:textId="77777777" w:rsidR="00F67DDB" w:rsidRPr="0070080E" w:rsidRDefault="0094076D">
            <w:pPr>
              <w:pStyle w:val="Compact"/>
            </w:pPr>
            <w:r w:rsidRPr="0070080E">
              <w:t>“Prove” not used</w:t>
            </w:r>
          </w:p>
        </w:tc>
        <w:tc>
          <w:tcPr>
            <w:tcW w:w="799" w:type="dxa"/>
          </w:tcPr>
          <w:p w14:paraId="3CB10776" w14:textId="26D3A7A3" w:rsidR="00F67DDB" w:rsidRPr="0070080E" w:rsidRDefault="00065301">
            <w:pPr>
              <w:pStyle w:val="Compact"/>
            </w:pPr>
            <w:r w:rsidRPr="0070080E">
              <w:t>X</w:t>
            </w:r>
          </w:p>
        </w:tc>
      </w:tr>
      <w:tr w:rsidR="00F67DDB" w:rsidRPr="0070080E" w14:paraId="3CB1077B" w14:textId="77777777" w:rsidTr="0094076D">
        <w:tc>
          <w:tcPr>
            <w:tcW w:w="1638" w:type="dxa"/>
          </w:tcPr>
          <w:p w14:paraId="3CB10778" w14:textId="77777777" w:rsidR="00F67DDB" w:rsidRPr="0070080E" w:rsidRDefault="00F67DDB">
            <w:pPr>
              <w:pStyle w:val="Compact"/>
            </w:pPr>
          </w:p>
        </w:tc>
        <w:tc>
          <w:tcPr>
            <w:tcW w:w="7429" w:type="dxa"/>
          </w:tcPr>
          <w:p w14:paraId="3CB10779" w14:textId="77777777" w:rsidR="00F67DDB" w:rsidRPr="0070080E" w:rsidRDefault="0094076D">
            <w:pPr>
              <w:pStyle w:val="Compact"/>
            </w:pPr>
            <w:r w:rsidRPr="0070080E">
              <w:t>“Accept/reject” wording not used</w:t>
            </w:r>
          </w:p>
        </w:tc>
        <w:tc>
          <w:tcPr>
            <w:tcW w:w="799" w:type="dxa"/>
          </w:tcPr>
          <w:p w14:paraId="3CB1077A" w14:textId="77777777" w:rsidR="00F67DDB" w:rsidRPr="0070080E" w:rsidRDefault="00F67DDB">
            <w:pPr>
              <w:pStyle w:val="Compact"/>
            </w:pPr>
          </w:p>
        </w:tc>
      </w:tr>
      <w:tr w:rsidR="00F67DDB" w:rsidRPr="0070080E" w14:paraId="3CB1077F" w14:textId="77777777" w:rsidTr="0094076D">
        <w:tc>
          <w:tcPr>
            <w:tcW w:w="1638" w:type="dxa"/>
          </w:tcPr>
          <w:p w14:paraId="3CB1077C" w14:textId="77777777" w:rsidR="00F67DDB" w:rsidRPr="0070080E" w:rsidRDefault="0094076D">
            <w:pPr>
              <w:pStyle w:val="Compact"/>
            </w:pPr>
            <w:r w:rsidRPr="0070080E">
              <w:t>Reference list</w:t>
            </w:r>
          </w:p>
        </w:tc>
        <w:tc>
          <w:tcPr>
            <w:tcW w:w="7429" w:type="dxa"/>
          </w:tcPr>
          <w:p w14:paraId="3CB1077D" w14:textId="77777777" w:rsidR="00F67DDB" w:rsidRPr="0070080E" w:rsidRDefault="0094076D">
            <w:pPr>
              <w:pStyle w:val="Compact"/>
            </w:pPr>
            <w:r w:rsidRPr="0070080E">
              <w:t>Not numbered as a chapter</w:t>
            </w:r>
          </w:p>
        </w:tc>
        <w:tc>
          <w:tcPr>
            <w:tcW w:w="799" w:type="dxa"/>
          </w:tcPr>
          <w:p w14:paraId="3CB1077E" w14:textId="41A1CC39" w:rsidR="00F67DDB" w:rsidRPr="0070080E" w:rsidRDefault="007A2489">
            <w:pPr>
              <w:pStyle w:val="Compact"/>
            </w:pPr>
            <w:r w:rsidRPr="0070080E">
              <w:t>X</w:t>
            </w:r>
          </w:p>
        </w:tc>
      </w:tr>
      <w:tr w:rsidR="00F67DDB" w:rsidRPr="0070080E" w14:paraId="3CB10783" w14:textId="77777777" w:rsidTr="0094076D">
        <w:tc>
          <w:tcPr>
            <w:tcW w:w="1638" w:type="dxa"/>
          </w:tcPr>
          <w:p w14:paraId="3CB10780" w14:textId="77777777" w:rsidR="00F67DDB" w:rsidRPr="0070080E" w:rsidRDefault="00F67DDB">
            <w:pPr>
              <w:pStyle w:val="Compact"/>
            </w:pPr>
          </w:p>
        </w:tc>
        <w:tc>
          <w:tcPr>
            <w:tcW w:w="7429" w:type="dxa"/>
          </w:tcPr>
          <w:p w14:paraId="3CB10781" w14:textId="77777777" w:rsidR="00F67DDB" w:rsidRPr="0070080E" w:rsidRDefault="0094076D">
            <w:pPr>
              <w:pStyle w:val="Compact"/>
            </w:pPr>
            <w:r w:rsidRPr="0070080E">
              <w:t>Identified as References/reference list (not Bibliography)</w:t>
            </w:r>
          </w:p>
        </w:tc>
        <w:tc>
          <w:tcPr>
            <w:tcW w:w="799" w:type="dxa"/>
          </w:tcPr>
          <w:p w14:paraId="3CB10782" w14:textId="447D688C" w:rsidR="00F67DDB" w:rsidRPr="0070080E" w:rsidRDefault="002C4892">
            <w:pPr>
              <w:pStyle w:val="Compact"/>
            </w:pPr>
            <w:r w:rsidRPr="0070080E">
              <w:t>X</w:t>
            </w:r>
          </w:p>
        </w:tc>
      </w:tr>
      <w:tr w:rsidR="00F67DDB" w:rsidRPr="0070080E" w14:paraId="3CB10787" w14:textId="77777777" w:rsidTr="0094076D">
        <w:tc>
          <w:tcPr>
            <w:tcW w:w="1638" w:type="dxa"/>
          </w:tcPr>
          <w:p w14:paraId="3CB10784" w14:textId="77777777" w:rsidR="00F67DDB" w:rsidRPr="0070080E" w:rsidRDefault="00F67DDB">
            <w:pPr>
              <w:pStyle w:val="Compact"/>
            </w:pPr>
          </w:p>
        </w:tc>
        <w:tc>
          <w:tcPr>
            <w:tcW w:w="7429" w:type="dxa"/>
          </w:tcPr>
          <w:p w14:paraId="3CB10785" w14:textId="77777777" w:rsidR="00F67DDB" w:rsidRPr="0070080E" w:rsidRDefault="0094076D">
            <w:pPr>
              <w:pStyle w:val="Compact"/>
            </w:pPr>
            <w:r w:rsidRPr="0070080E">
              <w:t>Alphabetical order (not sorted by type of reference)</w:t>
            </w:r>
          </w:p>
        </w:tc>
        <w:tc>
          <w:tcPr>
            <w:tcW w:w="799" w:type="dxa"/>
          </w:tcPr>
          <w:p w14:paraId="3CB10786" w14:textId="3645928A" w:rsidR="00F67DDB" w:rsidRPr="0070080E" w:rsidRDefault="002C4892">
            <w:pPr>
              <w:pStyle w:val="Compact"/>
            </w:pPr>
            <w:r w:rsidRPr="0070080E">
              <w:t>X</w:t>
            </w:r>
          </w:p>
        </w:tc>
      </w:tr>
      <w:tr w:rsidR="00F67DDB" w:rsidRPr="0070080E" w14:paraId="3CB1078B" w14:textId="77777777" w:rsidTr="0094076D">
        <w:tc>
          <w:tcPr>
            <w:tcW w:w="1638" w:type="dxa"/>
          </w:tcPr>
          <w:p w14:paraId="3CB10788" w14:textId="77777777" w:rsidR="00F67DDB" w:rsidRPr="0070080E" w:rsidRDefault="00F67DDB">
            <w:pPr>
              <w:pStyle w:val="Compact"/>
            </w:pPr>
          </w:p>
        </w:tc>
        <w:tc>
          <w:tcPr>
            <w:tcW w:w="7429" w:type="dxa"/>
          </w:tcPr>
          <w:p w14:paraId="3CB10789" w14:textId="77777777" w:rsidR="00F67DDB" w:rsidRPr="0070080E" w:rsidRDefault="0094076D">
            <w:pPr>
              <w:pStyle w:val="Compact"/>
            </w:pPr>
            <w:r w:rsidRPr="0070080E">
              <w:t>APA format with hanging indent</w:t>
            </w:r>
          </w:p>
        </w:tc>
        <w:tc>
          <w:tcPr>
            <w:tcW w:w="799" w:type="dxa"/>
          </w:tcPr>
          <w:p w14:paraId="3CB1078A" w14:textId="0D3241DA" w:rsidR="00F67DDB" w:rsidRPr="0070080E" w:rsidRDefault="002C4892">
            <w:pPr>
              <w:pStyle w:val="Compact"/>
            </w:pPr>
            <w:r w:rsidRPr="0070080E">
              <w:t>X</w:t>
            </w:r>
          </w:p>
        </w:tc>
      </w:tr>
      <w:tr w:rsidR="00F67DDB" w:rsidRPr="0070080E" w14:paraId="3CB1078F" w14:textId="77777777" w:rsidTr="0094076D">
        <w:tc>
          <w:tcPr>
            <w:tcW w:w="1638" w:type="dxa"/>
          </w:tcPr>
          <w:p w14:paraId="3CB1078C" w14:textId="77777777" w:rsidR="00F67DDB" w:rsidRPr="0070080E" w:rsidRDefault="0094076D">
            <w:pPr>
              <w:pStyle w:val="Compact"/>
            </w:pPr>
            <w:r w:rsidRPr="0070080E">
              <w:t>Appendices</w:t>
            </w:r>
          </w:p>
        </w:tc>
        <w:tc>
          <w:tcPr>
            <w:tcW w:w="7429" w:type="dxa"/>
          </w:tcPr>
          <w:p w14:paraId="3CB1078D" w14:textId="77777777" w:rsidR="00F67DDB" w:rsidRPr="0070080E" w:rsidRDefault="0094076D">
            <w:pPr>
              <w:pStyle w:val="Compact"/>
            </w:pPr>
            <w:r w:rsidRPr="0070080E">
              <w:t>Thesis approval form attached</w:t>
            </w:r>
          </w:p>
        </w:tc>
        <w:tc>
          <w:tcPr>
            <w:tcW w:w="799" w:type="dxa"/>
          </w:tcPr>
          <w:p w14:paraId="3CB1078E" w14:textId="7C135739" w:rsidR="00F67DDB" w:rsidRPr="0070080E" w:rsidRDefault="002C4892">
            <w:pPr>
              <w:pStyle w:val="Compact"/>
            </w:pPr>
            <w:r w:rsidRPr="0070080E">
              <w:t>X</w:t>
            </w:r>
          </w:p>
        </w:tc>
      </w:tr>
      <w:tr w:rsidR="00F67DDB" w:rsidRPr="0070080E" w14:paraId="3CB10793" w14:textId="77777777" w:rsidTr="0094076D">
        <w:tc>
          <w:tcPr>
            <w:tcW w:w="1638" w:type="dxa"/>
          </w:tcPr>
          <w:p w14:paraId="3CB10790" w14:textId="77777777" w:rsidR="00F67DDB" w:rsidRPr="0070080E" w:rsidRDefault="00F67DDB">
            <w:pPr>
              <w:pStyle w:val="Compact"/>
            </w:pPr>
          </w:p>
        </w:tc>
        <w:tc>
          <w:tcPr>
            <w:tcW w:w="7429" w:type="dxa"/>
          </w:tcPr>
          <w:p w14:paraId="3CB10791" w14:textId="77777777" w:rsidR="00F67DDB" w:rsidRPr="0070080E" w:rsidRDefault="0094076D">
            <w:pPr>
              <w:pStyle w:val="Compact"/>
            </w:pPr>
            <w:r w:rsidRPr="0070080E">
              <w:t>AI disclosure statement attached</w:t>
            </w:r>
          </w:p>
        </w:tc>
        <w:tc>
          <w:tcPr>
            <w:tcW w:w="799" w:type="dxa"/>
          </w:tcPr>
          <w:p w14:paraId="3CB10792" w14:textId="40ABD919" w:rsidR="00F67DDB" w:rsidRPr="0070080E" w:rsidRDefault="00D27136">
            <w:pPr>
              <w:pStyle w:val="Compact"/>
            </w:pPr>
            <w:r w:rsidRPr="0070080E">
              <w:t>X</w:t>
            </w:r>
          </w:p>
        </w:tc>
      </w:tr>
      <w:tr w:rsidR="00F67DDB" w:rsidRPr="0070080E" w14:paraId="3CB10797" w14:textId="77777777" w:rsidTr="0094076D">
        <w:tc>
          <w:tcPr>
            <w:tcW w:w="1638" w:type="dxa"/>
          </w:tcPr>
          <w:p w14:paraId="3CB10794" w14:textId="77777777" w:rsidR="00F67DDB" w:rsidRPr="0070080E" w:rsidRDefault="00F67DDB">
            <w:pPr>
              <w:pStyle w:val="Compact"/>
            </w:pPr>
          </w:p>
        </w:tc>
        <w:tc>
          <w:tcPr>
            <w:tcW w:w="7429" w:type="dxa"/>
          </w:tcPr>
          <w:p w14:paraId="3CB10795" w14:textId="77777777" w:rsidR="00F67DDB" w:rsidRPr="0070080E" w:rsidRDefault="0094076D">
            <w:pPr>
              <w:pStyle w:val="Compact"/>
            </w:pPr>
            <w:r w:rsidRPr="0070080E">
              <w:t>Turn-in checklist attached</w:t>
            </w:r>
          </w:p>
        </w:tc>
        <w:tc>
          <w:tcPr>
            <w:tcW w:w="799" w:type="dxa"/>
          </w:tcPr>
          <w:p w14:paraId="3CB10796" w14:textId="19F3F319" w:rsidR="00F67DDB" w:rsidRPr="0070080E" w:rsidRDefault="00D27136">
            <w:pPr>
              <w:pStyle w:val="Compact"/>
            </w:pPr>
            <w:r w:rsidRPr="0070080E">
              <w:t>X</w:t>
            </w:r>
          </w:p>
        </w:tc>
      </w:tr>
      <w:tr w:rsidR="00F67DDB" w:rsidRPr="0070080E" w14:paraId="3CB1079B" w14:textId="77777777" w:rsidTr="0094076D">
        <w:tc>
          <w:tcPr>
            <w:tcW w:w="1638" w:type="dxa"/>
          </w:tcPr>
          <w:p w14:paraId="3CB10798" w14:textId="77777777" w:rsidR="00F67DDB" w:rsidRPr="0070080E" w:rsidRDefault="00F67DDB">
            <w:pPr>
              <w:pStyle w:val="Compact"/>
            </w:pPr>
          </w:p>
        </w:tc>
        <w:tc>
          <w:tcPr>
            <w:tcW w:w="7429" w:type="dxa"/>
          </w:tcPr>
          <w:p w14:paraId="3CB10799" w14:textId="77777777" w:rsidR="00F67DDB" w:rsidRPr="0070080E" w:rsidRDefault="0094076D">
            <w:pPr>
              <w:pStyle w:val="Compact"/>
            </w:pPr>
            <w:r w:rsidRPr="0070080E">
              <w:t>Questionnaire attached</w:t>
            </w:r>
          </w:p>
        </w:tc>
        <w:tc>
          <w:tcPr>
            <w:tcW w:w="799" w:type="dxa"/>
          </w:tcPr>
          <w:p w14:paraId="3CB1079A" w14:textId="2BCACEB1" w:rsidR="00F67DDB" w:rsidRPr="0070080E" w:rsidRDefault="0094076D">
            <w:pPr>
              <w:pStyle w:val="Compact"/>
            </w:pPr>
            <w:r w:rsidRPr="0070080E">
              <w:t>X</w:t>
            </w:r>
          </w:p>
        </w:tc>
      </w:tr>
    </w:tbl>
    <w:p w14:paraId="3CB1079C" w14:textId="1EDED40B" w:rsidR="00F67DDB" w:rsidRPr="0070080E" w:rsidRDefault="0094076D">
      <w:pPr>
        <w:pStyle w:val="Heading1"/>
      </w:pPr>
      <w:bookmarkStart w:id="208" w:name="_Toc231913482"/>
      <w:bookmarkStart w:id="209" w:name="X50fff2870b2d06df225f5f84b950d31421d01c4"/>
      <w:bookmarkEnd w:id="207"/>
      <w:r w:rsidRPr="0070080E">
        <w:t>Appendix 4. Survey Questionnaire (Block 2</w:t>
      </w:r>
      <w:r w:rsidR="000A66AA">
        <w:t>—</w:t>
      </w:r>
      <w:r w:rsidRPr="0070080E">
        <w:t>Representative Example)</w:t>
      </w:r>
      <w:bookmarkEnd w:id="208"/>
    </w:p>
    <w:p w14:paraId="3CB1079D" w14:textId="5BE19A03" w:rsidR="00F67DDB" w:rsidRPr="0070080E" w:rsidRDefault="0094076D">
      <w:pPr>
        <w:pStyle w:val="FirstParagraph"/>
      </w:pPr>
      <w:r w:rsidRPr="0070080E">
        <w:t>This appendix presents the survey instrument as administered to respondents. The full survey comprised three blocks of eight scenarios each (24 scenarios in total), deployed as six separate Google Forms (three blocks</w:t>
      </w:r>
      <w:r w:rsidR="002D5431">
        <w:t xml:space="preserve">, </w:t>
      </w:r>
      <w:r w:rsidRPr="0070080E">
        <w:t>two counterbalancing versions</w:t>
      </w:r>
      <w:r w:rsidR="002D5431">
        <w:t xml:space="preserve"> each</w:t>
      </w:r>
      <w:r w:rsidRPr="0070080E">
        <w:t>). Block 2 is reproduced here as a representative example; Blocks 1 and 3 follow an identical structure with different scenarios.</w:t>
      </w:r>
    </w:p>
    <w:p w14:paraId="3CB1079E" w14:textId="77777777" w:rsidR="00F67DDB" w:rsidRPr="0070080E" w:rsidRDefault="0094076D">
      <w:pPr>
        <w:pStyle w:val="BodyText"/>
      </w:pPr>
      <w:r w:rsidRPr="0070080E">
        <w:t>Each block was administered in two versions. In Version 1, respondents in Group A received the Shock Score dashboard alongside the scenario information (ShowSC = 1); respondents in Group B received scenario information only (ShowSC = 0). Version 2 reversed the assignment. The Shock Score dashboard design is documented in Chapter 4.</w:t>
      </w:r>
    </w:p>
    <w:p w14:paraId="5D76A94B" w14:textId="77777777" w:rsidR="00D27136" w:rsidRPr="0070080E" w:rsidRDefault="00D27136">
      <w:pPr>
        <w:spacing w:after="200" w:line="240" w:lineRule="auto"/>
        <w:ind w:firstLine="0"/>
        <w:rPr>
          <w:sz w:val="20"/>
        </w:rPr>
      </w:pPr>
      <w:r w:rsidRPr="0070080E">
        <w:br w:type="page"/>
      </w:r>
    </w:p>
    <w:p w14:paraId="3CB107A0" w14:textId="77777777" w:rsidR="00F67DDB" w:rsidRPr="0070080E" w:rsidRDefault="0094076D" w:rsidP="00D27136">
      <w:pPr>
        <w:pStyle w:val="Compact"/>
      </w:pPr>
      <w:r w:rsidRPr="0070080E">
        <w:rPr>
          <w:b/>
          <w:bCs/>
        </w:rPr>
        <w:t>Page 1. Respondent Background</w:t>
      </w:r>
    </w:p>
    <w:p w14:paraId="3CB107A1" w14:textId="77777777" w:rsidR="00F67DDB" w:rsidRPr="0070080E" w:rsidRDefault="0094076D" w:rsidP="00D27136">
      <w:pPr>
        <w:pStyle w:val="Compact"/>
      </w:pPr>
      <w:r w:rsidRPr="0070080E">
        <w:rPr>
          <w:b/>
          <w:bCs/>
        </w:rPr>
        <w:t>Years of portfolio management experience</w:t>
      </w:r>
    </w:p>
    <w:p w14:paraId="3CB107A2" w14:textId="77777777" w:rsidR="00F67DDB" w:rsidRPr="0070080E" w:rsidRDefault="0094076D" w:rsidP="00D27136">
      <w:pPr>
        <w:pStyle w:val="Compact"/>
        <w:ind w:left="720"/>
      </w:pPr>
      <w:r w:rsidRPr="0070080E">
        <w:t>Less than 2</w:t>
      </w:r>
    </w:p>
    <w:p w14:paraId="3CB107A3" w14:textId="77777777" w:rsidR="00F67DDB" w:rsidRPr="0070080E" w:rsidRDefault="0094076D" w:rsidP="00D27136">
      <w:pPr>
        <w:pStyle w:val="Compact"/>
        <w:ind w:left="720"/>
      </w:pPr>
      <w:r w:rsidRPr="0070080E">
        <w:t>2–5</w:t>
      </w:r>
    </w:p>
    <w:p w14:paraId="3CB107A4" w14:textId="77777777" w:rsidR="00F67DDB" w:rsidRPr="0070080E" w:rsidRDefault="0094076D" w:rsidP="00D27136">
      <w:pPr>
        <w:pStyle w:val="Compact"/>
        <w:ind w:left="720"/>
      </w:pPr>
      <w:r w:rsidRPr="0070080E">
        <w:t>6–10</w:t>
      </w:r>
    </w:p>
    <w:p w14:paraId="3CB107A5" w14:textId="77777777" w:rsidR="00F67DDB" w:rsidRPr="0070080E" w:rsidRDefault="0094076D" w:rsidP="00D27136">
      <w:pPr>
        <w:pStyle w:val="Compact"/>
        <w:ind w:left="720"/>
      </w:pPr>
      <w:r w:rsidRPr="0070080E">
        <w:t>11–20</w:t>
      </w:r>
    </w:p>
    <w:p w14:paraId="3CB107A6" w14:textId="77777777" w:rsidR="00F67DDB" w:rsidRPr="0070080E" w:rsidRDefault="0094076D" w:rsidP="00D27136">
      <w:pPr>
        <w:pStyle w:val="Compact"/>
        <w:ind w:left="720"/>
      </w:pPr>
      <w:r w:rsidRPr="0070080E">
        <w:t>More than 20</w:t>
      </w:r>
    </w:p>
    <w:p w14:paraId="3CB107A8" w14:textId="77777777" w:rsidR="00F67DDB" w:rsidRPr="0070080E" w:rsidRDefault="0094076D" w:rsidP="00D27136">
      <w:pPr>
        <w:pStyle w:val="Compact"/>
      </w:pPr>
      <w:r w:rsidRPr="0070080E">
        <w:rPr>
          <w:b/>
          <w:bCs/>
        </w:rPr>
        <w:t>Approximate assets under management (USD)</w:t>
      </w:r>
    </w:p>
    <w:p w14:paraId="3CB107A9" w14:textId="77777777" w:rsidR="00F67DDB" w:rsidRPr="0070080E" w:rsidRDefault="0094076D" w:rsidP="00D27136">
      <w:pPr>
        <w:pStyle w:val="Compact"/>
        <w:ind w:left="720"/>
      </w:pPr>
      <w:commentRangeStart w:id="210"/>
      <w:r w:rsidRPr="0070080E">
        <w:t>Less than $50M</w:t>
      </w:r>
    </w:p>
    <w:p w14:paraId="3CB107AA" w14:textId="78DE5867" w:rsidR="00F67DDB" w:rsidRPr="0070080E" w:rsidRDefault="0094076D" w:rsidP="00D27136">
      <w:pPr>
        <w:pStyle w:val="Compact"/>
        <w:ind w:left="720"/>
      </w:pPr>
      <w:r w:rsidRPr="0070080E">
        <w:t>$50M</w:t>
      </w:r>
      <w:r w:rsidR="00580F04">
        <w:t xml:space="preserve"> to under </w:t>
      </w:r>
      <w:r w:rsidRPr="0070080E">
        <w:t>$500M</w:t>
      </w:r>
    </w:p>
    <w:p w14:paraId="3CB107AB" w14:textId="04F2562A" w:rsidR="00F67DDB" w:rsidRPr="0070080E" w:rsidRDefault="0094076D" w:rsidP="00D27136">
      <w:pPr>
        <w:pStyle w:val="Compact"/>
        <w:ind w:left="720"/>
      </w:pPr>
      <w:r w:rsidRPr="0070080E">
        <w:t>$500M</w:t>
      </w:r>
      <w:r w:rsidR="00580F04">
        <w:t xml:space="preserve"> to under </w:t>
      </w:r>
      <w:r w:rsidRPr="0070080E">
        <w:t>$2B</w:t>
      </w:r>
    </w:p>
    <w:p w14:paraId="3CB107AC" w14:textId="5FE04EB7" w:rsidR="00F67DDB" w:rsidRPr="0070080E" w:rsidRDefault="0094076D" w:rsidP="00D27136">
      <w:pPr>
        <w:pStyle w:val="Compact"/>
        <w:ind w:left="720"/>
      </w:pPr>
      <w:r w:rsidRPr="0070080E">
        <w:t>$2B</w:t>
      </w:r>
      <w:r w:rsidR="00580F04">
        <w:t xml:space="preserve"> to under </w:t>
      </w:r>
      <w:r w:rsidRPr="0070080E">
        <w:t>$10B</w:t>
      </w:r>
      <w:commentRangeEnd w:id="210"/>
      <w:r w:rsidR="00F94C43" w:rsidRPr="0070080E">
        <w:rPr>
          <w:rStyle w:val="CommentReference"/>
          <w:sz w:val="20"/>
          <w:szCs w:val="24"/>
        </w:rPr>
        <w:commentReference w:id="210"/>
      </w:r>
    </w:p>
    <w:p w14:paraId="3CB107AD" w14:textId="3B38AAEE" w:rsidR="00F67DDB" w:rsidRPr="0070080E" w:rsidRDefault="0094076D" w:rsidP="00D27136">
      <w:pPr>
        <w:pStyle w:val="Compact"/>
        <w:ind w:left="720"/>
      </w:pPr>
      <w:r w:rsidRPr="0070080E">
        <w:t>$10B</w:t>
      </w:r>
      <w:r w:rsidR="00AA3176">
        <w:t xml:space="preserve"> or more</w:t>
      </w:r>
    </w:p>
    <w:p w14:paraId="3CB107AF" w14:textId="77777777" w:rsidR="00F67DDB" w:rsidRPr="0070080E" w:rsidRDefault="0094076D" w:rsidP="00D27136">
      <w:pPr>
        <w:pStyle w:val="Compact"/>
      </w:pPr>
      <w:r w:rsidRPr="0070080E">
        <w:rPr>
          <w:b/>
          <w:bCs/>
        </w:rPr>
        <w:t>Institution type</w:t>
      </w:r>
    </w:p>
    <w:p w14:paraId="3CB107B0" w14:textId="77777777" w:rsidR="00F67DDB" w:rsidRPr="0070080E" w:rsidRDefault="0094076D" w:rsidP="00D27136">
      <w:pPr>
        <w:pStyle w:val="Compact"/>
        <w:ind w:left="720"/>
      </w:pPr>
      <w:r w:rsidRPr="0070080E">
        <w:t>Asset manager</w:t>
      </w:r>
    </w:p>
    <w:p w14:paraId="3CB107B1" w14:textId="77777777" w:rsidR="00F67DDB" w:rsidRPr="0070080E" w:rsidRDefault="0094076D" w:rsidP="00D27136">
      <w:pPr>
        <w:pStyle w:val="Compact"/>
        <w:ind w:left="720"/>
      </w:pPr>
      <w:r w:rsidRPr="0070080E">
        <w:t>Hedge fund</w:t>
      </w:r>
    </w:p>
    <w:p w14:paraId="3CB107B2" w14:textId="77777777" w:rsidR="00F67DDB" w:rsidRPr="0070080E" w:rsidRDefault="0094076D" w:rsidP="00D27136">
      <w:pPr>
        <w:pStyle w:val="Compact"/>
        <w:ind w:left="720"/>
      </w:pPr>
      <w:r w:rsidRPr="0070080E">
        <w:t>Pension/endowment fund</w:t>
      </w:r>
    </w:p>
    <w:p w14:paraId="3CB107B3" w14:textId="77777777" w:rsidR="00F67DDB" w:rsidRPr="0070080E" w:rsidRDefault="0094076D" w:rsidP="00D27136">
      <w:pPr>
        <w:pStyle w:val="Compact"/>
        <w:ind w:left="720"/>
      </w:pPr>
      <w:r w:rsidRPr="0070080E">
        <w:t>Bank/private bank</w:t>
      </w:r>
    </w:p>
    <w:p w14:paraId="3CB107B4" w14:textId="77777777" w:rsidR="00F67DDB" w:rsidRPr="0070080E" w:rsidRDefault="0094076D" w:rsidP="00D27136">
      <w:pPr>
        <w:pStyle w:val="Compact"/>
        <w:ind w:left="720"/>
      </w:pPr>
      <w:r w:rsidRPr="0070080E">
        <w:t>Family office</w:t>
      </w:r>
    </w:p>
    <w:p w14:paraId="3CB107B5" w14:textId="77777777" w:rsidR="00F67DDB" w:rsidRPr="0070080E" w:rsidRDefault="0094076D" w:rsidP="00D27136">
      <w:pPr>
        <w:pStyle w:val="Compact"/>
        <w:ind w:left="720"/>
      </w:pPr>
      <w:r w:rsidRPr="0070080E">
        <w:t>Independent/RIA</w:t>
      </w:r>
    </w:p>
    <w:p w14:paraId="3CB107B6" w14:textId="77777777" w:rsidR="00F67DDB" w:rsidRPr="0070080E" w:rsidRDefault="0094076D" w:rsidP="00D27136">
      <w:pPr>
        <w:pStyle w:val="Compact"/>
        <w:ind w:left="720"/>
      </w:pPr>
      <w:r w:rsidRPr="0070080E">
        <w:t>Other</w:t>
      </w:r>
    </w:p>
    <w:p w14:paraId="3CB107B8" w14:textId="77777777" w:rsidR="00F67DDB" w:rsidRPr="0070080E" w:rsidRDefault="0094076D" w:rsidP="00D27136">
      <w:pPr>
        <w:pStyle w:val="Compact"/>
      </w:pPr>
      <w:r w:rsidRPr="0070080E">
        <w:rPr>
          <w:b/>
          <w:bCs/>
        </w:rPr>
        <w:t>Primary investment mandate</w:t>
      </w:r>
    </w:p>
    <w:p w14:paraId="3CB107B9" w14:textId="77777777" w:rsidR="00F67DDB" w:rsidRPr="0070080E" w:rsidRDefault="0094076D" w:rsidP="00D27136">
      <w:pPr>
        <w:pStyle w:val="Compact"/>
        <w:ind w:left="720"/>
      </w:pPr>
      <w:r w:rsidRPr="0070080E">
        <w:t>Equity long-only</w:t>
      </w:r>
    </w:p>
    <w:p w14:paraId="3CB107BA" w14:textId="77777777" w:rsidR="00F67DDB" w:rsidRPr="0070080E" w:rsidRDefault="0094076D" w:rsidP="00D27136">
      <w:pPr>
        <w:pStyle w:val="Compact"/>
        <w:ind w:left="720"/>
      </w:pPr>
      <w:r w:rsidRPr="0070080E">
        <w:t>Equity long-short</w:t>
      </w:r>
    </w:p>
    <w:p w14:paraId="3CB107BB" w14:textId="77777777" w:rsidR="00F67DDB" w:rsidRPr="0070080E" w:rsidRDefault="0094076D" w:rsidP="00D27136">
      <w:pPr>
        <w:pStyle w:val="Compact"/>
        <w:ind w:left="720"/>
      </w:pPr>
      <w:r w:rsidRPr="0070080E">
        <w:t>Multi-asset</w:t>
      </w:r>
    </w:p>
    <w:p w14:paraId="3CB107BC" w14:textId="77777777" w:rsidR="00F67DDB" w:rsidRPr="0070080E" w:rsidRDefault="0094076D" w:rsidP="00D27136">
      <w:pPr>
        <w:pStyle w:val="Compact"/>
        <w:ind w:left="720"/>
      </w:pPr>
      <w:r w:rsidRPr="0070080E">
        <w:t>Other</w:t>
      </w:r>
    </w:p>
    <w:p w14:paraId="3CB107BE" w14:textId="77777777" w:rsidR="00F67DDB" w:rsidRPr="0070080E" w:rsidRDefault="0094076D" w:rsidP="00D27136">
      <w:pPr>
        <w:pStyle w:val="Compact"/>
      </w:pPr>
      <w:r w:rsidRPr="0070080E">
        <w:rPr>
          <w:b/>
          <w:bCs/>
        </w:rPr>
        <w:t>Geographic market focus</w:t>
      </w:r>
    </w:p>
    <w:p w14:paraId="3CB107BF" w14:textId="77777777" w:rsidR="00F67DDB" w:rsidRPr="0070080E" w:rsidRDefault="0094076D" w:rsidP="00D27136">
      <w:pPr>
        <w:pStyle w:val="Compact"/>
        <w:ind w:left="720"/>
      </w:pPr>
      <w:r w:rsidRPr="0070080E">
        <w:t>United States</w:t>
      </w:r>
    </w:p>
    <w:p w14:paraId="3CB107C0" w14:textId="77777777" w:rsidR="00F67DDB" w:rsidRPr="0070080E" w:rsidRDefault="0094076D" w:rsidP="00D27136">
      <w:pPr>
        <w:pStyle w:val="Compact"/>
        <w:ind w:left="720"/>
      </w:pPr>
      <w:r w:rsidRPr="0070080E">
        <w:t>Europe</w:t>
      </w:r>
    </w:p>
    <w:p w14:paraId="3CB107C1" w14:textId="77777777" w:rsidR="00F67DDB" w:rsidRPr="0070080E" w:rsidRDefault="0094076D" w:rsidP="00D27136">
      <w:pPr>
        <w:pStyle w:val="Compact"/>
        <w:ind w:left="720"/>
      </w:pPr>
      <w:r w:rsidRPr="0070080E">
        <w:t>Asia-Pacific</w:t>
      </w:r>
    </w:p>
    <w:p w14:paraId="3CB107C2" w14:textId="77777777" w:rsidR="00F67DDB" w:rsidRPr="0070080E" w:rsidRDefault="0094076D" w:rsidP="00D27136">
      <w:pPr>
        <w:pStyle w:val="Compact"/>
        <w:ind w:left="720"/>
      </w:pPr>
      <w:r w:rsidRPr="0070080E">
        <w:t>Global/multi-region</w:t>
      </w:r>
    </w:p>
    <w:p w14:paraId="3CB107C3" w14:textId="77777777" w:rsidR="00F67DDB" w:rsidRPr="0070080E" w:rsidRDefault="0094076D" w:rsidP="00D27136">
      <w:pPr>
        <w:pStyle w:val="Compact"/>
        <w:ind w:left="720"/>
      </w:pPr>
      <w:r w:rsidRPr="0070080E">
        <w:t>Other</w:t>
      </w:r>
    </w:p>
    <w:p w14:paraId="3CB107C5" w14:textId="77777777" w:rsidR="00F67DDB" w:rsidRPr="0070080E" w:rsidRDefault="0094076D" w:rsidP="00D27136">
      <w:pPr>
        <w:pStyle w:val="Compact"/>
      </w:pPr>
      <w:r w:rsidRPr="0070080E">
        <w:rPr>
          <w:b/>
          <w:bCs/>
        </w:rPr>
        <w:t>Level of discretionary authority</w:t>
      </w:r>
    </w:p>
    <w:p w14:paraId="3CB107C6" w14:textId="77777777" w:rsidR="00F67DDB" w:rsidRPr="0070080E" w:rsidRDefault="0094076D" w:rsidP="00D27136">
      <w:pPr>
        <w:pStyle w:val="Compact"/>
        <w:ind w:left="720"/>
      </w:pPr>
      <w:r w:rsidRPr="0070080E">
        <w:t>Full discretion</w:t>
      </w:r>
    </w:p>
    <w:p w14:paraId="3CB107C7" w14:textId="77777777" w:rsidR="00F67DDB" w:rsidRPr="0070080E" w:rsidRDefault="0094076D" w:rsidP="00D27136">
      <w:pPr>
        <w:pStyle w:val="Compact"/>
        <w:ind w:left="720"/>
      </w:pPr>
      <w:r w:rsidRPr="0070080E">
        <w:t>Partial (committee-based)</w:t>
      </w:r>
    </w:p>
    <w:p w14:paraId="3CB107C8" w14:textId="77777777" w:rsidR="00F67DDB" w:rsidRPr="0070080E" w:rsidRDefault="0094076D" w:rsidP="00D27136">
      <w:pPr>
        <w:pStyle w:val="Compact"/>
        <w:ind w:left="720"/>
      </w:pPr>
      <w:r w:rsidRPr="0070080E">
        <w:t>Advisory only</w:t>
      </w:r>
    </w:p>
    <w:p w14:paraId="3CB107CA" w14:textId="77777777" w:rsidR="00F67DDB" w:rsidRPr="0070080E" w:rsidRDefault="0094076D" w:rsidP="00D27136">
      <w:pPr>
        <w:pStyle w:val="Compact"/>
      </w:pPr>
      <w:r w:rsidRPr="0070080E">
        <w:rPr>
          <w:b/>
          <w:bCs/>
        </w:rPr>
        <w:t>Professional certifications (select all that apply)</w:t>
      </w:r>
    </w:p>
    <w:p w14:paraId="3CB107CB" w14:textId="77777777" w:rsidR="00F67DDB" w:rsidRPr="0070080E" w:rsidRDefault="0094076D" w:rsidP="00D27136">
      <w:pPr>
        <w:pStyle w:val="Compact"/>
        <w:ind w:left="720"/>
      </w:pPr>
      <w:r w:rsidRPr="0070080E">
        <w:t>CFA</w:t>
      </w:r>
    </w:p>
    <w:p w14:paraId="3CB107CC" w14:textId="77777777" w:rsidR="00F67DDB" w:rsidRPr="0070080E" w:rsidRDefault="0094076D" w:rsidP="00D27136">
      <w:pPr>
        <w:pStyle w:val="Compact"/>
        <w:ind w:left="720"/>
      </w:pPr>
      <w:r w:rsidRPr="0070080E">
        <w:t>FRM</w:t>
      </w:r>
    </w:p>
    <w:p w14:paraId="3CB107CD" w14:textId="77777777" w:rsidR="00F67DDB" w:rsidRPr="0070080E" w:rsidRDefault="0094076D" w:rsidP="00D27136">
      <w:pPr>
        <w:pStyle w:val="Compact"/>
        <w:ind w:left="720"/>
      </w:pPr>
      <w:r w:rsidRPr="0070080E">
        <w:t>CAIA</w:t>
      </w:r>
    </w:p>
    <w:p w14:paraId="3CB107CE" w14:textId="77777777" w:rsidR="00F67DDB" w:rsidRPr="0070080E" w:rsidRDefault="0094076D" w:rsidP="00D27136">
      <w:pPr>
        <w:pStyle w:val="Compact"/>
        <w:ind w:left="720"/>
      </w:pPr>
      <w:r w:rsidRPr="0070080E">
        <w:t>CPA</w:t>
      </w:r>
    </w:p>
    <w:p w14:paraId="3CB107CF" w14:textId="77777777" w:rsidR="00F67DDB" w:rsidRPr="0070080E" w:rsidRDefault="0094076D" w:rsidP="00D27136">
      <w:pPr>
        <w:pStyle w:val="Compact"/>
        <w:ind w:left="720"/>
      </w:pPr>
      <w:r w:rsidRPr="0070080E">
        <w:t>None</w:t>
      </w:r>
    </w:p>
    <w:p w14:paraId="3CB107D2" w14:textId="77777777" w:rsidR="00F67DDB" w:rsidRPr="0070080E" w:rsidRDefault="0094076D">
      <w:pPr>
        <w:pStyle w:val="FirstParagraph"/>
      </w:pPr>
      <w:r w:rsidRPr="0070080E">
        <w:rPr>
          <w:b/>
          <w:bCs/>
        </w:rPr>
        <w:t>Page 2. Respondent Instructions</w:t>
      </w:r>
    </w:p>
    <w:p w14:paraId="3CB107D3" w14:textId="77777777" w:rsidR="00F67DDB" w:rsidRPr="0070080E" w:rsidRDefault="0094076D">
      <w:pPr>
        <w:pStyle w:val="BodyText"/>
      </w:pPr>
      <w:r w:rsidRPr="0070080E">
        <w:t>For the purposes of this survey, assume you manage a long-only equal-weighted equity portfolio with 24 stocks. “Reduce exposure” means reducing or selling the position; “increase exposure” means adding to it.</w:t>
      </w:r>
    </w:p>
    <w:p w14:paraId="3CB107D4" w14:textId="77777777" w:rsidR="00F67DDB" w:rsidRPr="0070080E" w:rsidRDefault="0094076D">
      <w:pPr>
        <w:pStyle w:val="BodyText"/>
      </w:pPr>
      <w:r w:rsidRPr="0070080E">
        <w:t>This block presents eight scenarios, each showing a real market event affecting one stock in the portfolio. Assume only the stock shown is subject to the shock; the remaining 23 holdings move in line with the broad market index that day.</w:t>
      </w:r>
    </w:p>
    <w:p w14:paraId="3CB107D5" w14:textId="77777777" w:rsidR="00F67DDB" w:rsidRPr="0070080E" w:rsidRDefault="0094076D">
      <w:pPr>
        <w:pStyle w:val="BodyText"/>
      </w:pPr>
      <w:r w:rsidRPr="0070080E">
        <w:t>Each scenario contains:</w:t>
      </w:r>
    </w:p>
    <w:p w14:paraId="3CB107D6" w14:textId="77777777" w:rsidR="00F67DDB" w:rsidRPr="0070080E" w:rsidRDefault="0094076D">
      <w:pPr>
        <w:numPr>
          <w:ilvl w:val="0"/>
          <w:numId w:val="18"/>
        </w:numPr>
      </w:pPr>
      <w:r w:rsidRPr="0070080E">
        <w:t>Price chart: a two-day intraday chart of 30-minute bars, ending two bars (approximately one hour) after the news event.</w:t>
      </w:r>
    </w:p>
    <w:p w14:paraId="3CB107D7" w14:textId="77777777" w:rsidR="00F67DDB" w:rsidRPr="0070080E" w:rsidRDefault="0094076D">
      <w:pPr>
        <w:numPr>
          <w:ilvl w:val="0"/>
          <w:numId w:val="18"/>
        </w:numPr>
      </w:pPr>
      <w:r w:rsidRPr="0070080E">
        <w:t>News event: a headline and brief summary of the shock.</w:t>
      </w:r>
    </w:p>
    <w:p w14:paraId="3CB107D8" w14:textId="77777777" w:rsidR="00F67DDB" w:rsidRPr="0070080E" w:rsidRDefault="0094076D">
      <w:pPr>
        <w:numPr>
          <w:ilvl w:val="0"/>
          <w:numId w:val="18"/>
        </w:numPr>
      </w:pPr>
      <w:r w:rsidRPr="0070080E">
        <w:t>Decision question: the adjustment you would make to this holding, assuming you decide one hour after the news release. Respond on a 7-point scale from 1 (Strongly reduce) through 4 (Hold / no change) to 7 (Strongly increase), with intermediate points labeled Moderately and Slightly.</w:t>
      </w:r>
    </w:p>
    <w:p w14:paraId="3CB107D9" w14:textId="77777777" w:rsidR="00F67DDB" w:rsidRPr="0070080E" w:rsidRDefault="0094076D">
      <w:pPr>
        <w:numPr>
          <w:ilvl w:val="0"/>
          <w:numId w:val="18"/>
        </w:numPr>
      </w:pPr>
      <w:r w:rsidRPr="0070080E">
        <w:t>Some scenarios also include a Shock Score dashboard. When present, treat it as supplementary decision support; you may use or disregard its signals at your discretion. It displays four signals:</w:t>
      </w:r>
    </w:p>
    <w:p w14:paraId="3CB107DA" w14:textId="77777777" w:rsidR="00F67DDB" w:rsidRPr="0070080E" w:rsidRDefault="0094076D">
      <w:pPr>
        <w:numPr>
          <w:ilvl w:val="0"/>
          <w:numId w:val="18"/>
        </w:numPr>
      </w:pPr>
      <w:r w:rsidRPr="0070080E">
        <w:t>Sentiment direction: positive or negative news tone. Shock severity: magnitude of the price and news signal relative to historical norms.</w:t>
      </w:r>
    </w:p>
    <w:p w14:paraId="3CB107DB" w14:textId="77777777" w:rsidR="00F67DDB" w:rsidRPr="0070080E" w:rsidRDefault="0094076D">
      <w:pPr>
        <w:numPr>
          <w:ilvl w:val="0"/>
          <w:numId w:val="18"/>
        </w:numPr>
      </w:pPr>
      <w:r w:rsidRPr="0070080E">
        <w:t>Persistence horizon: expected resolution intraday, over days, or over weeks.</w:t>
      </w:r>
    </w:p>
    <w:p w14:paraId="3CB107DC" w14:textId="7F147952" w:rsidR="00F67DDB" w:rsidRPr="0070080E" w:rsidRDefault="0094076D">
      <w:pPr>
        <w:numPr>
          <w:ilvl w:val="0"/>
          <w:numId w:val="18"/>
        </w:numPr>
      </w:pPr>
      <w:r w:rsidRPr="0070080E">
        <w:t>Protocol recommendation: a suggested process tier</w:t>
      </w:r>
      <w:r w:rsidR="000A66AA">
        <w:t>—</w:t>
      </w:r>
      <w:r w:rsidRPr="0070080E">
        <w:t>Standard Process, Enhanced Review, or Cooling-Off and Second Review. Higher tiers indicate the system recommends slower, more deliberate review.</w:t>
      </w:r>
    </w:p>
    <w:p w14:paraId="36AE25E4" w14:textId="77777777" w:rsidR="00D27136" w:rsidRPr="0070080E" w:rsidRDefault="00D27136">
      <w:pPr>
        <w:spacing w:after="200" w:line="240" w:lineRule="auto"/>
        <w:ind w:firstLine="0"/>
        <w:rPr>
          <w:b/>
          <w:bCs/>
        </w:rPr>
      </w:pPr>
      <w:r w:rsidRPr="0070080E">
        <w:rPr>
          <w:b/>
          <w:bCs/>
        </w:rPr>
        <w:br w:type="page"/>
      </w:r>
    </w:p>
    <w:p w14:paraId="3CB107DE" w14:textId="119C5D26" w:rsidR="00F67DDB" w:rsidRPr="0070080E" w:rsidRDefault="0094076D">
      <w:pPr>
        <w:pStyle w:val="FirstParagraph"/>
      </w:pPr>
      <w:r w:rsidRPr="0070080E">
        <w:rPr>
          <w:b/>
          <w:bCs/>
        </w:rPr>
        <w:t>Page 3. Investment Scenario 1</w:t>
      </w:r>
    </w:p>
    <w:p w14:paraId="3CB107DF" w14:textId="77777777" w:rsidR="00F67DDB" w:rsidRPr="0070080E" w:rsidRDefault="0094076D">
      <w:pPr>
        <w:pStyle w:val="BodyText"/>
      </w:pPr>
      <w:r w:rsidRPr="0070080E">
        <w:rPr>
          <w:i/>
          <w:iCs/>
        </w:rPr>
        <w:t>Eight scenarios are presented sequentially. The format is repeated for each scenario. Respondents may not navigate back to previous scenarios.</w:t>
      </w:r>
    </w:p>
    <w:p w14:paraId="3CB107E1" w14:textId="77777777" w:rsidR="00F67DDB" w:rsidRPr="0070080E" w:rsidRDefault="0094076D">
      <w:pPr>
        <w:pStyle w:val="FirstParagraph"/>
      </w:pPr>
      <w:r w:rsidRPr="0070080E">
        <w:rPr>
          <w:b/>
          <w:bCs/>
        </w:rPr>
        <w:t>Scenario 1 of 8 (ID: B2_S01)</w:t>
      </w:r>
    </w:p>
    <w:p w14:paraId="3CB107E2" w14:textId="77777777" w:rsidR="00F67DDB" w:rsidRPr="0070080E" w:rsidRDefault="0094076D">
      <w:pPr>
        <w:pStyle w:val="BodyText"/>
      </w:pPr>
      <w:r w:rsidRPr="0070080E">
        <w:rPr>
          <w:b/>
          <w:bCs/>
        </w:rPr>
        <w:t>Company:</w:t>
      </w:r>
      <w:r w:rsidRPr="0070080E">
        <w:t xml:space="preserve"> Merck &amp; Co. (MRK) · Shock: -0.39% · Health Care · 2025-10-30</w:t>
      </w:r>
    </w:p>
    <w:p w14:paraId="3CB107E3" w14:textId="77777777" w:rsidR="00F67DDB" w:rsidRPr="0070080E" w:rsidRDefault="0094076D" w:rsidP="00D27136">
      <w:pPr>
        <w:pStyle w:val="Compact"/>
      </w:pPr>
      <w:r w:rsidRPr="0070080E">
        <w:rPr>
          <w:noProof/>
        </w:rPr>
        <w:drawing>
          <wp:inline distT="0" distB="0" distL="0" distR="0" wp14:anchorId="3CB10841" wp14:editId="602B2C05">
            <wp:extent cx="4976446" cy="2655277"/>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survey/charts/chart_B2_S01.png"/>
                    <pic:cNvPicPr>
                      <a:picLocks noChangeAspect="1" noChangeArrowheads="1"/>
                    </pic:cNvPicPr>
                  </pic:nvPicPr>
                  <pic:blipFill>
                    <a:blip r:embed="rId389"/>
                    <a:stretch>
                      <a:fillRect/>
                    </a:stretch>
                  </pic:blipFill>
                  <pic:spPr bwMode="auto">
                    <a:xfrm>
                      <a:off x="0" y="0"/>
                      <a:ext cx="4981651" cy="2658054"/>
                    </a:xfrm>
                    <a:prstGeom prst="rect">
                      <a:avLst/>
                    </a:prstGeom>
                    <a:noFill/>
                    <a:ln w="9525">
                      <a:noFill/>
                      <a:headEnd/>
                      <a:tailEnd/>
                    </a:ln>
                  </pic:spPr>
                </pic:pic>
              </a:graphicData>
            </a:graphic>
          </wp:inline>
        </w:drawing>
      </w:r>
    </w:p>
    <w:p w14:paraId="3CB107E4" w14:textId="77777777" w:rsidR="00F67DDB" w:rsidRPr="0070080E" w:rsidRDefault="0094076D" w:rsidP="007E52C3">
      <w:pPr>
        <w:pStyle w:val="BodyText"/>
      </w:pPr>
      <w:r w:rsidRPr="0070080E">
        <w:rPr>
          <w:b/>
          <w:bCs/>
        </w:rPr>
        <w:t>News headline:</w:t>
      </w:r>
      <w:r w:rsidRPr="0070080E">
        <w:t xml:space="preserve"> Meta Tumbles 10%, Google Marks Historic Rally: What’s Moving Markets Thursday?</w:t>
      </w:r>
    </w:p>
    <w:p w14:paraId="3CB107E5" w14:textId="77777777" w:rsidR="00F67DDB" w:rsidRPr="0070080E" w:rsidRDefault="0094076D" w:rsidP="00D27136">
      <w:pPr>
        <w:pStyle w:val="BodyText"/>
      </w:pPr>
      <w:r w:rsidRPr="0070080E">
        <w:rPr>
          <w:b/>
          <w:bCs/>
        </w:rPr>
        <w:t>News summary:</w:t>
      </w:r>
      <w:r w:rsidRPr="0070080E">
        <w:t xml:space="preserve"> Merck &amp; Co. reported Q3 2025 adjusted EPS of $2.58, beating the $2.35 estimate, while sales of $17.276 billion topped the $16.963 billion consensus. The pharmaceutical giant raised its full-year 2025 adjusted EPS guidance to $8.93-$8.98 from $8.87-$8.97 and narrowed sales guidance to $64.5-$65.0 billion from the prior $64.3-$65.3 billion range. Merck shares initially traded lower on the narrowed sales guidance but recovered, with executives indicating readiness for deals exceeding $15 billion. Covered by 10 financial news sources.</w:t>
      </w:r>
    </w:p>
    <w:p w14:paraId="3CB107E6" w14:textId="77777777" w:rsidR="00F67DDB" w:rsidRPr="0070080E" w:rsidRDefault="0094076D" w:rsidP="00D27136">
      <w:pPr>
        <w:pStyle w:val="BodyText"/>
      </w:pPr>
      <w:r w:rsidRPr="0070080E">
        <w:rPr>
          <w:b/>
          <w:bCs/>
        </w:rPr>
        <w:t>Market context:</w:t>
      </w:r>
      <w:r w:rsidRPr="0070080E">
        <w:t xml:space="preserve"> Price before event: USD 87.0 | Price 2 hours post-event: USD 86 | Reaction: -0.39%</w:t>
      </w:r>
    </w:p>
    <w:p w14:paraId="3CB107E7" w14:textId="77777777" w:rsidR="00F67DDB" w:rsidRPr="0070080E" w:rsidRDefault="0094076D" w:rsidP="00D27136">
      <w:pPr>
        <w:pStyle w:val="Compact"/>
      </w:pPr>
      <w:r w:rsidRPr="0070080E">
        <w:rPr>
          <w:noProof/>
        </w:rPr>
        <w:drawing>
          <wp:inline distT="0" distB="0" distL="0" distR="0" wp14:anchorId="3CB10843" wp14:editId="6AB25402">
            <wp:extent cx="5388634" cy="2725947"/>
            <wp:effectExtent l="0" t="0" r="254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survey/dashboards/dashboard_B2_S01.png"/>
                    <pic:cNvPicPr>
                      <a:picLocks noChangeAspect="1" noChangeArrowheads="1"/>
                    </pic:cNvPicPr>
                  </pic:nvPicPr>
                  <pic:blipFill>
                    <a:blip r:embed="rId390"/>
                    <a:stretch>
                      <a:fillRect/>
                    </a:stretch>
                  </pic:blipFill>
                  <pic:spPr bwMode="auto">
                    <a:xfrm>
                      <a:off x="0" y="0"/>
                      <a:ext cx="5394633" cy="2728982"/>
                    </a:xfrm>
                    <a:prstGeom prst="rect">
                      <a:avLst/>
                    </a:prstGeom>
                    <a:noFill/>
                    <a:ln w="9525">
                      <a:noFill/>
                      <a:headEnd/>
                      <a:tailEnd/>
                    </a:ln>
                  </pic:spPr>
                </pic:pic>
              </a:graphicData>
            </a:graphic>
          </wp:inline>
        </w:drawing>
      </w:r>
    </w:p>
    <w:p w14:paraId="3CB107E8" w14:textId="77777777" w:rsidR="00F67DDB" w:rsidRPr="0070080E" w:rsidRDefault="0094076D">
      <w:pPr>
        <w:pStyle w:val="BodyText"/>
      </w:pPr>
      <w:r w:rsidRPr="0070080E">
        <w:rPr>
          <w:i/>
          <w:iCs/>
        </w:rPr>
        <w:t>Note: In Version 1 (ShowSC = 1), the Shock Score dashboard was displayed here, showing the composite score, sentiment direction, severity level, persistence horizon, and protocol recommendation. In Version 2 (ShowSC = 0), this panel was not shown.</w:t>
      </w:r>
    </w:p>
    <w:p w14:paraId="3CB107E9" w14:textId="77777777" w:rsidR="00F67DDB" w:rsidRPr="0070080E" w:rsidRDefault="0094076D">
      <w:pPr>
        <w:pStyle w:val="BodyText"/>
      </w:pPr>
      <w:r w:rsidRPr="0070080E">
        <w:rPr>
          <w:b/>
          <w:bCs/>
        </w:rPr>
        <w:t>Q4. Decision:</w:t>
      </w:r>
      <w:r w:rsidRPr="0070080E">
        <w:t xml:space="preserve"> Based on the information above, what is your intended portfolio action for this holding?</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F67DDB" w:rsidRPr="0070080E" w14:paraId="3CB107F1"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7EA" w14:textId="77777777" w:rsidR="00F67DDB" w:rsidRPr="0070080E" w:rsidRDefault="0094076D">
            <w:pPr>
              <w:pStyle w:val="Compact"/>
            </w:pPr>
            <w:r w:rsidRPr="0070080E">
              <w:t>1</w:t>
            </w:r>
          </w:p>
        </w:tc>
        <w:tc>
          <w:tcPr>
            <w:tcW w:w="1131" w:type="dxa"/>
          </w:tcPr>
          <w:p w14:paraId="3CB107EB" w14:textId="77777777" w:rsidR="00F67DDB" w:rsidRPr="0070080E" w:rsidRDefault="0094076D">
            <w:pPr>
              <w:pStyle w:val="Compact"/>
            </w:pPr>
            <w:r w:rsidRPr="0070080E">
              <w:t>2</w:t>
            </w:r>
          </w:p>
        </w:tc>
        <w:tc>
          <w:tcPr>
            <w:tcW w:w="1131" w:type="dxa"/>
          </w:tcPr>
          <w:p w14:paraId="3CB107EC" w14:textId="77777777" w:rsidR="00F67DDB" w:rsidRPr="0070080E" w:rsidRDefault="0094076D">
            <w:pPr>
              <w:pStyle w:val="Compact"/>
            </w:pPr>
            <w:r w:rsidRPr="0070080E">
              <w:t>3</w:t>
            </w:r>
          </w:p>
        </w:tc>
        <w:tc>
          <w:tcPr>
            <w:tcW w:w="1131" w:type="dxa"/>
          </w:tcPr>
          <w:p w14:paraId="3CB107ED" w14:textId="77777777" w:rsidR="00F67DDB" w:rsidRPr="0070080E" w:rsidRDefault="0094076D">
            <w:pPr>
              <w:pStyle w:val="Compact"/>
            </w:pPr>
            <w:r w:rsidRPr="0070080E">
              <w:t>4</w:t>
            </w:r>
          </w:p>
        </w:tc>
        <w:tc>
          <w:tcPr>
            <w:tcW w:w="1131" w:type="dxa"/>
          </w:tcPr>
          <w:p w14:paraId="3CB107EE" w14:textId="77777777" w:rsidR="00F67DDB" w:rsidRPr="0070080E" w:rsidRDefault="0094076D">
            <w:pPr>
              <w:pStyle w:val="Compact"/>
            </w:pPr>
            <w:r w:rsidRPr="0070080E">
              <w:t>5</w:t>
            </w:r>
          </w:p>
        </w:tc>
        <w:tc>
          <w:tcPr>
            <w:tcW w:w="1131" w:type="dxa"/>
          </w:tcPr>
          <w:p w14:paraId="3CB107EF" w14:textId="77777777" w:rsidR="00F67DDB" w:rsidRPr="0070080E" w:rsidRDefault="0094076D">
            <w:pPr>
              <w:pStyle w:val="Compact"/>
            </w:pPr>
            <w:r w:rsidRPr="0070080E">
              <w:t>6</w:t>
            </w:r>
          </w:p>
        </w:tc>
        <w:tc>
          <w:tcPr>
            <w:tcW w:w="1131" w:type="dxa"/>
          </w:tcPr>
          <w:p w14:paraId="3CB107F0" w14:textId="77777777" w:rsidR="00F67DDB" w:rsidRPr="0070080E" w:rsidRDefault="0094076D">
            <w:pPr>
              <w:pStyle w:val="Compact"/>
            </w:pPr>
            <w:r w:rsidRPr="0070080E">
              <w:t>7</w:t>
            </w:r>
          </w:p>
        </w:tc>
      </w:tr>
      <w:tr w:rsidR="00F67DDB" w:rsidRPr="0070080E" w14:paraId="3CB107F9" w14:textId="77777777">
        <w:tc>
          <w:tcPr>
            <w:tcW w:w="1131" w:type="dxa"/>
          </w:tcPr>
          <w:p w14:paraId="3CB107F2" w14:textId="77777777" w:rsidR="00F67DDB" w:rsidRPr="0070080E" w:rsidRDefault="0094076D">
            <w:pPr>
              <w:pStyle w:val="Compact"/>
            </w:pPr>
            <w:r w:rsidRPr="0070080E">
              <w:t>Strongly reduce</w:t>
            </w:r>
          </w:p>
        </w:tc>
        <w:tc>
          <w:tcPr>
            <w:tcW w:w="1131" w:type="dxa"/>
          </w:tcPr>
          <w:p w14:paraId="3CB107F3" w14:textId="77777777" w:rsidR="00F67DDB" w:rsidRPr="0070080E" w:rsidRDefault="0094076D">
            <w:pPr>
              <w:pStyle w:val="Compact"/>
            </w:pPr>
            <w:r w:rsidRPr="0070080E">
              <w:t>Reduce</w:t>
            </w:r>
          </w:p>
        </w:tc>
        <w:tc>
          <w:tcPr>
            <w:tcW w:w="1131" w:type="dxa"/>
          </w:tcPr>
          <w:p w14:paraId="3CB107F4" w14:textId="77777777" w:rsidR="00F67DDB" w:rsidRPr="0070080E" w:rsidRDefault="0094076D">
            <w:pPr>
              <w:pStyle w:val="Compact"/>
            </w:pPr>
            <w:r w:rsidRPr="0070080E">
              <w:t>Slightly reduce</w:t>
            </w:r>
          </w:p>
        </w:tc>
        <w:tc>
          <w:tcPr>
            <w:tcW w:w="1131" w:type="dxa"/>
          </w:tcPr>
          <w:p w14:paraId="3CB107F5" w14:textId="77777777" w:rsidR="00F67DDB" w:rsidRPr="0070080E" w:rsidRDefault="0094076D">
            <w:pPr>
              <w:pStyle w:val="Compact"/>
            </w:pPr>
            <w:r w:rsidRPr="0070080E">
              <w:t>Hold / no change</w:t>
            </w:r>
          </w:p>
        </w:tc>
        <w:tc>
          <w:tcPr>
            <w:tcW w:w="1131" w:type="dxa"/>
          </w:tcPr>
          <w:p w14:paraId="3CB107F6" w14:textId="77777777" w:rsidR="00F67DDB" w:rsidRPr="0070080E" w:rsidRDefault="0094076D">
            <w:pPr>
              <w:pStyle w:val="Compact"/>
            </w:pPr>
            <w:r w:rsidRPr="0070080E">
              <w:t>Slightly increase</w:t>
            </w:r>
          </w:p>
        </w:tc>
        <w:tc>
          <w:tcPr>
            <w:tcW w:w="1131" w:type="dxa"/>
          </w:tcPr>
          <w:p w14:paraId="3CB107F7" w14:textId="77777777" w:rsidR="00F67DDB" w:rsidRPr="0070080E" w:rsidRDefault="0094076D">
            <w:pPr>
              <w:pStyle w:val="Compact"/>
            </w:pPr>
            <w:r w:rsidRPr="0070080E">
              <w:t>Increase</w:t>
            </w:r>
          </w:p>
        </w:tc>
        <w:tc>
          <w:tcPr>
            <w:tcW w:w="1131" w:type="dxa"/>
          </w:tcPr>
          <w:p w14:paraId="3CB107F8" w14:textId="77777777" w:rsidR="00F67DDB" w:rsidRPr="0070080E" w:rsidRDefault="0094076D">
            <w:pPr>
              <w:pStyle w:val="Compact"/>
            </w:pPr>
            <w:r w:rsidRPr="0070080E">
              <w:t>Strongly increase</w:t>
            </w:r>
          </w:p>
        </w:tc>
      </w:tr>
    </w:tbl>
    <w:p w14:paraId="3CB107FA" w14:textId="1C20DC3A" w:rsidR="00F67DDB" w:rsidRPr="0070080E" w:rsidRDefault="00F67DDB"/>
    <w:p w14:paraId="1F75A8CE" w14:textId="77777777" w:rsidR="00D27136" w:rsidRPr="0070080E" w:rsidRDefault="00D27136">
      <w:pPr>
        <w:spacing w:after="200" w:line="240" w:lineRule="auto"/>
        <w:ind w:firstLine="0"/>
        <w:rPr>
          <w:b/>
          <w:bCs/>
        </w:rPr>
      </w:pPr>
      <w:r w:rsidRPr="0070080E">
        <w:rPr>
          <w:b/>
          <w:bCs/>
        </w:rPr>
        <w:br w:type="page"/>
      </w:r>
    </w:p>
    <w:p w14:paraId="3CB107FB" w14:textId="33AD6E85" w:rsidR="00F67DDB" w:rsidRPr="0070080E" w:rsidRDefault="0094076D">
      <w:pPr>
        <w:pStyle w:val="FirstParagraph"/>
      </w:pPr>
      <w:r w:rsidRPr="0070080E">
        <w:rPr>
          <w:b/>
          <w:bCs/>
        </w:rPr>
        <w:t>Scenario 2 of 8 (ID: B2_S02)</w:t>
      </w:r>
    </w:p>
    <w:p w14:paraId="3CB107FC" w14:textId="77777777" w:rsidR="00F67DDB" w:rsidRPr="0070080E" w:rsidRDefault="0094076D">
      <w:pPr>
        <w:pStyle w:val="BodyText"/>
      </w:pPr>
      <w:r w:rsidRPr="0070080E">
        <w:rPr>
          <w:b/>
          <w:bCs/>
        </w:rPr>
        <w:t>Company:</w:t>
      </w:r>
      <w:r w:rsidRPr="0070080E">
        <w:t xml:space="preserve"> Johnson &amp; Johnson (JNJ) · Shock: +1.08% · Health Care · 2025-12-15</w:t>
      </w:r>
    </w:p>
    <w:p w14:paraId="3CB107FD" w14:textId="77777777" w:rsidR="00F67DDB" w:rsidRPr="0070080E" w:rsidRDefault="0094076D" w:rsidP="00D27136">
      <w:pPr>
        <w:pStyle w:val="Compact"/>
      </w:pPr>
      <w:r w:rsidRPr="0070080E">
        <w:rPr>
          <w:noProof/>
        </w:rPr>
        <w:drawing>
          <wp:inline distT="0" distB="0" distL="0" distR="0" wp14:anchorId="3CB10846" wp14:editId="44DBAD4B">
            <wp:extent cx="5216769" cy="2913185"/>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survey/charts/chart_B2_S02.png"/>
                    <pic:cNvPicPr>
                      <a:picLocks noChangeAspect="1" noChangeArrowheads="1"/>
                    </pic:cNvPicPr>
                  </pic:nvPicPr>
                  <pic:blipFill>
                    <a:blip r:embed="rId391"/>
                    <a:stretch>
                      <a:fillRect/>
                    </a:stretch>
                  </pic:blipFill>
                  <pic:spPr bwMode="auto">
                    <a:xfrm>
                      <a:off x="0" y="0"/>
                      <a:ext cx="5222056" cy="2916137"/>
                    </a:xfrm>
                    <a:prstGeom prst="rect">
                      <a:avLst/>
                    </a:prstGeom>
                    <a:noFill/>
                    <a:ln w="9525">
                      <a:noFill/>
                      <a:headEnd/>
                      <a:tailEnd/>
                    </a:ln>
                  </pic:spPr>
                </pic:pic>
              </a:graphicData>
            </a:graphic>
          </wp:inline>
        </w:drawing>
      </w:r>
    </w:p>
    <w:p w14:paraId="3CB107FE" w14:textId="5B807BEF" w:rsidR="00F67DDB" w:rsidRPr="0070080E" w:rsidRDefault="0094076D">
      <w:pPr>
        <w:pStyle w:val="BodyText"/>
      </w:pPr>
      <w:r w:rsidRPr="0070080E">
        <w:rPr>
          <w:b/>
          <w:bCs/>
        </w:rPr>
        <w:t>News headline:</w:t>
      </w:r>
      <w:r w:rsidRPr="0070080E">
        <w:t xml:space="preserve"> Johnson &amp; Johnson Wins FDA Nod </w:t>
      </w:r>
      <w:r w:rsidR="002D5431" w:rsidRPr="0070080E">
        <w:t>for</w:t>
      </w:r>
      <w:r w:rsidRPr="0070080E">
        <w:t xml:space="preserve"> First Precision Combo </w:t>
      </w:r>
      <w:r w:rsidR="002D5431" w:rsidRPr="0070080E">
        <w:t>for</w:t>
      </w:r>
      <w:r w:rsidRPr="0070080E">
        <w:t xml:space="preserve"> Mutated Prostate Cancer</w:t>
      </w:r>
    </w:p>
    <w:p w14:paraId="3CB107FF" w14:textId="77777777" w:rsidR="00F67DDB" w:rsidRPr="0070080E" w:rsidRDefault="0094076D">
      <w:pPr>
        <w:pStyle w:val="BodyText"/>
      </w:pPr>
      <w:r w:rsidRPr="0070080E">
        <w:rPr>
          <w:b/>
          <w:bCs/>
        </w:rPr>
        <w:t>News summary:</w:t>
      </w:r>
      <w:r w:rsidRPr="0070080E">
        <w:t xml:space="preserve"> Johnson &amp; Johnson won FDA approval for AKEEGA (niraparib and abiraterone acetate) plus prednisone to treat BRCA2-mutated metastatic castration-sensitive prostate cancer, marking the first precision medicine combination treatment for this indication. The approval was based on Phase 3 AMPLITUDE study results showing the treatment cut radiographic progression or death by 54% in patients with BRCA2 mutations, who typically have more aggressive forms of prostate cancer. Reported by multiple sources.</w:t>
      </w:r>
    </w:p>
    <w:p w14:paraId="3CB10800" w14:textId="77777777" w:rsidR="00F67DDB" w:rsidRPr="0070080E" w:rsidRDefault="0094076D">
      <w:pPr>
        <w:pStyle w:val="BodyText"/>
      </w:pPr>
      <w:r w:rsidRPr="0070080E">
        <w:rPr>
          <w:b/>
          <w:bCs/>
        </w:rPr>
        <w:t>Market context:</w:t>
      </w:r>
      <w:r w:rsidRPr="0070080E">
        <w:t xml:space="preserve"> Price before event: USD 211.5 | Price 2 hours post-event: USD 214.5 | Reaction: +1.08</w:t>
      </w:r>
    </w:p>
    <w:p w14:paraId="3CB10801" w14:textId="77777777" w:rsidR="00F67DDB" w:rsidRPr="0070080E" w:rsidRDefault="0094076D">
      <w:pPr>
        <w:pStyle w:val="BodyText"/>
      </w:pPr>
      <w:r w:rsidRPr="0070080E">
        <w:rPr>
          <w:i/>
          <w:iCs/>
        </w:rPr>
        <w:t>Note: In Version 1 (ShowSC = 1), the Shock Score dashboard was displayed here, showing the composite score, sentiment direction, severity level, persistence horizon, and protocol recommendation. In Version 2 (ShowSC = 0), this panel was not shown.</w:t>
      </w:r>
    </w:p>
    <w:p w14:paraId="3CB10802" w14:textId="77777777" w:rsidR="00F67DDB" w:rsidRPr="0070080E" w:rsidRDefault="0094076D">
      <w:pPr>
        <w:pStyle w:val="BodyText"/>
      </w:pPr>
      <w:r w:rsidRPr="0070080E">
        <w:rPr>
          <w:b/>
          <w:bCs/>
        </w:rPr>
        <w:t>Q4. Decision:</w:t>
      </w:r>
      <w:r w:rsidRPr="0070080E">
        <w:t xml:space="preserve"> Based on the information above, what is your intended portfolio action for this holding?</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F67DDB" w:rsidRPr="0070080E" w14:paraId="3CB1080A"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803" w14:textId="77777777" w:rsidR="00F67DDB" w:rsidRPr="0070080E" w:rsidRDefault="0094076D">
            <w:pPr>
              <w:pStyle w:val="Compact"/>
            </w:pPr>
            <w:r w:rsidRPr="0070080E">
              <w:t>1</w:t>
            </w:r>
          </w:p>
        </w:tc>
        <w:tc>
          <w:tcPr>
            <w:tcW w:w="1131" w:type="dxa"/>
          </w:tcPr>
          <w:p w14:paraId="3CB10804" w14:textId="77777777" w:rsidR="00F67DDB" w:rsidRPr="0070080E" w:rsidRDefault="0094076D">
            <w:pPr>
              <w:pStyle w:val="Compact"/>
            </w:pPr>
            <w:r w:rsidRPr="0070080E">
              <w:t>2</w:t>
            </w:r>
          </w:p>
        </w:tc>
        <w:tc>
          <w:tcPr>
            <w:tcW w:w="1131" w:type="dxa"/>
          </w:tcPr>
          <w:p w14:paraId="3CB10805" w14:textId="77777777" w:rsidR="00F67DDB" w:rsidRPr="0070080E" w:rsidRDefault="0094076D">
            <w:pPr>
              <w:pStyle w:val="Compact"/>
            </w:pPr>
            <w:r w:rsidRPr="0070080E">
              <w:t>3</w:t>
            </w:r>
          </w:p>
        </w:tc>
        <w:tc>
          <w:tcPr>
            <w:tcW w:w="1131" w:type="dxa"/>
          </w:tcPr>
          <w:p w14:paraId="3CB10806" w14:textId="77777777" w:rsidR="00F67DDB" w:rsidRPr="0070080E" w:rsidRDefault="0094076D">
            <w:pPr>
              <w:pStyle w:val="Compact"/>
            </w:pPr>
            <w:r w:rsidRPr="0070080E">
              <w:t>4</w:t>
            </w:r>
          </w:p>
        </w:tc>
        <w:tc>
          <w:tcPr>
            <w:tcW w:w="1131" w:type="dxa"/>
          </w:tcPr>
          <w:p w14:paraId="3CB10807" w14:textId="77777777" w:rsidR="00F67DDB" w:rsidRPr="0070080E" w:rsidRDefault="0094076D">
            <w:pPr>
              <w:pStyle w:val="Compact"/>
            </w:pPr>
            <w:r w:rsidRPr="0070080E">
              <w:t>5</w:t>
            </w:r>
          </w:p>
        </w:tc>
        <w:tc>
          <w:tcPr>
            <w:tcW w:w="1131" w:type="dxa"/>
          </w:tcPr>
          <w:p w14:paraId="3CB10808" w14:textId="77777777" w:rsidR="00F67DDB" w:rsidRPr="0070080E" w:rsidRDefault="0094076D">
            <w:pPr>
              <w:pStyle w:val="Compact"/>
            </w:pPr>
            <w:r w:rsidRPr="0070080E">
              <w:t>6</w:t>
            </w:r>
          </w:p>
        </w:tc>
        <w:tc>
          <w:tcPr>
            <w:tcW w:w="1131" w:type="dxa"/>
          </w:tcPr>
          <w:p w14:paraId="3CB10809" w14:textId="77777777" w:rsidR="00F67DDB" w:rsidRPr="0070080E" w:rsidRDefault="0094076D">
            <w:pPr>
              <w:pStyle w:val="Compact"/>
            </w:pPr>
            <w:r w:rsidRPr="0070080E">
              <w:t>7</w:t>
            </w:r>
          </w:p>
        </w:tc>
      </w:tr>
      <w:tr w:rsidR="00F67DDB" w:rsidRPr="0070080E" w14:paraId="3CB10812" w14:textId="77777777">
        <w:tc>
          <w:tcPr>
            <w:tcW w:w="1131" w:type="dxa"/>
          </w:tcPr>
          <w:p w14:paraId="3CB1080B" w14:textId="77777777" w:rsidR="00F67DDB" w:rsidRPr="0070080E" w:rsidRDefault="0094076D">
            <w:pPr>
              <w:pStyle w:val="Compact"/>
            </w:pPr>
            <w:r w:rsidRPr="0070080E">
              <w:t>Strongly reduce</w:t>
            </w:r>
          </w:p>
        </w:tc>
        <w:tc>
          <w:tcPr>
            <w:tcW w:w="1131" w:type="dxa"/>
          </w:tcPr>
          <w:p w14:paraId="3CB1080C" w14:textId="77777777" w:rsidR="00F67DDB" w:rsidRPr="0070080E" w:rsidRDefault="0094076D">
            <w:pPr>
              <w:pStyle w:val="Compact"/>
            </w:pPr>
            <w:r w:rsidRPr="0070080E">
              <w:t>Reduce</w:t>
            </w:r>
          </w:p>
        </w:tc>
        <w:tc>
          <w:tcPr>
            <w:tcW w:w="1131" w:type="dxa"/>
          </w:tcPr>
          <w:p w14:paraId="3CB1080D" w14:textId="77777777" w:rsidR="00F67DDB" w:rsidRPr="0070080E" w:rsidRDefault="0094076D">
            <w:pPr>
              <w:pStyle w:val="Compact"/>
            </w:pPr>
            <w:r w:rsidRPr="0070080E">
              <w:t>Slightly reduce</w:t>
            </w:r>
          </w:p>
        </w:tc>
        <w:tc>
          <w:tcPr>
            <w:tcW w:w="1131" w:type="dxa"/>
          </w:tcPr>
          <w:p w14:paraId="3CB1080E" w14:textId="77777777" w:rsidR="00F67DDB" w:rsidRPr="0070080E" w:rsidRDefault="0094076D">
            <w:pPr>
              <w:pStyle w:val="Compact"/>
            </w:pPr>
            <w:r w:rsidRPr="0070080E">
              <w:t>Hold / no change</w:t>
            </w:r>
          </w:p>
        </w:tc>
        <w:tc>
          <w:tcPr>
            <w:tcW w:w="1131" w:type="dxa"/>
          </w:tcPr>
          <w:p w14:paraId="3CB1080F" w14:textId="77777777" w:rsidR="00F67DDB" w:rsidRPr="0070080E" w:rsidRDefault="0094076D">
            <w:pPr>
              <w:pStyle w:val="Compact"/>
            </w:pPr>
            <w:r w:rsidRPr="0070080E">
              <w:t>Slightly increase</w:t>
            </w:r>
          </w:p>
        </w:tc>
        <w:tc>
          <w:tcPr>
            <w:tcW w:w="1131" w:type="dxa"/>
          </w:tcPr>
          <w:p w14:paraId="3CB10810" w14:textId="77777777" w:rsidR="00F67DDB" w:rsidRPr="0070080E" w:rsidRDefault="0094076D">
            <w:pPr>
              <w:pStyle w:val="Compact"/>
            </w:pPr>
            <w:r w:rsidRPr="0070080E">
              <w:t>Increase</w:t>
            </w:r>
          </w:p>
        </w:tc>
        <w:tc>
          <w:tcPr>
            <w:tcW w:w="1131" w:type="dxa"/>
          </w:tcPr>
          <w:p w14:paraId="3CB10811" w14:textId="77777777" w:rsidR="00F67DDB" w:rsidRPr="0070080E" w:rsidRDefault="0094076D">
            <w:pPr>
              <w:pStyle w:val="Compact"/>
            </w:pPr>
            <w:r w:rsidRPr="0070080E">
              <w:t>Strongly increase</w:t>
            </w:r>
          </w:p>
        </w:tc>
      </w:tr>
    </w:tbl>
    <w:p w14:paraId="3CB10813" w14:textId="3A93F3AF" w:rsidR="00F67DDB" w:rsidRPr="0070080E" w:rsidRDefault="00F67DDB"/>
    <w:p w14:paraId="3CB10815" w14:textId="549C8C5F" w:rsidR="00F67DDB" w:rsidRPr="0070080E" w:rsidRDefault="0094076D" w:rsidP="00D27136">
      <w:pPr>
        <w:pStyle w:val="FirstParagraph"/>
        <w:ind w:firstLine="0"/>
      </w:pPr>
      <w:r w:rsidRPr="0070080E">
        <w:rPr>
          <w:i/>
          <w:iCs/>
        </w:rPr>
        <w:t>Scenarios 3–8 follow the identical structure presented above.</w:t>
      </w:r>
    </w:p>
    <w:p w14:paraId="3CB10816" w14:textId="77777777" w:rsidR="00F67DDB" w:rsidRPr="0070080E" w:rsidRDefault="0094076D" w:rsidP="00D27136">
      <w:pPr>
        <w:pStyle w:val="FirstParagraph"/>
        <w:ind w:firstLine="0"/>
      </w:pPr>
      <w:r w:rsidRPr="0070080E">
        <w:rPr>
          <w:i/>
          <w:iCs/>
        </w:rPr>
        <w:t>End of Block 2. Upon completion, respondents were thanked and provided with a contact address for questions. Blocks 1 and 3 were administered as separate survey links.</w:t>
      </w:r>
      <w:bookmarkEnd w:id="209"/>
    </w:p>
    <w:sectPr w:rsidR="00F67DDB" w:rsidRPr="0070080E" w:rsidSect="00BA36D3">
      <w:footnotePr>
        <w:numRestart w:val="eachSect"/>
      </w:footnotePr>
      <w:pgSz w:w="12240" w:h="15840"/>
      <w:pgMar w:top="1440" w:right="1440" w:bottom="1440" w:left="1440" w:header="63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Bert Wolfs" w:date="2026-06-22T14:40:00Z" w:initials="BW">
    <w:p w14:paraId="1D8358ED" w14:textId="77777777" w:rsidR="00F94C43" w:rsidRDefault="00F94C43" w:rsidP="00F94C43">
      <w:pPr>
        <w:pStyle w:val="CommentText"/>
        <w:ind w:firstLine="0"/>
      </w:pPr>
      <w:r>
        <w:rPr>
          <w:rStyle w:val="CommentReference"/>
        </w:rPr>
        <w:annotationRef/>
      </w:r>
      <w:r>
        <w:t>spelling</w:t>
      </w:r>
    </w:p>
  </w:comment>
  <w:comment w:id="14" w:author="Alexey Malashonak" w:date="2026-06-24T19:46:00Z" w:initials="AM">
    <w:p w14:paraId="34617AEE" w14:textId="0B4588FD" w:rsidR="005643F8" w:rsidRDefault="005643F8">
      <w:pPr>
        <w:pStyle w:val="CommentText"/>
      </w:pPr>
      <w:r>
        <w:rPr>
          <w:rStyle w:val="CommentReference"/>
        </w:rPr>
        <w:annotationRef/>
      </w:r>
      <w:r w:rsidR="00CB0190">
        <w:t xml:space="preserve">Spelling seems to be correct. Not sure what the issue is. </w:t>
      </w:r>
      <w:r w:rsidR="00566A54" w:rsidRPr="00566A54">
        <w:t>"moderates" is a standard American English word</w:t>
      </w:r>
    </w:p>
  </w:comment>
  <w:comment w:id="15" w:author="Bert Wolfs" w:date="2026-06-22T14:40:00Z" w:initials="BW">
    <w:p w14:paraId="588CDC79" w14:textId="77777777" w:rsidR="00F94C43" w:rsidRDefault="00F94C43" w:rsidP="00F94C43">
      <w:pPr>
        <w:pStyle w:val="CommentText"/>
        <w:ind w:firstLine="0"/>
      </w:pPr>
      <w:r>
        <w:rPr>
          <w:rStyle w:val="CommentReference"/>
        </w:rPr>
        <w:annotationRef/>
      </w:r>
      <w:r>
        <w:t>All good, but what with Ho?</w:t>
      </w:r>
    </w:p>
  </w:comment>
  <w:comment w:id="16" w:author="Alexey Malashonak" w:date="2026-06-24T19:46:00Z" w:initials="AM">
    <w:p w14:paraId="4C3786D0" w14:textId="27CD8DD0" w:rsidR="005643F8" w:rsidRDefault="005643F8">
      <w:pPr>
        <w:pStyle w:val="CommentText"/>
      </w:pPr>
      <w:r>
        <w:rPr>
          <w:rStyle w:val="CommentReference"/>
        </w:rPr>
        <w:annotationRef/>
      </w:r>
      <w:proofErr w:type="gramStart"/>
      <w:r w:rsidR="00CB560A">
        <w:t xml:space="preserve">Added </w:t>
      </w:r>
      <w:r>
        <w:t xml:space="preserve"> paragraph</w:t>
      </w:r>
      <w:proofErr w:type="gramEnd"/>
      <w:r>
        <w:t xml:space="preserve"> above</w:t>
      </w:r>
    </w:p>
  </w:comment>
  <w:comment w:id="23" w:author="Bert Wolfs" w:date="2026-06-22T14:40:00Z" w:initials="BW">
    <w:p w14:paraId="0D5A3871" w14:textId="77777777" w:rsidR="00F94C43" w:rsidRDefault="00F94C43" w:rsidP="00F94C43">
      <w:pPr>
        <w:pStyle w:val="CommentText"/>
        <w:ind w:firstLine="0"/>
      </w:pPr>
      <w:r>
        <w:rPr>
          <w:rStyle w:val="CommentReference"/>
        </w:rPr>
        <w:annotationRef/>
      </w:r>
      <w:r>
        <w:t>Exceed maybe</w:t>
      </w:r>
    </w:p>
  </w:comment>
  <w:comment w:id="57" w:author="Alexey Malashonak" w:date="2026-07-10T14:14:00Z" w:initials="AM">
    <w:p w14:paraId="45B9C520" w14:textId="36B14044" w:rsidR="004A066E" w:rsidRDefault="004A066E">
      <w:pPr>
        <w:pStyle w:val="CommentText"/>
      </w:pPr>
      <w:r>
        <w:rPr>
          <w:rStyle w:val="CommentReference"/>
        </w:rPr>
        <w:annotationRef/>
      </w:r>
      <w:r w:rsidR="00CF0B21" w:rsidRPr="00CF0B21">
        <w:t xml:space="preserve">(Now orphaned; the same content already closes §2.3.2, where it </w:t>
      </w:r>
      <w:proofErr w:type="spellStart"/>
      <w:proofErr w:type="gramStart"/>
      <w:r w:rsidR="00CF0B21" w:rsidRPr="00CF0B21">
        <w:t>belongs.</w:t>
      </w:r>
      <w:r w:rsidR="00CF0B21">
        <w:t>fdsdfsdf</w:t>
      </w:r>
      <w:proofErr w:type="spellEnd"/>
      <w:proofErr w:type="gramEnd"/>
    </w:p>
  </w:comment>
  <w:comment w:id="61" w:author="Alexey Malashonak" w:date="2026-06-24T23:42:00Z" w:initials="AM">
    <w:p w14:paraId="432A43E5" w14:textId="48B5BB0E" w:rsidR="00CB560A" w:rsidRPr="002B57F4" w:rsidRDefault="00CB560A">
      <w:pPr>
        <w:pStyle w:val="CommentText"/>
        <w:rPr>
          <w:b/>
          <w:bCs/>
        </w:rPr>
      </w:pPr>
      <w:r>
        <w:rPr>
          <w:rStyle w:val="CommentReference"/>
        </w:rPr>
        <w:annotationRef/>
      </w:r>
      <w:r w:rsidR="002B57F4" w:rsidRPr="002B57F4">
        <w:rPr>
          <w:b/>
          <w:bCs/>
          <w:color w:val="FF0000"/>
        </w:rPr>
        <w:t>I assume independent reviewer requires a clean one-to-one mapping (each Objective → one RQ → one Hypothesis) covering the same scope with consistent key terms. Changes below have been implemented to address feedback.</w:t>
      </w:r>
    </w:p>
  </w:comment>
  <w:comment w:id="113" w:author="Bert Wolfs" w:date="2026-06-22T14:44:00Z" w:initials="BW">
    <w:p w14:paraId="2C332C82" w14:textId="77777777" w:rsidR="00F94C43" w:rsidRDefault="00F94C43" w:rsidP="00F94C43">
      <w:pPr>
        <w:pStyle w:val="CommentText"/>
        <w:ind w:firstLine="0"/>
      </w:pPr>
      <w:r>
        <w:rPr>
          <w:rStyle w:val="CommentReference"/>
        </w:rPr>
        <w:annotationRef/>
      </w:r>
      <w:r>
        <w:t xml:space="preserve">Source and year </w:t>
      </w:r>
      <w:proofErr w:type="gramStart"/>
      <w:r>
        <w:t>is</w:t>
      </w:r>
      <w:proofErr w:type="gramEnd"/>
      <w:r>
        <w:t xml:space="preserve"> missing</w:t>
      </w:r>
    </w:p>
  </w:comment>
  <w:comment w:id="114" w:author="Alexey Malashonak" w:date="2026-06-24T20:23:00Z" w:initials="AM">
    <w:p w14:paraId="7234100E" w14:textId="639796A1" w:rsidR="00E5304E" w:rsidRDefault="00E5304E">
      <w:pPr>
        <w:pStyle w:val="CommentText"/>
      </w:pPr>
      <w:r>
        <w:rPr>
          <w:rStyle w:val="CommentReference"/>
        </w:rPr>
        <w:annotationRef/>
      </w:r>
      <w:r>
        <w:t xml:space="preserve">Those are in </w:t>
      </w:r>
      <w:r w:rsidR="0063587B">
        <w:t>N</w:t>
      </w:r>
      <w:r>
        <w:t>otes as per APA style.</w:t>
      </w:r>
    </w:p>
  </w:comment>
  <w:comment w:id="127" w:author="Bert Wolfs" w:date="2026-06-22T14:45:00Z" w:initials="BW">
    <w:p w14:paraId="7EEA3813" w14:textId="77777777" w:rsidR="00F94C43" w:rsidRDefault="00F94C43" w:rsidP="00F94C43">
      <w:pPr>
        <w:pStyle w:val="CommentText"/>
        <w:ind w:firstLine="0"/>
      </w:pPr>
      <w:r>
        <w:rPr>
          <w:rStyle w:val="CommentReference"/>
        </w:rPr>
        <w:annotationRef/>
      </w:r>
      <w:r>
        <w:t>SOURCE?</w:t>
      </w:r>
    </w:p>
  </w:comment>
  <w:comment w:id="128" w:author="Alexey Malashonak" w:date="2026-06-24T23:36:00Z" w:initials="AM">
    <w:p w14:paraId="07D568B0" w14:textId="1E59136A" w:rsidR="00976D65" w:rsidRPr="00976D65" w:rsidRDefault="00976D65" w:rsidP="00976D65">
      <w:pPr>
        <w:pStyle w:val="CommentText"/>
        <w:ind w:firstLine="0"/>
      </w:pPr>
      <w:r>
        <w:rPr>
          <w:rStyle w:val="CommentReference"/>
        </w:rPr>
        <w:annotationRef/>
      </w:r>
      <w:r>
        <w:t>In notes below</w:t>
      </w:r>
    </w:p>
  </w:comment>
  <w:comment w:id="135" w:author="Bert Wolfs" w:date="2026-06-22T14:46:00Z" w:initials="BW">
    <w:p w14:paraId="4E984CE0" w14:textId="77777777" w:rsidR="00F94C43" w:rsidRDefault="00F94C43" w:rsidP="00F94C43">
      <w:pPr>
        <w:pStyle w:val="CommentText"/>
        <w:ind w:firstLine="0"/>
      </w:pPr>
      <w:r>
        <w:rPr>
          <w:rStyle w:val="CommentReference"/>
        </w:rPr>
        <w:annotationRef/>
      </w:r>
      <w:r>
        <w:t>This is the KEY mistake, please do not mix Brit and Am English, this is exactly what you SHOULD NOT do!</w:t>
      </w:r>
    </w:p>
    <w:p w14:paraId="43C9FC33" w14:textId="77777777" w:rsidR="00F94C43" w:rsidRDefault="00F94C43" w:rsidP="00F94C43">
      <w:pPr>
        <w:pStyle w:val="CommentText"/>
        <w:ind w:firstLine="0"/>
      </w:pPr>
    </w:p>
    <w:p w14:paraId="36DD0DAA" w14:textId="77777777" w:rsidR="00F94C43" w:rsidRDefault="00F94C43" w:rsidP="00F94C43">
      <w:pPr>
        <w:pStyle w:val="CommentText"/>
        <w:ind w:firstLine="0"/>
      </w:pPr>
      <w:r>
        <w:t>Correct the entire thesis!</w:t>
      </w:r>
    </w:p>
    <w:p w14:paraId="59620421" w14:textId="77777777" w:rsidR="00F94C43" w:rsidRDefault="00F94C43" w:rsidP="00F94C43">
      <w:pPr>
        <w:pStyle w:val="CommentText"/>
        <w:ind w:firstLine="0"/>
      </w:pPr>
    </w:p>
    <w:p w14:paraId="56BBA5CC" w14:textId="77777777" w:rsidR="00F94C43" w:rsidRDefault="00F94C43" w:rsidP="00F94C43">
      <w:pPr>
        <w:pStyle w:val="CommentText"/>
        <w:ind w:firstLine="0"/>
      </w:pPr>
      <w:r>
        <w:t>Also, do a grammar and spelling check, really needed.</w:t>
      </w:r>
    </w:p>
  </w:comment>
  <w:comment w:id="210" w:author="Bert Wolfs" w:date="2026-06-22T14:48:00Z" w:initials="BW">
    <w:p w14:paraId="485A9BAD" w14:textId="77777777" w:rsidR="00F94C43" w:rsidRDefault="00F94C43" w:rsidP="00F94C43">
      <w:pPr>
        <w:pStyle w:val="CommentText"/>
        <w:ind w:firstLine="0"/>
      </w:pPr>
      <w:r>
        <w:rPr>
          <w:rStyle w:val="CommentReference"/>
        </w:rPr>
        <w:annotationRef/>
      </w:r>
      <w:r>
        <w:t>The scaling is wrong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8358ED" w15:done="1"/>
  <w15:commentEx w15:paraId="34617AEE" w15:paraIdParent="1D8358ED" w15:done="1"/>
  <w15:commentEx w15:paraId="588CDC79" w15:done="1"/>
  <w15:commentEx w15:paraId="4C3786D0" w15:paraIdParent="588CDC79" w15:done="1"/>
  <w15:commentEx w15:paraId="0D5A3871" w15:done="0"/>
  <w15:commentEx w15:paraId="45B9C520" w15:done="0"/>
  <w15:commentEx w15:paraId="432A43E5" w15:done="0"/>
  <w15:commentEx w15:paraId="2C332C82" w15:done="1"/>
  <w15:commentEx w15:paraId="7234100E" w15:paraIdParent="2C332C82" w15:done="1"/>
  <w15:commentEx w15:paraId="7EEA3813" w15:done="0"/>
  <w15:commentEx w15:paraId="07D568B0" w15:paraIdParent="7EEA3813" w15:done="0"/>
  <w15:commentEx w15:paraId="56BBA5CC" w15:done="1"/>
  <w15:commentEx w15:paraId="485A9B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02F428" w16cex:dateUtc="2026-06-22T12:40:00Z"/>
  <w16cex:commentExtensible w16cex:durableId="2B53C96E" w16cex:dateUtc="2026-06-24T17:46:00Z"/>
  <w16cex:commentExtensible w16cex:durableId="4E1B3AA8" w16cex:dateUtc="2026-06-22T12:40:00Z"/>
  <w16cex:commentExtensible w16cex:durableId="3E36BCC8" w16cex:dateUtc="2026-06-24T17:46:00Z"/>
  <w16cex:commentExtensible w16cex:durableId="0CA67E3E" w16cex:dateUtc="2026-06-22T12:40:00Z"/>
  <w16cex:commentExtensible w16cex:durableId="1E5FB6AF" w16cex:dateUtc="2026-07-10T12:14:00Z"/>
  <w16cex:commentExtensible w16cex:durableId="1F6BEE93" w16cex:dateUtc="2026-06-24T21:42:00Z"/>
  <w16cex:commentExtensible w16cex:durableId="3C4C9DEC" w16cex:dateUtc="2026-06-22T12:44:00Z"/>
  <w16cex:commentExtensible w16cex:durableId="0D7842DE" w16cex:dateUtc="2026-06-24T18:23:00Z"/>
  <w16cex:commentExtensible w16cex:durableId="19699658" w16cex:dateUtc="2026-06-22T12:45:00Z"/>
  <w16cex:commentExtensible w16cex:durableId="1FF82A70" w16cex:dateUtc="2026-06-24T21:36:00Z"/>
  <w16cex:commentExtensible w16cex:durableId="2147C917" w16cex:dateUtc="2026-06-22T12:46:00Z"/>
  <w16cex:commentExtensible w16cex:durableId="209FEE1A" w16cex:dateUtc="2026-06-22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8358ED" w16cid:durableId="6F02F428"/>
  <w16cid:commentId w16cid:paraId="34617AEE" w16cid:durableId="2B53C96E"/>
  <w16cid:commentId w16cid:paraId="588CDC79" w16cid:durableId="4E1B3AA8"/>
  <w16cid:commentId w16cid:paraId="4C3786D0" w16cid:durableId="3E36BCC8"/>
  <w16cid:commentId w16cid:paraId="0D5A3871" w16cid:durableId="0CA67E3E"/>
  <w16cid:commentId w16cid:paraId="45B9C520" w16cid:durableId="1E5FB6AF"/>
  <w16cid:commentId w16cid:paraId="432A43E5" w16cid:durableId="1F6BEE93"/>
  <w16cid:commentId w16cid:paraId="2C332C82" w16cid:durableId="3C4C9DEC"/>
  <w16cid:commentId w16cid:paraId="7234100E" w16cid:durableId="0D7842DE"/>
  <w16cid:commentId w16cid:paraId="7EEA3813" w16cid:durableId="19699658"/>
  <w16cid:commentId w16cid:paraId="07D568B0" w16cid:durableId="1FF82A70"/>
  <w16cid:commentId w16cid:paraId="56BBA5CC" w16cid:durableId="2147C917"/>
  <w16cid:commentId w16cid:paraId="485A9BAD" w16cid:durableId="209FE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D6605" w14:textId="77777777" w:rsidR="00C53D03" w:rsidRDefault="00C53D03">
      <w:pPr>
        <w:spacing w:line="240" w:lineRule="auto"/>
      </w:pPr>
      <w:r>
        <w:separator/>
      </w:r>
    </w:p>
  </w:endnote>
  <w:endnote w:type="continuationSeparator" w:id="0">
    <w:p w14:paraId="48B377EE" w14:textId="77777777" w:rsidR="00C53D03" w:rsidRDefault="00C53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A6516" w14:textId="77777777" w:rsidR="00C53D03" w:rsidRDefault="00C53D03">
      <w:pPr>
        <w:spacing w:line="240" w:lineRule="auto"/>
      </w:pPr>
      <w:r>
        <w:separator/>
      </w:r>
    </w:p>
  </w:footnote>
  <w:footnote w:type="continuationSeparator" w:id="0">
    <w:p w14:paraId="139E9C46" w14:textId="77777777" w:rsidR="00C53D03" w:rsidRDefault="00C53D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1084A" w14:textId="3723E70D" w:rsidR="00585FE4" w:rsidRDefault="001A1712" w:rsidP="005E6B4A">
    <w:pPr>
      <w:pStyle w:val="Header"/>
      <w:tabs>
        <w:tab w:val="clear" w:pos="9026"/>
        <w:tab w:val="right" w:pos="9990"/>
      </w:tabs>
      <w:ind w:firstLine="0"/>
    </w:pPr>
    <w:r w:rsidRPr="00592024">
      <w:t>Emotional Biases in Portfolio Management</w:t>
    </w:r>
    <w:r w:rsidR="00440C63">
      <w:tab/>
    </w:r>
    <w:sdt>
      <w:sdtPr>
        <w:id w:val="1083106074"/>
        <w:docPartObj>
          <w:docPartGallery w:val="Page Numbers (Top of Page)"/>
          <w:docPartUnique/>
        </w:docPartObj>
      </w:sdtPr>
      <w:sdtEndPr>
        <w:rPr>
          <w:noProof/>
        </w:rPr>
      </w:sdtEndPr>
      <w:sdtContent>
        <w:r w:rsidR="00EF06C0">
          <w:tab/>
        </w:r>
        <w:r>
          <w:fldChar w:fldCharType="begin"/>
        </w:r>
        <w:r>
          <w:instrText xml:space="preserve"> PAGE   \* MERGEFORMAT </w:instrText>
        </w:r>
        <w:r>
          <w:fldChar w:fldCharType="separate"/>
        </w:r>
        <w:r>
          <w:rPr>
            <w:noProof/>
          </w:rPr>
          <w:t>2</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FA4BD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6E8F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EE06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C8D655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97A255F"/>
    <w:multiLevelType w:val="hybridMultilevel"/>
    <w:tmpl w:val="CF6841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11253168">
    <w:abstractNumId w:val="3"/>
  </w:num>
  <w:num w:numId="2" w16cid:durableId="1813793603">
    <w:abstractNumId w:val="4"/>
  </w:num>
  <w:num w:numId="3" w16cid:durableId="363796471">
    <w:abstractNumId w:val="0"/>
  </w:num>
  <w:num w:numId="4" w16cid:durableId="198472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603909">
    <w:abstractNumId w:val="1"/>
  </w:num>
  <w:num w:numId="6" w16cid:durableId="1928033196">
    <w:abstractNumId w:val="1"/>
  </w:num>
  <w:num w:numId="7" w16cid:durableId="2050374437">
    <w:abstractNumId w:val="1"/>
  </w:num>
  <w:num w:numId="8" w16cid:durableId="1674065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42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3616303">
    <w:abstractNumId w:val="1"/>
  </w:num>
  <w:num w:numId="11" w16cid:durableId="487526227">
    <w:abstractNumId w:val="1"/>
  </w:num>
  <w:num w:numId="12" w16cid:durableId="1291394837">
    <w:abstractNumId w:val="1"/>
  </w:num>
  <w:num w:numId="13" w16cid:durableId="1731810283">
    <w:abstractNumId w:val="1"/>
  </w:num>
  <w:num w:numId="14" w16cid:durableId="1638222827">
    <w:abstractNumId w:val="1"/>
  </w:num>
  <w:num w:numId="15" w16cid:durableId="880899455">
    <w:abstractNumId w:val="1"/>
  </w:num>
  <w:num w:numId="16" w16cid:durableId="195196713">
    <w:abstractNumId w:val="1"/>
  </w:num>
  <w:num w:numId="17" w16cid:durableId="457143968">
    <w:abstractNumId w:val="1"/>
  </w:num>
  <w:num w:numId="18" w16cid:durableId="3868059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t Wolfs">
    <w15:presenceInfo w15:providerId="AD" w15:userId="S::bert@sbs.edu::455be38f-1557-4901-a5a3-01ea7fd8efe7"/>
  </w15:person>
  <w15:person w15:author="Alexey Malashonak">
    <w15:presenceInfo w15:providerId="Windows Live" w15:userId="52025583bffa8b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9AE"/>
    <w:rsid w:val="00001A74"/>
    <w:rsid w:val="00001BC5"/>
    <w:rsid w:val="000033D9"/>
    <w:rsid w:val="0001213F"/>
    <w:rsid w:val="000210EA"/>
    <w:rsid w:val="0003405E"/>
    <w:rsid w:val="00041DDB"/>
    <w:rsid w:val="0004267D"/>
    <w:rsid w:val="000552DD"/>
    <w:rsid w:val="00061A5A"/>
    <w:rsid w:val="000642B4"/>
    <w:rsid w:val="00065301"/>
    <w:rsid w:val="000755E2"/>
    <w:rsid w:val="00095317"/>
    <w:rsid w:val="000A2DCD"/>
    <w:rsid w:val="000A66AA"/>
    <w:rsid w:val="000B1F0E"/>
    <w:rsid w:val="000C6DC4"/>
    <w:rsid w:val="000D245B"/>
    <w:rsid w:val="000D56CE"/>
    <w:rsid w:val="000D63E4"/>
    <w:rsid w:val="000E2879"/>
    <w:rsid w:val="000F2100"/>
    <w:rsid w:val="00107548"/>
    <w:rsid w:val="00111533"/>
    <w:rsid w:val="001310A4"/>
    <w:rsid w:val="00135783"/>
    <w:rsid w:val="0013745B"/>
    <w:rsid w:val="00190A1F"/>
    <w:rsid w:val="001957C3"/>
    <w:rsid w:val="00195B8B"/>
    <w:rsid w:val="0019695C"/>
    <w:rsid w:val="001A1712"/>
    <w:rsid w:val="001B5771"/>
    <w:rsid w:val="001B5C84"/>
    <w:rsid w:val="00216D23"/>
    <w:rsid w:val="00216E23"/>
    <w:rsid w:val="0021793E"/>
    <w:rsid w:val="00220D9C"/>
    <w:rsid w:val="00221F14"/>
    <w:rsid w:val="00230A65"/>
    <w:rsid w:val="00230B55"/>
    <w:rsid w:val="00234787"/>
    <w:rsid w:val="00244450"/>
    <w:rsid w:val="00246728"/>
    <w:rsid w:val="0024765A"/>
    <w:rsid w:val="00261C3C"/>
    <w:rsid w:val="002661BD"/>
    <w:rsid w:val="002823A5"/>
    <w:rsid w:val="00283DE3"/>
    <w:rsid w:val="00291E97"/>
    <w:rsid w:val="002A2462"/>
    <w:rsid w:val="002B57B6"/>
    <w:rsid w:val="002B57F4"/>
    <w:rsid w:val="002C360C"/>
    <w:rsid w:val="002C4892"/>
    <w:rsid w:val="002D5431"/>
    <w:rsid w:val="002D73B7"/>
    <w:rsid w:val="002E1451"/>
    <w:rsid w:val="002F43EA"/>
    <w:rsid w:val="00322CE3"/>
    <w:rsid w:val="00330636"/>
    <w:rsid w:val="003353DA"/>
    <w:rsid w:val="0033640B"/>
    <w:rsid w:val="0033652E"/>
    <w:rsid w:val="00352772"/>
    <w:rsid w:val="00357162"/>
    <w:rsid w:val="00362F00"/>
    <w:rsid w:val="003706E0"/>
    <w:rsid w:val="003859AB"/>
    <w:rsid w:val="003C0323"/>
    <w:rsid w:val="003D53D4"/>
    <w:rsid w:val="003E0DBE"/>
    <w:rsid w:val="003E2282"/>
    <w:rsid w:val="00400BE9"/>
    <w:rsid w:val="0040300B"/>
    <w:rsid w:val="004037A7"/>
    <w:rsid w:val="00415EFB"/>
    <w:rsid w:val="00425464"/>
    <w:rsid w:val="004269FF"/>
    <w:rsid w:val="00430E65"/>
    <w:rsid w:val="00437BB4"/>
    <w:rsid w:val="00440C63"/>
    <w:rsid w:val="00441A37"/>
    <w:rsid w:val="0044366B"/>
    <w:rsid w:val="00464D49"/>
    <w:rsid w:val="00465F21"/>
    <w:rsid w:val="00470E52"/>
    <w:rsid w:val="00486F33"/>
    <w:rsid w:val="004A066E"/>
    <w:rsid w:val="004A79C0"/>
    <w:rsid w:val="004B499C"/>
    <w:rsid w:val="004D35AC"/>
    <w:rsid w:val="004F0D4B"/>
    <w:rsid w:val="004F2C2F"/>
    <w:rsid w:val="004F6FB5"/>
    <w:rsid w:val="005008B4"/>
    <w:rsid w:val="00507C4E"/>
    <w:rsid w:val="0051430D"/>
    <w:rsid w:val="00534FE8"/>
    <w:rsid w:val="005643F8"/>
    <w:rsid w:val="00566A54"/>
    <w:rsid w:val="0056738E"/>
    <w:rsid w:val="00573237"/>
    <w:rsid w:val="00580F04"/>
    <w:rsid w:val="00585FE4"/>
    <w:rsid w:val="00592024"/>
    <w:rsid w:val="00593E85"/>
    <w:rsid w:val="00597242"/>
    <w:rsid w:val="005A3C9D"/>
    <w:rsid w:val="005B330B"/>
    <w:rsid w:val="005B68FD"/>
    <w:rsid w:val="005C5455"/>
    <w:rsid w:val="005D3710"/>
    <w:rsid w:val="005E28F1"/>
    <w:rsid w:val="005E6B4A"/>
    <w:rsid w:val="005F0B61"/>
    <w:rsid w:val="005F56DB"/>
    <w:rsid w:val="00606B4F"/>
    <w:rsid w:val="006076D9"/>
    <w:rsid w:val="00614B36"/>
    <w:rsid w:val="0062075B"/>
    <w:rsid w:val="00626445"/>
    <w:rsid w:val="0063587B"/>
    <w:rsid w:val="00636111"/>
    <w:rsid w:val="006478BB"/>
    <w:rsid w:val="00651BE3"/>
    <w:rsid w:val="0066530B"/>
    <w:rsid w:val="0067687F"/>
    <w:rsid w:val="00683655"/>
    <w:rsid w:val="006965AA"/>
    <w:rsid w:val="006C77E6"/>
    <w:rsid w:val="006D0931"/>
    <w:rsid w:val="006E62F1"/>
    <w:rsid w:val="0070080E"/>
    <w:rsid w:val="0074232C"/>
    <w:rsid w:val="0074520B"/>
    <w:rsid w:val="0076507B"/>
    <w:rsid w:val="007755C6"/>
    <w:rsid w:val="00775944"/>
    <w:rsid w:val="007819EC"/>
    <w:rsid w:val="00786863"/>
    <w:rsid w:val="00794D1B"/>
    <w:rsid w:val="007966C4"/>
    <w:rsid w:val="007A2489"/>
    <w:rsid w:val="007A513E"/>
    <w:rsid w:val="007D2913"/>
    <w:rsid w:val="007D346F"/>
    <w:rsid w:val="007E2810"/>
    <w:rsid w:val="007E52C3"/>
    <w:rsid w:val="007F063F"/>
    <w:rsid w:val="007F0C2B"/>
    <w:rsid w:val="007F1F0B"/>
    <w:rsid w:val="0080658E"/>
    <w:rsid w:val="0081651C"/>
    <w:rsid w:val="00817052"/>
    <w:rsid w:val="00822921"/>
    <w:rsid w:val="00824060"/>
    <w:rsid w:val="00843C89"/>
    <w:rsid w:val="008617A1"/>
    <w:rsid w:val="008624D0"/>
    <w:rsid w:val="00862A9F"/>
    <w:rsid w:val="00870592"/>
    <w:rsid w:val="008713C0"/>
    <w:rsid w:val="008723D3"/>
    <w:rsid w:val="00872AA3"/>
    <w:rsid w:val="0087349B"/>
    <w:rsid w:val="008829AE"/>
    <w:rsid w:val="0088599C"/>
    <w:rsid w:val="0088723E"/>
    <w:rsid w:val="00891CDE"/>
    <w:rsid w:val="008A16ED"/>
    <w:rsid w:val="008B35C6"/>
    <w:rsid w:val="008D4780"/>
    <w:rsid w:val="008D4E9C"/>
    <w:rsid w:val="00902887"/>
    <w:rsid w:val="0094076D"/>
    <w:rsid w:val="00975507"/>
    <w:rsid w:val="00976D65"/>
    <w:rsid w:val="0098540C"/>
    <w:rsid w:val="00987F4A"/>
    <w:rsid w:val="00990E9E"/>
    <w:rsid w:val="009A5DBD"/>
    <w:rsid w:val="009B3A19"/>
    <w:rsid w:val="009B5C80"/>
    <w:rsid w:val="009C2FD8"/>
    <w:rsid w:val="009C62D3"/>
    <w:rsid w:val="009D2E0C"/>
    <w:rsid w:val="009D2EBF"/>
    <w:rsid w:val="009E566A"/>
    <w:rsid w:val="009F0906"/>
    <w:rsid w:val="00A23A43"/>
    <w:rsid w:val="00A418A8"/>
    <w:rsid w:val="00A41ED8"/>
    <w:rsid w:val="00A604F2"/>
    <w:rsid w:val="00A60567"/>
    <w:rsid w:val="00A6586F"/>
    <w:rsid w:val="00A708C6"/>
    <w:rsid w:val="00A849CB"/>
    <w:rsid w:val="00A969D0"/>
    <w:rsid w:val="00AA0734"/>
    <w:rsid w:val="00AA3176"/>
    <w:rsid w:val="00AC2267"/>
    <w:rsid w:val="00AC7AD7"/>
    <w:rsid w:val="00AD6007"/>
    <w:rsid w:val="00AE1144"/>
    <w:rsid w:val="00AF1BA6"/>
    <w:rsid w:val="00AF74C3"/>
    <w:rsid w:val="00B036BB"/>
    <w:rsid w:val="00B300EE"/>
    <w:rsid w:val="00B707B1"/>
    <w:rsid w:val="00B71810"/>
    <w:rsid w:val="00B815C6"/>
    <w:rsid w:val="00B8448B"/>
    <w:rsid w:val="00B8679B"/>
    <w:rsid w:val="00B932C3"/>
    <w:rsid w:val="00BA36D3"/>
    <w:rsid w:val="00BB0CDA"/>
    <w:rsid w:val="00BC102A"/>
    <w:rsid w:val="00BD40B9"/>
    <w:rsid w:val="00BD5A46"/>
    <w:rsid w:val="00BD71AA"/>
    <w:rsid w:val="00BF512E"/>
    <w:rsid w:val="00C00816"/>
    <w:rsid w:val="00C057DF"/>
    <w:rsid w:val="00C07229"/>
    <w:rsid w:val="00C16CA0"/>
    <w:rsid w:val="00C3626B"/>
    <w:rsid w:val="00C5195B"/>
    <w:rsid w:val="00C52ADB"/>
    <w:rsid w:val="00C53561"/>
    <w:rsid w:val="00C53D03"/>
    <w:rsid w:val="00C550F2"/>
    <w:rsid w:val="00C75954"/>
    <w:rsid w:val="00C7696D"/>
    <w:rsid w:val="00C776E7"/>
    <w:rsid w:val="00C77A08"/>
    <w:rsid w:val="00C9205D"/>
    <w:rsid w:val="00C9234E"/>
    <w:rsid w:val="00C9514A"/>
    <w:rsid w:val="00CA200C"/>
    <w:rsid w:val="00CB0190"/>
    <w:rsid w:val="00CB560A"/>
    <w:rsid w:val="00CC3ADB"/>
    <w:rsid w:val="00CD3EB1"/>
    <w:rsid w:val="00CD5622"/>
    <w:rsid w:val="00CE08D4"/>
    <w:rsid w:val="00CF0B21"/>
    <w:rsid w:val="00CF2C18"/>
    <w:rsid w:val="00D04E66"/>
    <w:rsid w:val="00D27136"/>
    <w:rsid w:val="00D30A30"/>
    <w:rsid w:val="00D34645"/>
    <w:rsid w:val="00D4254E"/>
    <w:rsid w:val="00D65416"/>
    <w:rsid w:val="00D8083D"/>
    <w:rsid w:val="00DA0706"/>
    <w:rsid w:val="00DB16D4"/>
    <w:rsid w:val="00DC51EC"/>
    <w:rsid w:val="00DE2BD2"/>
    <w:rsid w:val="00DE6E71"/>
    <w:rsid w:val="00DE7499"/>
    <w:rsid w:val="00E003D7"/>
    <w:rsid w:val="00E027AB"/>
    <w:rsid w:val="00E10AFC"/>
    <w:rsid w:val="00E169DA"/>
    <w:rsid w:val="00E16E60"/>
    <w:rsid w:val="00E425B0"/>
    <w:rsid w:val="00E43FE0"/>
    <w:rsid w:val="00E5304E"/>
    <w:rsid w:val="00E53E02"/>
    <w:rsid w:val="00E55269"/>
    <w:rsid w:val="00E65FEE"/>
    <w:rsid w:val="00E80316"/>
    <w:rsid w:val="00EB6219"/>
    <w:rsid w:val="00EC792F"/>
    <w:rsid w:val="00EE3975"/>
    <w:rsid w:val="00EF06C0"/>
    <w:rsid w:val="00EF5A45"/>
    <w:rsid w:val="00EF5FE0"/>
    <w:rsid w:val="00F035A0"/>
    <w:rsid w:val="00F1188A"/>
    <w:rsid w:val="00F1313A"/>
    <w:rsid w:val="00F13E40"/>
    <w:rsid w:val="00F14BF4"/>
    <w:rsid w:val="00F16062"/>
    <w:rsid w:val="00F22730"/>
    <w:rsid w:val="00F30EC2"/>
    <w:rsid w:val="00F33967"/>
    <w:rsid w:val="00F40559"/>
    <w:rsid w:val="00F411DE"/>
    <w:rsid w:val="00F4688C"/>
    <w:rsid w:val="00F525BC"/>
    <w:rsid w:val="00F573A5"/>
    <w:rsid w:val="00F67DDB"/>
    <w:rsid w:val="00F76C70"/>
    <w:rsid w:val="00F94356"/>
    <w:rsid w:val="00F94C43"/>
    <w:rsid w:val="00FA5374"/>
    <w:rsid w:val="00FB10FE"/>
    <w:rsid w:val="00FB1CAD"/>
    <w:rsid w:val="00FB55B8"/>
    <w:rsid w:val="00FF47A4"/>
    <w:rsid w:val="00FF6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0FE57"/>
  <w15:docId w15:val="{990AB35C-88FB-49C7-87E6-0705EB0E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6DC4"/>
    <w:pPr>
      <w:spacing w:after="0" w:line="480" w:lineRule="auto"/>
      <w:ind w:firstLine="720"/>
    </w:pPr>
    <w:rPr>
      <w:rFonts w:ascii="Calibri" w:hAnsi="Calibri"/>
      <w:sz w:val="22"/>
    </w:rPr>
  </w:style>
  <w:style w:type="paragraph" w:styleId="Heading1">
    <w:name w:val="heading 1"/>
    <w:basedOn w:val="Normal"/>
    <w:next w:val="BodyText"/>
    <w:link w:val="Heading1Char"/>
    <w:uiPriority w:val="9"/>
    <w:qFormat/>
    <w:rsid w:val="005C5455"/>
    <w:pPr>
      <w:keepNext/>
      <w:keepLines/>
      <w:pageBreakBefore/>
      <w:spacing w:before="360" w:after="80"/>
      <w:jc w:val="center"/>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AE1144"/>
    <w:pPr>
      <w:keepNext/>
      <w:keepLines/>
      <w:spacing w:before="160" w:after="80"/>
      <w:ind w:firstLine="0"/>
      <w:outlineLvl w:val="1"/>
    </w:pPr>
    <w:rPr>
      <w:rFonts w:eastAsiaTheme="majorEastAsia" w:cstheme="majorBidi"/>
      <w:b/>
      <w:szCs w:val="32"/>
    </w:rPr>
  </w:style>
  <w:style w:type="paragraph" w:styleId="Heading3">
    <w:name w:val="heading 3"/>
    <w:basedOn w:val="Normal"/>
    <w:next w:val="BodyText"/>
    <w:link w:val="Heading3Char"/>
    <w:uiPriority w:val="9"/>
    <w:unhideWhenUsed/>
    <w:qFormat/>
    <w:rsid w:val="00AE1144"/>
    <w:pPr>
      <w:keepNext/>
      <w:keepLines/>
      <w:spacing w:before="160" w:after="80"/>
      <w:ind w:firstLine="0"/>
      <w:outlineLvl w:val="2"/>
    </w:pPr>
    <w:rPr>
      <w:rFonts w:eastAsiaTheme="majorEastAsia" w:cstheme="majorBidi"/>
      <w:b/>
      <w:i/>
      <w:szCs w:val="28"/>
    </w:rPr>
  </w:style>
  <w:style w:type="paragraph" w:styleId="Heading4">
    <w:name w:val="heading 4"/>
    <w:basedOn w:val="Normal"/>
    <w:next w:val="BodyText"/>
    <w:link w:val="Heading4Char"/>
    <w:uiPriority w:val="9"/>
    <w:unhideWhenUsed/>
    <w:rsid w:val="00D34645"/>
    <w:pPr>
      <w:keepNext/>
      <w:keepLines/>
      <w:spacing w:before="80" w:after="40"/>
      <w:outlineLvl w:val="3"/>
    </w:pPr>
    <w:rPr>
      <w:rFonts w:eastAsiaTheme="majorEastAsia" w:cstheme="majorBidi"/>
      <w:b/>
      <w:i/>
      <w:iCs/>
    </w:rPr>
  </w:style>
  <w:style w:type="paragraph" w:styleId="Heading5">
    <w:name w:val="heading 5"/>
    <w:basedOn w:val="Normal"/>
    <w:next w:val="BodyText"/>
    <w:link w:val="Heading5Char"/>
    <w:uiPriority w:val="9"/>
    <w:semiHidden/>
    <w:unhideWhenUsed/>
    <w:qFormat/>
    <w:rsid w:val="007819EC"/>
    <w:pPr>
      <w:keepNext/>
      <w:keepLines/>
      <w:spacing w:before="80" w:after="40"/>
      <w:outlineLvl w:val="4"/>
    </w:pPr>
    <w:rPr>
      <w:rFonts w:eastAsiaTheme="majorEastAsia" w:cstheme="majorBidi"/>
      <w:i/>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C6DC4"/>
  </w:style>
  <w:style w:type="paragraph" w:customStyle="1" w:styleId="FirstParagraph">
    <w:name w:val="First Paragraph"/>
    <w:basedOn w:val="BodyText"/>
    <w:next w:val="BodyText"/>
    <w:qFormat/>
    <w:rsid w:val="00902887"/>
  </w:style>
  <w:style w:type="paragraph" w:customStyle="1" w:styleId="Compact">
    <w:name w:val="Compact"/>
    <w:basedOn w:val="BodyText"/>
    <w:qFormat/>
    <w:rsid w:val="00F13E40"/>
    <w:pPr>
      <w:spacing w:after="60" w:line="240" w:lineRule="auto"/>
      <w:ind w:firstLine="0"/>
    </w:pPr>
    <w:rPr>
      <w:sz w:val="20"/>
    </w:rPr>
  </w:style>
  <w:style w:type="paragraph" w:styleId="Title">
    <w:name w:val="Title"/>
    <w:basedOn w:val="Normal"/>
    <w:next w:val="BodyText"/>
    <w:link w:val="TitleChar"/>
    <w:uiPriority w:val="10"/>
    <w:qFormat/>
    <w:rsid w:val="00902887"/>
    <w:pPr>
      <w:spacing w:after="80"/>
      <w:contextualSpacing/>
      <w:jc w:val="center"/>
    </w:pPr>
    <w:rPr>
      <w:rFonts w:eastAsiaTheme="majorEastAsia" w:cstheme="majorBidi"/>
      <w:b/>
      <w:szCs w:val="56"/>
    </w:rPr>
  </w:style>
  <w:style w:type="character" w:customStyle="1" w:styleId="TitleChar">
    <w:name w:val="Title Char"/>
    <w:basedOn w:val="DefaultParagraphFont"/>
    <w:link w:val="Title"/>
    <w:uiPriority w:val="10"/>
    <w:rsid w:val="00902887"/>
    <w:rPr>
      <w:rFonts w:ascii="Calibri" w:eastAsiaTheme="majorEastAsia" w:hAnsi="Calibri" w:cstheme="majorBidi"/>
      <w:b/>
      <w:sz w:val="22"/>
      <w:szCs w:val="56"/>
    </w:rPr>
  </w:style>
  <w:style w:type="paragraph" w:styleId="Subtitle">
    <w:name w:val="Subtitle"/>
    <w:basedOn w:val="Title"/>
    <w:next w:val="BodyText"/>
    <w:link w:val="SubtitleChar"/>
    <w:uiPriority w:val="11"/>
    <w:rsid w:val="00902887"/>
    <w:pPr>
      <w:numPr>
        <w:ilvl w:val="1"/>
      </w:numPr>
      <w:ind w:firstLine="720"/>
    </w:pPr>
    <w:rPr>
      <w:spacing w:val="15"/>
      <w:szCs w:val="28"/>
    </w:rPr>
  </w:style>
  <w:style w:type="character" w:customStyle="1" w:styleId="SubtitleChar">
    <w:name w:val="Subtitle Char"/>
    <w:basedOn w:val="DefaultParagraphFont"/>
    <w:link w:val="Subtitle"/>
    <w:uiPriority w:val="11"/>
    <w:rsid w:val="00902887"/>
    <w:rPr>
      <w:rFonts w:ascii="Calibri" w:eastAsiaTheme="majorEastAsia" w:hAnsi="Calibri" w:cstheme="majorBidi"/>
      <w:b/>
      <w:spacing w:val="15"/>
      <w:sz w:val="22"/>
      <w:szCs w:val="28"/>
    </w:rPr>
  </w:style>
  <w:style w:type="paragraph" w:customStyle="1" w:styleId="Author">
    <w:name w:val="Author"/>
    <w:basedOn w:val="Title"/>
    <w:next w:val="BodyText"/>
    <w:qFormat/>
    <w:rsid w:val="00902887"/>
    <w:pPr>
      <w:keepNext/>
      <w:keepLines/>
    </w:pPr>
    <w:rPr>
      <w:szCs w:val="24"/>
    </w:rPr>
  </w:style>
  <w:style w:type="paragraph" w:styleId="Date">
    <w:name w:val="Date"/>
    <w:basedOn w:val="Title"/>
    <w:next w:val="BodyText"/>
    <w:qFormat/>
    <w:rsid w:val="0013745B"/>
    <w:pPr>
      <w:keepNext/>
      <w:keepLines/>
    </w:pPr>
    <w:rPr>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rsid w:val="00A708C6"/>
    <w:pPr>
      <w:keepNext/>
      <w:keepLines/>
      <w:ind w:firstLine="0"/>
    </w:pPr>
    <w:rPr>
      <w:szCs w:val="20"/>
    </w:rPr>
  </w:style>
  <w:style w:type="paragraph" w:styleId="Bibliography">
    <w:name w:val="Bibliography"/>
    <w:basedOn w:val="Normal"/>
    <w:qFormat/>
    <w:rsid w:val="00B71810"/>
    <w:pPr>
      <w:ind w:left="720" w:hanging="720"/>
    </w:pPr>
  </w:style>
  <w:style w:type="character" w:customStyle="1" w:styleId="Heading1Char">
    <w:name w:val="Heading 1 Char"/>
    <w:basedOn w:val="DefaultParagraphFont"/>
    <w:link w:val="Heading1"/>
    <w:uiPriority w:val="9"/>
    <w:rsid w:val="005C5455"/>
    <w:rPr>
      <w:rFonts w:ascii="Calibri" w:eastAsiaTheme="majorEastAsia" w:hAnsi="Calibri" w:cstheme="majorBidi"/>
      <w:b/>
      <w:sz w:val="22"/>
      <w:szCs w:val="40"/>
    </w:rPr>
  </w:style>
  <w:style w:type="character" w:customStyle="1" w:styleId="Heading2Char">
    <w:name w:val="Heading 2 Char"/>
    <w:basedOn w:val="DefaultParagraphFont"/>
    <w:link w:val="Heading2"/>
    <w:uiPriority w:val="9"/>
    <w:rsid w:val="00AE1144"/>
    <w:rPr>
      <w:rFonts w:ascii="Calibri" w:eastAsiaTheme="majorEastAsia" w:hAnsi="Calibri" w:cstheme="majorBidi"/>
      <w:b/>
      <w:sz w:val="22"/>
      <w:szCs w:val="32"/>
    </w:rPr>
  </w:style>
  <w:style w:type="character" w:customStyle="1" w:styleId="Heading3Char">
    <w:name w:val="Heading 3 Char"/>
    <w:basedOn w:val="DefaultParagraphFont"/>
    <w:link w:val="Heading3"/>
    <w:uiPriority w:val="9"/>
    <w:rsid w:val="00AE1144"/>
    <w:rPr>
      <w:rFonts w:ascii="Calibri" w:eastAsiaTheme="majorEastAsia" w:hAnsi="Calibri" w:cstheme="majorBidi"/>
      <w:b/>
      <w:i/>
      <w:sz w:val="22"/>
      <w:szCs w:val="28"/>
    </w:rPr>
  </w:style>
  <w:style w:type="character" w:customStyle="1" w:styleId="Heading4Char">
    <w:name w:val="Heading 4 Char"/>
    <w:basedOn w:val="DefaultParagraphFont"/>
    <w:link w:val="Heading4"/>
    <w:uiPriority w:val="9"/>
    <w:rsid w:val="00D34645"/>
    <w:rPr>
      <w:rFonts w:ascii="Calibri" w:eastAsiaTheme="majorEastAsia" w:hAnsi="Calibri" w:cstheme="majorBidi"/>
      <w:b/>
      <w:i/>
      <w:iCs/>
      <w:sz w:val="22"/>
    </w:rPr>
  </w:style>
  <w:style w:type="character" w:customStyle="1" w:styleId="Heading5Char">
    <w:name w:val="Heading 5 Char"/>
    <w:basedOn w:val="DefaultParagraphFont"/>
    <w:link w:val="Heading5"/>
    <w:uiPriority w:val="9"/>
    <w:semiHidden/>
    <w:rsid w:val="007819EC"/>
    <w:rPr>
      <w:rFonts w:ascii="Calibri" w:eastAsiaTheme="majorEastAsia" w:hAnsi="Calibri" w:cstheme="majorBidi"/>
      <w:i/>
      <w:sz w:val="22"/>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872AA3"/>
    <w:pPr>
      <w:ind w:left="475" w:right="475"/>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A418A8"/>
    <w:pPr>
      <w:keepNext/>
      <w:ind w:firstLine="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02887"/>
    <w:rPr>
      <w:rFonts w:ascii="Calibri" w:hAnsi="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902887"/>
    <w:rPr>
      <w:color w:val="auto"/>
    </w:rPr>
  </w:style>
  <w:style w:type="paragraph" w:styleId="TOCHeading">
    <w:name w:val="TOC Heading"/>
    <w:basedOn w:val="Heading1"/>
    <w:next w:val="BodyText"/>
    <w:uiPriority w:val="39"/>
    <w:unhideWhenUsed/>
    <w:rsid w:val="00794D1B"/>
    <w:pPr>
      <w:spacing w:before="240" w:line="259" w:lineRule="auto"/>
      <w:outlineLvl w:val="9"/>
    </w:pPr>
    <w:rPr>
      <w:rFonts w:asciiTheme="majorHAnsi" w:hAnsiTheme="majorHAnsi"/>
    </w:rPr>
  </w:style>
  <w:style w:type="paragraph" w:styleId="NoteHeading">
    <w:name w:val="Note Heading"/>
    <w:basedOn w:val="Normal"/>
    <w:next w:val="Normal"/>
    <w:link w:val="NoteHeadingChar"/>
    <w:rsid w:val="001B5C84"/>
    <w:pPr>
      <w:spacing w:line="240" w:lineRule="auto"/>
    </w:pPr>
  </w:style>
  <w:style w:type="character" w:customStyle="1" w:styleId="NoteHeadingChar">
    <w:name w:val="Note Heading Char"/>
    <w:basedOn w:val="DefaultParagraphFont"/>
    <w:link w:val="NoteHeading"/>
    <w:rsid w:val="001B5C84"/>
    <w:rPr>
      <w:rFonts w:ascii="Calibri" w:hAnsi="Calibri"/>
      <w:sz w:val="22"/>
    </w:rPr>
  </w:style>
  <w:style w:type="paragraph" w:styleId="Header">
    <w:name w:val="header"/>
    <w:basedOn w:val="Normal"/>
    <w:link w:val="HeaderChar"/>
    <w:uiPriority w:val="99"/>
    <w:rsid w:val="00585FE4"/>
    <w:pPr>
      <w:tabs>
        <w:tab w:val="center" w:pos="4513"/>
        <w:tab w:val="right" w:pos="9026"/>
      </w:tabs>
      <w:spacing w:line="240" w:lineRule="auto"/>
    </w:pPr>
  </w:style>
  <w:style w:type="character" w:customStyle="1" w:styleId="HeaderChar">
    <w:name w:val="Header Char"/>
    <w:basedOn w:val="DefaultParagraphFont"/>
    <w:link w:val="Header"/>
    <w:uiPriority w:val="99"/>
    <w:rsid w:val="00585FE4"/>
    <w:rPr>
      <w:rFonts w:ascii="Calibri" w:hAnsi="Calibri"/>
      <w:sz w:val="22"/>
    </w:rPr>
  </w:style>
  <w:style w:type="paragraph" w:styleId="Footer">
    <w:name w:val="footer"/>
    <w:basedOn w:val="Normal"/>
    <w:link w:val="FooterChar"/>
    <w:uiPriority w:val="99"/>
    <w:rsid w:val="00585FE4"/>
    <w:pPr>
      <w:tabs>
        <w:tab w:val="center" w:pos="4513"/>
        <w:tab w:val="right" w:pos="9026"/>
      </w:tabs>
      <w:spacing w:line="240" w:lineRule="auto"/>
    </w:pPr>
  </w:style>
  <w:style w:type="character" w:customStyle="1" w:styleId="FooterChar">
    <w:name w:val="Footer Char"/>
    <w:basedOn w:val="DefaultParagraphFont"/>
    <w:link w:val="Footer"/>
    <w:uiPriority w:val="99"/>
    <w:rsid w:val="00585FE4"/>
    <w:rPr>
      <w:rFonts w:ascii="Calibri" w:hAnsi="Calibri"/>
      <w:sz w:val="22"/>
    </w:rPr>
  </w:style>
  <w:style w:type="paragraph" w:styleId="TOC5">
    <w:name w:val="toc 5"/>
    <w:basedOn w:val="Normal"/>
    <w:next w:val="Normal"/>
    <w:autoRedefine/>
    <w:uiPriority w:val="39"/>
    <w:rsid w:val="00D34645"/>
    <w:pPr>
      <w:spacing w:after="100"/>
      <w:ind w:left="880"/>
    </w:pPr>
    <w:rPr>
      <w:b/>
      <w: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hAnsi="Calibri"/>
      <w:b/>
      <w:color w:val="007020"/>
      <w:sz w:val="22"/>
    </w:rPr>
  </w:style>
  <w:style w:type="character" w:customStyle="1" w:styleId="DataTypeTok">
    <w:name w:val="DataTypeTok"/>
    <w:basedOn w:val="VerbatimChar"/>
    <w:rPr>
      <w:rFonts w:ascii="Calibri" w:hAnsi="Calibri"/>
      <w:color w:val="902000"/>
      <w:sz w:val="22"/>
    </w:rPr>
  </w:style>
  <w:style w:type="character" w:customStyle="1" w:styleId="DecValTok">
    <w:name w:val="DecValTok"/>
    <w:basedOn w:val="VerbatimChar"/>
    <w:rPr>
      <w:rFonts w:ascii="Calibri" w:hAnsi="Calibri"/>
      <w:color w:val="40A070"/>
      <w:sz w:val="22"/>
    </w:rPr>
  </w:style>
  <w:style w:type="character" w:customStyle="1" w:styleId="BaseNTok">
    <w:name w:val="BaseNTok"/>
    <w:basedOn w:val="VerbatimChar"/>
    <w:rPr>
      <w:rFonts w:ascii="Calibri" w:hAnsi="Calibri"/>
      <w:color w:val="40A070"/>
      <w:sz w:val="22"/>
    </w:rPr>
  </w:style>
  <w:style w:type="character" w:customStyle="1" w:styleId="FloatTok">
    <w:name w:val="FloatTok"/>
    <w:basedOn w:val="VerbatimChar"/>
    <w:rPr>
      <w:rFonts w:ascii="Calibri" w:hAnsi="Calibri"/>
      <w:color w:val="40A070"/>
      <w:sz w:val="22"/>
    </w:rPr>
  </w:style>
  <w:style w:type="character" w:customStyle="1" w:styleId="ConstantTok">
    <w:name w:val="ConstantTok"/>
    <w:basedOn w:val="VerbatimChar"/>
    <w:rPr>
      <w:rFonts w:ascii="Calibri" w:hAnsi="Calibri"/>
      <w:color w:val="880000"/>
      <w:sz w:val="22"/>
    </w:rPr>
  </w:style>
  <w:style w:type="character" w:customStyle="1" w:styleId="CharTok">
    <w:name w:val="CharTok"/>
    <w:basedOn w:val="VerbatimChar"/>
    <w:rPr>
      <w:rFonts w:ascii="Calibri" w:hAnsi="Calibri"/>
      <w:color w:val="4070A0"/>
      <w:sz w:val="22"/>
    </w:rPr>
  </w:style>
  <w:style w:type="character" w:customStyle="1" w:styleId="SpecialCharTok">
    <w:name w:val="SpecialCharTok"/>
    <w:basedOn w:val="VerbatimChar"/>
    <w:rPr>
      <w:rFonts w:ascii="Calibri" w:hAnsi="Calibri"/>
      <w:color w:val="4070A0"/>
      <w:sz w:val="22"/>
    </w:rPr>
  </w:style>
  <w:style w:type="character" w:customStyle="1" w:styleId="StringTok">
    <w:name w:val="StringTok"/>
    <w:basedOn w:val="VerbatimChar"/>
    <w:rPr>
      <w:rFonts w:ascii="Calibri" w:hAnsi="Calibri"/>
      <w:color w:val="4070A0"/>
      <w:sz w:val="22"/>
    </w:rPr>
  </w:style>
  <w:style w:type="character" w:customStyle="1" w:styleId="VerbatimStringTok">
    <w:name w:val="VerbatimStringTok"/>
    <w:basedOn w:val="VerbatimChar"/>
    <w:rPr>
      <w:rFonts w:ascii="Calibri" w:hAnsi="Calibri"/>
      <w:color w:val="4070A0"/>
      <w:sz w:val="22"/>
    </w:rPr>
  </w:style>
  <w:style w:type="character" w:customStyle="1" w:styleId="SpecialStringTok">
    <w:name w:val="SpecialStringTok"/>
    <w:basedOn w:val="VerbatimChar"/>
    <w:rPr>
      <w:rFonts w:ascii="Calibri" w:hAnsi="Calibri"/>
      <w:color w:val="BB6688"/>
      <w:sz w:val="22"/>
    </w:rPr>
  </w:style>
  <w:style w:type="character" w:customStyle="1" w:styleId="ImportTok">
    <w:name w:val="ImportTok"/>
    <w:basedOn w:val="VerbatimChar"/>
    <w:rPr>
      <w:rFonts w:ascii="Calibri" w:hAnsi="Calibri"/>
      <w:b/>
      <w:color w:val="008000"/>
      <w:sz w:val="22"/>
    </w:rPr>
  </w:style>
  <w:style w:type="character" w:customStyle="1" w:styleId="CommentTok">
    <w:name w:val="CommentTok"/>
    <w:basedOn w:val="VerbatimChar"/>
    <w:rPr>
      <w:rFonts w:ascii="Calibri" w:hAnsi="Calibri"/>
      <w:i/>
      <w:color w:val="60A0B0"/>
      <w:sz w:val="22"/>
    </w:rPr>
  </w:style>
  <w:style w:type="character" w:customStyle="1" w:styleId="DocumentationTok">
    <w:name w:val="DocumentationTok"/>
    <w:basedOn w:val="VerbatimChar"/>
    <w:rPr>
      <w:rFonts w:ascii="Calibri" w:hAnsi="Calibri"/>
      <w:i/>
      <w:color w:val="BA2121"/>
      <w:sz w:val="22"/>
    </w:rPr>
  </w:style>
  <w:style w:type="character" w:customStyle="1" w:styleId="AnnotationTok">
    <w:name w:val="AnnotationTok"/>
    <w:basedOn w:val="VerbatimChar"/>
    <w:rPr>
      <w:rFonts w:ascii="Calibri" w:hAnsi="Calibri"/>
      <w:b/>
      <w:i/>
      <w:color w:val="60A0B0"/>
      <w:sz w:val="22"/>
    </w:rPr>
  </w:style>
  <w:style w:type="character" w:customStyle="1" w:styleId="CommentVarTok">
    <w:name w:val="CommentVarTok"/>
    <w:basedOn w:val="VerbatimChar"/>
    <w:rPr>
      <w:rFonts w:ascii="Calibri" w:hAnsi="Calibri"/>
      <w:b/>
      <w:i/>
      <w:color w:val="60A0B0"/>
      <w:sz w:val="22"/>
    </w:rPr>
  </w:style>
  <w:style w:type="character" w:customStyle="1" w:styleId="OtherTok">
    <w:name w:val="OtherTok"/>
    <w:basedOn w:val="VerbatimChar"/>
    <w:rPr>
      <w:rFonts w:ascii="Calibri" w:hAnsi="Calibri"/>
      <w:color w:val="007020"/>
      <w:sz w:val="22"/>
    </w:rPr>
  </w:style>
  <w:style w:type="character" w:customStyle="1" w:styleId="FunctionTok">
    <w:name w:val="FunctionTok"/>
    <w:basedOn w:val="VerbatimChar"/>
    <w:rPr>
      <w:rFonts w:ascii="Calibri" w:hAnsi="Calibri"/>
      <w:color w:val="06287E"/>
      <w:sz w:val="22"/>
    </w:rPr>
  </w:style>
  <w:style w:type="character" w:customStyle="1" w:styleId="VariableTok">
    <w:name w:val="VariableTok"/>
    <w:basedOn w:val="VerbatimChar"/>
    <w:rPr>
      <w:rFonts w:ascii="Calibri" w:hAnsi="Calibri"/>
      <w:color w:val="19177C"/>
      <w:sz w:val="22"/>
    </w:rPr>
  </w:style>
  <w:style w:type="character" w:customStyle="1" w:styleId="ControlFlowTok">
    <w:name w:val="ControlFlowTok"/>
    <w:basedOn w:val="VerbatimChar"/>
    <w:rPr>
      <w:rFonts w:ascii="Calibri" w:hAnsi="Calibri"/>
      <w:b/>
      <w:color w:val="007020"/>
      <w:sz w:val="22"/>
    </w:rPr>
  </w:style>
  <w:style w:type="character" w:customStyle="1" w:styleId="OperatorTok">
    <w:name w:val="OperatorTok"/>
    <w:basedOn w:val="VerbatimChar"/>
    <w:rPr>
      <w:rFonts w:ascii="Calibri" w:hAnsi="Calibri"/>
      <w:color w:val="666666"/>
      <w:sz w:val="22"/>
    </w:rPr>
  </w:style>
  <w:style w:type="character" w:customStyle="1" w:styleId="BuiltInTok">
    <w:name w:val="BuiltInTok"/>
    <w:basedOn w:val="VerbatimChar"/>
    <w:rPr>
      <w:rFonts w:ascii="Calibri" w:hAnsi="Calibri"/>
      <w:color w:val="008000"/>
      <w:sz w:val="22"/>
    </w:rPr>
  </w:style>
  <w:style w:type="character" w:customStyle="1" w:styleId="ExtensionTok">
    <w:name w:val="ExtensionTok"/>
    <w:basedOn w:val="VerbatimChar"/>
    <w:rPr>
      <w:rFonts w:ascii="Calibri" w:hAnsi="Calibri"/>
      <w:sz w:val="22"/>
    </w:rPr>
  </w:style>
  <w:style w:type="character" w:customStyle="1" w:styleId="PreprocessorTok">
    <w:name w:val="PreprocessorTok"/>
    <w:basedOn w:val="VerbatimChar"/>
    <w:rPr>
      <w:rFonts w:ascii="Calibri" w:hAnsi="Calibri"/>
      <w:color w:val="BC7A00"/>
      <w:sz w:val="22"/>
    </w:rPr>
  </w:style>
  <w:style w:type="character" w:customStyle="1" w:styleId="AttributeTok">
    <w:name w:val="AttributeTok"/>
    <w:basedOn w:val="VerbatimChar"/>
    <w:rPr>
      <w:rFonts w:ascii="Calibri" w:hAnsi="Calibri"/>
      <w:color w:val="7D9029"/>
      <w:sz w:val="22"/>
    </w:rPr>
  </w:style>
  <w:style w:type="character" w:customStyle="1" w:styleId="RegionMarkerTok">
    <w:name w:val="RegionMarkerTok"/>
    <w:basedOn w:val="VerbatimChar"/>
    <w:rPr>
      <w:rFonts w:ascii="Calibri" w:hAnsi="Calibri"/>
      <w:sz w:val="22"/>
    </w:rPr>
  </w:style>
  <w:style w:type="character" w:customStyle="1" w:styleId="InformationTok">
    <w:name w:val="InformationTok"/>
    <w:basedOn w:val="VerbatimChar"/>
    <w:rPr>
      <w:rFonts w:ascii="Calibri" w:hAnsi="Calibri"/>
      <w:b/>
      <w:i/>
      <w:color w:val="60A0B0"/>
      <w:sz w:val="22"/>
    </w:rPr>
  </w:style>
  <w:style w:type="character" w:customStyle="1" w:styleId="WarningTok">
    <w:name w:val="WarningTok"/>
    <w:basedOn w:val="VerbatimChar"/>
    <w:rPr>
      <w:rFonts w:ascii="Calibri" w:hAnsi="Calibri"/>
      <w:b/>
      <w:i/>
      <w:color w:val="60A0B0"/>
      <w:sz w:val="22"/>
    </w:rPr>
  </w:style>
  <w:style w:type="character" w:customStyle="1" w:styleId="AlertTok">
    <w:name w:val="AlertTok"/>
    <w:basedOn w:val="VerbatimChar"/>
    <w:rPr>
      <w:rFonts w:ascii="Calibri" w:hAnsi="Calibri"/>
      <w:b/>
      <w:color w:val="FF0000"/>
      <w:sz w:val="22"/>
    </w:rPr>
  </w:style>
  <w:style w:type="character" w:customStyle="1" w:styleId="ErrorTok">
    <w:name w:val="ErrorTok"/>
    <w:basedOn w:val="VerbatimChar"/>
    <w:rPr>
      <w:rFonts w:ascii="Calibri" w:hAnsi="Calibri"/>
      <w:b/>
      <w:color w:val="FF0000"/>
      <w:sz w:val="22"/>
    </w:rPr>
  </w:style>
  <w:style w:type="character" w:customStyle="1" w:styleId="NormalTok">
    <w:name w:val="NormalTok"/>
    <w:basedOn w:val="VerbatimChar"/>
    <w:rPr>
      <w:rFonts w:ascii="Calibri" w:hAnsi="Calibri"/>
      <w:sz w:val="22"/>
    </w:rPr>
  </w:style>
  <w:style w:type="paragraph" w:styleId="TOC1">
    <w:name w:val="toc 1"/>
    <w:basedOn w:val="Normal"/>
    <w:next w:val="Normal"/>
    <w:autoRedefine/>
    <w:uiPriority w:val="39"/>
    <w:rsid w:val="00D8083D"/>
    <w:pPr>
      <w:spacing w:after="100"/>
    </w:pPr>
  </w:style>
  <w:style w:type="paragraph" w:styleId="TOC2">
    <w:name w:val="toc 2"/>
    <w:basedOn w:val="Normal"/>
    <w:next w:val="Normal"/>
    <w:autoRedefine/>
    <w:uiPriority w:val="39"/>
    <w:rsid w:val="00D8083D"/>
    <w:pPr>
      <w:spacing w:after="100"/>
      <w:ind w:left="220"/>
    </w:pPr>
  </w:style>
  <w:style w:type="paragraph" w:styleId="TOC3">
    <w:name w:val="toc 3"/>
    <w:basedOn w:val="Normal"/>
    <w:next w:val="Normal"/>
    <w:autoRedefine/>
    <w:uiPriority w:val="39"/>
    <w:rsid w:val="00D8083D"/>
    <w:pPr>
      <w:spacing w:after="100"/>
      <w:ind w:left="440"/>
    </w:pPr>
  </w:style>
  <w:style w:type="paragraph" w:styleId="TOC4">
    <w:name w:val="toc 4"/>
    <w:basedOn w:val="Normal"/>
    <w:next w:val="Normal"/>
    <w:autoRedefine/>
    <w:uiPriority w:val="39"/>
    <w:unhideWhenUsed/>
    <w:rsid w:val="00D8083D"/>
    <w:pPr>
      <w:spacing w:after="100" w:line="278" w:lineRule="auto"/>
      <w:ind w:left="720" w:firstLine="0"/>
    </w:pPr>
    <w:rPr>
      <w:rFonts w:asciiTheme="minorHAnsi" w:hAnsiTheme="minorHAnsi"/>
      <w:kern w:val="2"/>
      <w:sz w:val="24"/>
    </w:rPr>
  </w:style>
  <w:style w:type="paragraph" w:styleId="TOC6">
    <w:name w:val="toc 6"/>
    <w:basedOn w:val="Normal"/>
    <w:next w:val="Normal"/>
    <w:autoRedefine/>
    <w:uiPriority w:val="39"/>
    <w:unhideWhenUsed/>
    <w:rsid w:val="00D8083D"/>
    <w:pPr>
      <w:spacing w:after="100" w:line="278" w:lineRule="auto"/>
      <w:ind w:left="1200" w:firstLine="0"/>
    </w:pPr>
    <w:rPr>
      <w:rFonts w:asciiTheme="minorHAnsi" w:hAnsiTheme="minorHAnsi"/>
      <w:kern w:val="2"/>
      <w:sz w:val="24"/>
    </w:rPr>
  </w:style>
  <w:style w:type="paragraph" w:styleId="TOC7">
    <w:name w:val="toc 7"/>
    <w:basedOn w:val="Normal"/>
    <w:next w:val="Normal"/>
    <w:autoRedefine/>
    <w:uiPriority w:val="39"/>
    <w:unhideWhenUsed/>
    <w:rsid w:val="00D8083D"/>
    <w:pPr>
      <w:spacing w:after="100" w:line="278" w:lineRule="auto"/>
      <w:ind w:left="1440" w:firstLine="0"/>
    </w:pPr>
    <w:rPr>
      <w:rFonts w:asciiTheme="minorHAnsi" w:hAnsiTheme="minorHAnsi"/>
      <w:kern w:val="2"/>
      <w:sz w:val="24"/>
    </w:rPr>
  </w:style>
  <w:style w:type="paragraph" w:styleId="TOC8">
    <w:name w:val="toc 8"/>
    <w:basedOn w:val="Normal"/>
    <w:next w:val="Normal"/>
    <w:autoRedefine/>
    <w:uiPriority w:val="39"/>
    <w:unhideWhenUsed/>
    <w:rsid w:val="00D8083D"/>
    <w:pPr>
      <w:spacing w:after="100" w:line="278" w:lineRule="auto"/>
      <w:ind w:left="1680" w:firstLine="0"/>
    </w:pPr>
    <w:rPr>
      <w:rFonts w:asciiTheme="minorHAnsi" w:hAnsiTheme="minorHAnsi"/>
      <w:kern w:val="2"/>
      <w:sz w:val="24"/>
    </w:rPr>
  </w:style>
  <w:style w:type="paragraph" w:styleId="TOC9">
    <w:name w:val="toc 9"/>
    <w:basedOn w:val="Normal"/>
    <w:next w:val="Normal"/>
    <w:autoRedefine/>
    <w:uiPriority w:val="39"/>
    <w:unhideWhenUsed/>
    <w:rsid w:val="00D8083D"/>
    <w:pPr>
      <w:spacing w:after="100" w:line="278" w:lineRule="auto"/>
      <w:ind w:left="1920" w:firstLine="0"/>
    </w:pPr>
    <w:rPr>
      <w:rFonts w:asciiTheme="minorHAnsi" w:hAnsiTheme="minorHAnsi"/>
      <w:kern w:val="2"/>
      <w:sz w:val="24"/>
    </w:rPr>
  </w:style>
  <w:style w:type="character" w:styleId="UnresolvedMention">
    <w:name w:val="Unresolved Mention"/>
    <w:basedOn w:val="DefaultParagraphFont"/>
    <w:uiPriority w:val="99"/>
    <w:semiHidden/>
    <w:unhideWhenUsed/>
    <w:rsid w:val="00D8083D"/>
    <w:rPr>
      <w:color w:val="605E5C"/>
      <w:shd w:val="clear" w:color="auto" w:fill="E1DFDD"/>
    </w:rPr>
  </w:style>
  <w:style w:type="paragraph" w:customStyle="1" w:styleId="Tableid">
    <w:name w:val="Table id"/>
    <w:basedOn w:val="BodyText"/>
    <w:link w:val="TableidChar"/>
    <w:qFormat/>
    <w:rsid w:val="00A418A8"/>
    <w:pPr>
      <w:ind w:firstLine="0"/>
    </w:pPr>
    <w:rPr>
      <w:b/>
      <w:bCs/>
    </w:rPr>
  </w:style>
  <w:style w:type="character" w:customStyle="1" w:styleId="BodyTextChar">
    <w:name w:val="Body Text Char"/>
    <w:basedOn w:val="DefaultParagraphFont"/>
    <w:link w:val="BodyText"/>
    <w:rsid w:val="00A418A8"/>
    <w:rPr>
      <w:rFonts w:ascii="Calibri" w:hAnsi="Calibri"/>
      <w:sz w:val="22"/>
    </w:rPr>
  </w:style>
  <w:style w:type="character" w:customStyle="1" w:styleId="TableidChar">
    <w:name w:val="Table id Char"/>
    <w:basedOn w:val="BodyTextChar"/>
    <w:link w:val="Tableid"/>
    <w:rsid w:val="00A418A8"/>
    <w:rPr>
      <w:rFonts w:ascii="Calibri" w:hAnsi="Calibri"/>
      <w:b/>
      <w:bCs/>
      <w:sz w:val="22"/>
    </w:rPr>
  </w:style>
  <w:style w:type="character" w:styleId="CommentReference">
    <w:name w:val="annotation reference"/>
    <w:basedOn w:val="DefaultParagraphFont"/>
    <w:rsid w:val="00F94C43"/>
    <w:rPr>
      <w:sz w:val="16"/>
      <w:szCs w:val="16"/>
    </w:rPr>
  </w:style>
  <w:style w:type="paragraph" w:styleId="CommentText">
    <w:name w:val="annotation text"/>
    <w:basedOn w:val="Normal"/>
    <w:link w:val="CommentTextChar"/>
    <w:rsid w:val="00F94C43"/>
    <w:pPr>
      <w:spacing w:line="240" w:lineRule="auto"/>
    </w:pPr>
    <w:rPr>
      <w:sz w:val="20"/>
      <w:szCs w:val="20"/>
    </w:rPr>
  </w:style>
  <w:style w:type="character" w:customStyle="1" w:styleId="CommentTextChar">
    <w:name w:val="Comment Text Char"/>
    <w:basedOn w:val="DefaultParagraphFont"/>
    <w:link w:val="CommentText"/>
    <w:rsid w:val="00F94C43"/>
    <w:rPr>
      <w:rFonts w:ascii="Calibri" w:hAnsi="Calibri"/>
      <w:sz w:val="20"/>
      <w:szCs w:val="20"/>
    </w:rPr>
  </w:style>
  <w:style w:type="paragraph" w:styleId="CommentSubject">
    <w:name w:val="annotation subject"/>
    <w:basedOn w:val="CommentText"/>
    <w:next w:val="CommentText"/>
    <w:link w:val="CommentSubjectChar"/>
    <w:rsid w:val="00F94C43"/>
    <w:rPr>
      <w:b/>
      <w:bCs/>
    </w:rPr>
  </w:style>
  <w:style w:type="character" w:customStyle="1" w:styleId="CommentSubjectChar">
    <w:name w:val="Comment Subject Char"/>
    <w:basedOn w:val="CommentTextChar"/>
    <w:link w:val="CommentSubject"/>
    <w:rsid w:val="00F94C43"/>
    <w:rPr>
      <w:rFonts w:ascii="Calibri" w:hAnsi="Calibri"/>
      <w:b/>
      <w:bCs/>
      <w:sz w:val="20"/>
      <w:szCs w:val="20"/>
    </w:rPr>
  </w:style>
  <w:style w:type="paragraph" w:styleId="Revision">
    <w:name w:val="Revision"/>
    <w:hidden/>
    <w:rsid w:val="00AF1BA6"/>
    <w:pPr>
      <w:spacing w:after="0"/>
    </w:pPr>
    <w:rPr>
      <w:rFonts w:ascii="Calibri" w:hAnsi="Calibri"/>
      <w:sz w:val="22"/>
    </w:rPr>
  </w:style>
  <w:style w:type="character" w:styleId="FollowedHyperlink">
    <w:name w:val="FollowedHyperlink"/>
    <w:basedOn w:val="DefaultParagraphFont"/>
    <w:rsid w:val="009A5D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839">
      <w:bodyDiv w:val="1"/>
      <w:marLeft w:val="0"/>
      <w:marRight w:val="0"/>
      <w:marTop w:val="0"/>
      <w:marBottom w:val="0"/>
      <w:divBdr>
        <w:top w:val="none" w:sz="0" w:space="0" w:color="auto"/>
        <w:left w:val="none" w:sz="0" w:space="0" w:color="auto"/>
        <w:bottom w:val="none" w:sz="0" w:space="0" w:color="auto"/>
        <w:right w:val="none" w:sz="0" w:space="0" w:color="auto"/>
      </w:divBdr>
      <w:divsChild>
        <w:div w:id="880435820">
          <w:marLeft w:val="0"/>
          <w:marRight w:val="0"/>
          <w:marTop w:val="0"/>
          <w:marBottom w:val="0"/>
          <w:divBdr>
            <w:top w:val="none" w:sz="0" w:space="0" w:color="auto"/>
            <w:left w:val="none" w:sz="0" w:space="0" w:color="auto"/>
            <w:bottom w:val="none" w:sz="0" w:space="0" w:color="auto"/>
            <w:right w:val="none" w:sz="0" w:space="0" w:color="auto"/>
          </w:divBdr>
        </w:div>
      </w:divsChild>
    </w:div>
    <w:div w:id="271471912">
      <w:bodyDiv w:val="1"/>
      <w:marLeft w:val="0"/>
      <w:marRight w:val="0"/>
      <w:marTop w:val="0"/>
      <w:marBottom w:val="0"/>
      <w:divBdr>
        <w:top w:val="none" w:sz="0" w:space="0" w:color="auto"/>
        <w:left w:val="none" w:sz="0" w:space="0" w:color="auto"/>
        <w:bottom w:val="none" w:sz="0" w:space="0" w:color="auto"/>
        <w:right w:val="none" w:sz="0" w:space="0" w:color="auto"/>
      </w:divBdr>
    </w:div>
    <w:div w:id="942303394">
      <w:bodyDiv w:val="1"/>
      <w:marLeft w:val="0"/>
      <w:marRight w:val="0"/>
      <w:marTop w:val="0"/>
      <w:marBottom w:val="0"/>
      <w:divBdr>
        <w:top w:val="none" w:sz="0" w:space="0" w:color="auto"/>
        <w:left w:val="none" w:sz="0" w:space="0" w:color="auto"/>
        <w:bottom w:val="none" w:sz="0" w:space="0" w:color="auto"/>
        <w:right w:val="none" w:sz="0" w:space="0" w:color="auto"/>
      </w:divBdr>
      <w:divsChild>
        <w:div w:id="823086934">
          <w:marLeft w:val="0"/>
          <w:marRight w:val="0"/>
          <w:marTop w:val="0"/>
          <w:marBottom w:val="0"/>
          <w:divBdr>
            <w:top w:val="none" w:sz="0" w:space="0" w:color="auto"/>
            <w:left w:val="none" w:sz="0" w:space="0" w:color="auto"/>
            <w:bottom w:val="none" w:sz="0" w:space="0" w:color="auto"/>
            <w:right w:val="none" w:sz="0" w:space="0" w:color="auto"/>
          </w:divBdr>
        </w:div>
      </w:divsChild>
    </w:div>
    <w:div w:id="1031541206">
      <w:bodyDiv w:val="1"/>
      <w:marLeft w:val="0"/>
      <w:marRight w:val="0"/>
      <w:marTop w:val="0"/>
      <w:marBottom w:val="0"/>
      <w:divBdr>
        <w:top w:val="none" w:sz="0" w:space="0" w:color="auto"/>
        <w:left w:val="none" w:sz="0" w:space="0" w:color="auto"/>
        <w:bottom w:val="none" w:sz="0" w:space="0" w:color="auto"/>
        <w:right w:val="none" w:sz="0" w:space="0" w:color="auto"/>
      </w:divBdr>
    </w:div>
    <w:div w:id="1474831650">
      <w:bodyDiv w:val="1"/>
      <w:marLeft w:val="0"/>
      <w:marRight w:val="0"/>
      <w:marTop w:val="0"/>
      <w:marBottom w:val="0"/>
      <w:divBdr>
        <w:top w:val="none" w:sz="0" w:space="0" w:color="auto"/>
        <w:left w:val="none" w:sz="0" w:space="0" w:color="auto"/>
        <w:bottom w:val="none" w:sz="0" w:space="0" w:color="auto"/>
        <w:right w:val="none" w:sz="0" w:space="0" w:color="auto"/>
      </w:divBdr>
    </w:div>
    <w:div w:id="1754661380">
      <w:bodyDiv w:val="1"/>
      <w:marLeft w:val="0"/>
      <w:marRight w:val="0"/>
      <w:marTop w:val="0"/>
      <w:marBottom w:val="0"/>
      <w:divBdr>
        <w:top w:val="none" w:sz="0" w:space="0" w:color="auto"/>
        <w:left w:val="none" w:sz="0" w:space="0" w:color="auto"/>
        <w:bottom w:val="none" w:sz="0" w:space="0" w:color="auto"/>
        <w:right w:val="none" w:sz="0" w:space="0" w:color="auto"/>
      </w:divBdr>
      <w:divsChild>
        <w:div w:id="887035995">
          <w:marLeft w:val="0"/>
          <w:marRight w:val="0"/>
          <w:marTop w:val="0"/>
          <w:marBottom w:val="0"/>
          <w:divBdr>
            <w:top w:val="none" w:sz="0" w:space="0" w:color="auto"/>
            <w:left w:val="none" w:sz="0" w:space="0" w:color="auto"/>
            <w:bottom w:val="none" w:sz="0" w:space="0" w:color="auto"/>
            <w:right w:val="none" w:sz="0" w:space="0" w:color="auto"/>
          </w:divBdr>
        </w:div>
      </w:divsChild>
    </w:div>
    <w:div w:id="1987662409">
      <w:bodyDiv w:val="1"/>
      <w:marLeft w:val="0"/>
      <w:marRight w:val="0"/>
      <w:marTop w:val="0"/>
      <w:marBottom w:val="0"/>
      <w:divBdr>
        <w:top w:val="none" w:sz="0" w:space="0" w:color="auto"/>
        <w:left w:val="none" w:sz="0" w:space="0" w:color="auto"/>
        <w:bottom w:val="none" w:sz="0" w:space="0" w:color="auto"/>
        <w:right w:val="none" w:sz="0" w:space="0" w:color="auto"/>
      </w:divBdr>
      <w:divsChild>
        <w:div w:id="1682001184">
          <w:marLeft w:val="0"/>
          <w:marRight w:val="0"/>
          <w:marTop w:val="0"/>
          <w:marBottom w:val="0"/>
          <w:divBdr>
            <w:top w:val="none" w:sz="0" w:space="0" w:color="auto"/>
            <w:left w:val="none" w:sz="0" w:space="0" w:color="auto"/>
            <w:bottom w:val="none" w:sz="0" w:space="0" w:color="auto"/>
            <w:right w:val="none" w:sz="0" w:space="0" w:color="auto"/>
          </w:divBdr>
        </w:div>
      </w:divsChild>
    </w:div>
    <w:div w:id="20963934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0033-2909.127.2.267" TargetMode="External"/><Relationship Id="rId299" Type="http://schemas.openxmlformats.org/officeDocument/2006/relationships/hyperlink" Target="https://doi.org/10.1111/j.1540-6261.2006.00885.x" TargetMode="External"/><Relationship Id="rId21" Type="http://schemas.openxmlformats.org/officeDocument/2006/relationships/hyperlink" Target="https://doi.org/10.1257/000282803322655392" TargetMode="External"/><Relationship Id="rId63" Type="http://schemas.openxmlformats.org/officeDocument/2006/relationships/hyperlink" Target="https://www.worldcat.org/oclc/706020998" TargetMode="External"/><Relationship Id="rId159" Type="http://schemas.openxmlformats.org/officeDocument/2006/relationships/hyperlink" Target="https://doi.org/10.1037/0033-2909.127.2.267" TargetMode="External"/><Relationship Id="rId324" Type="http://schemas.openxmlformats.org/officeDocument/2006/relationships/hyperlink" Target="https://www.anthropic.com" TargetMode="External"/><Relationship Id="rId366" Type="http://schemas.openxmlformats.org/officeDocument/2006/relationships/hyperlink" Target="https://dx.doi.org/10.2139/ssrn.3825110" TargetMode="External"/><Relationship Id="rId170" Type="http://schemas.openxmlformats.org/officeDocument/2006/relationships/hyperlink" Target="https://doi.org/10.1146/annurev-financial-092214-043752" TargetMode="External"/><Relationship Id="rId226" Type="http://schemas.openxmlformats.org/officeDocument/2006/relationships/hyperlink" Target="https://doi.org/10.1287/mnsc.33.11.1404" TargetMode="External"/><Relationship Id="rId268" Type="http://schemas.openxmlformats.org/officeDocument/2006/relationships/hyperlink" Target="https://doi.org/10.1287/mnsc.39.1.17" TargetMode="External"/><Relationship Id="rId32" Type="http://schemas.openxmlformats.org/officeDocument/2006/relationships/hyperlink" Target="https://doi.org/10.1093/rfs/hhm079" TargetMode="External"/><Relationship Id="rId74" Type="http://schemas.openxmlformats.org/officeDocument/2006/relationships/hyperlink" Target="https://doi.org/10.1016/j.dss.2008.07.010" TargetMode="External"/><Relationship Id="rId128" Type="http://schemas.openxmlformats.org/officeDocument/2006/relationships/hyperlink" Target="https://doi.org/10.1111/j.1540-6261.2006.00885.x" TargetMode="External"/><Relationship Id="rId335" Type="http://schemas.openxmlformats.org/officeDocument/2006/relationships/hyperlink" Target="https://doi.org/10.1198/jbes.2010.07136" TargetMode="External"/><Relationship Id="rId377" Type="http://schemas.openxmlformats.org/officeDocument/2006/relationships/hyperlink" Target="https://doi.org/10.2307/1914185" TargetMode="External"/><Relationship Id="rId5" Type="http://schemas.openxmlformats.org/officeDocument/2006/relationships/webSettings" Target="webSettings.xml"/><Relationship Id="rId181" Type="http://schemas.openxmlformats.org/officeDocument/2006/relationships/hyperlink" Target="https://doi.org/10.1037/0033-295X.115.2.502" TargetMode="External"/><Relationship Id="rId237" Type="http://schemas.openxmlformats.org/officeDocument/2006/relationships/hyperlink" Target="https://doi.org/10.5465/AMR.1998.192967" TargetMode="External"/><Relationship Id="rId279" Type="http://schemas.openxmlformats.org/officeDocument/2006/relationships/hyperlink" Target="https://doi.org/10.1093/qje/qjt023" TargetMode="External"/><Relationship Id="rId43" Type="http://schemas.openxmlformats.org/officeDocument/2006/relationships/hyperlink" Target="https://dx.doi.org/10.2139/ssrn.3966758" TargetMode="External"/><Relationship Id="rId139" Type="http://schemas.openxmlformats.org/officeDocument/2006/relationships/hyperlink" Target="https://papers.ssrn.com/sol3/papers.cfm?abstract_id=2891216" TargetMode="External"/><Relationship Id="rId290" Type="http://schemas.openxmlformats.org/officeDocument/2006/relationships/hyperlink" Target="https://dx.doi.org/10.2139/ssrn.327880" TargetMode="External"/><Relationship Id="rId304" Type="http://schemas.openxmlformats.org/officeDocument/2006/relationships/hyperlink" Target="https://doi.org/10.1016/j.jet.2018.10.002" TargetMode="External"/><Relationship Id="rId346" Type="http://schemas.openxmlformats.org/officeDocument/2006/relationships/hyperlink" Target="https://doi.org/10.1093/rfs/hhn053" TargetMode="External"/><Relationship Id="rId388" Type="http://schemas.openxmlformats.org/officeDocument/2006/relationships/hyperlink" Target="https://arxiv.org/abs/2006.08097" TargetMode="External"/><Relationship Id="rId85" Type="http://schemas.openxmlformats.org/officeDocument/2006/relationships/hyperlink" Target="https://doi.org/10.1111/j.1540-6261.2006.00885.x" TargetMode="External"/><Relationship Id="rId150" Type="http://schemas.openxmlformats.org/officeDocument/2006/relationships/hyperlink" Target="https://doi.org/10.3905/jpm.1991.409343" TargetMode="External"/><Relationship Id="rId192" Type="http://schemas.openxmlformats.org/officeDocument/2006/relationships/hyperlink" Target="https://doi.org/10.1111/jofi.12699" TargetMode="External"/><Relationship Id="rId206" Type="http://schemas.openxmlformats.org/officeDocument/2006/relationships/hyperlink" Target="https://doi.org/10.1111/0022-1082.00077" TargetMode="External"/><Relationship Id="rId248" Type="http://schemas.openxmlformats.org/officeDocument/2006/relationships/hyperlink" Target="https://doi.org/10.2139/ssrn.3668963" TargetMode="External"/><Relationship Id="rId12" Type="http://schemas.microsoft.com/office/2018/08/relationships/commentsExtensible" Target="commentsExtensible.xml"/><Relationship Id="rId108" Type="http://schemas.openxmlformats.org/officeDocument/2006/relationships/hyperlink" Target="https://doi.org/10.3905/JFDS.2021.1.085" TargetMode="External"/><Relationship Id="rId315" Type="http://schemas.openxmlformats.org/officeDocument/2006/relationships/hyperlink" Target="https://www.interactivebrokers.co.uk" TargetMode="External"/><Relationship Id="rId357" Type="http://schemas.openxmlformats.org/officeDocument/2006/relationships/hyperlink" Target="https://doi.org/10.1086/294846" TargetMode="External"/><Relationship Id="rId54" Type="http://schemas.openxmlformats.org/officeDocument/2006/relationships/hyperlink" Target="https://doi.org/10.1146/annurev-financial-092214-043752" TargetMode="External"/><Relationship Id="rId96" Type="http://schemas.openxmlformats.org/officeDocument/2006/relationships/hyperlink" Target="https://doi.org/10.1016/j.dss.2008.07.010" TargetMode="External"/><Relationship Id="rId161" Type="http://schemas.openxmlformats.org/officeDocument/2006/relationships/hyperlink" Target="https://doi.org/10.1016/j.jebo.2011.08.009" TargetMode="External"/><Relationship Id="rId217" Type="http://schemas.openxmlformats.org/officeDocument/2006/relationships/hyperlink" Target="https://doi.org/10.1146/annurev-financial-092214-043752" TargetMode="External"/><Relationship Id="rId259" Type="http://schemas.openxmlformats.org/officeDocument/2006/relationships/hyperlink" Target="https://www.worldcat.org/oclc/191578377" TargetMode="External"/><Relationship Id="rId23" Type="http://schemas.openxmlformats.org/officeDocument/2006/relationships/hyperlink" Target="https://doi.org/10.1111/j.1540-6261.2007.01232.x" TargetMode="External"/><Relationship Id="rId119" Type="http://schemas.openxmlformats.org/officeDocument/2006/relationships/hyperlink" Target="https://doi.org/10.2307/1914185" TargetMode="External"/><Relationship Id="rId270" Type="http://schemas.openxmlformats.org/officeDocument/2006/relationships/hyperlink" Target="https://doi.org/10.1093/jjfinec/nby001" TargetMode="External"/><Relationship Id="rId326" Type="http://schemas.openxmlformats.org/officeDocument/2006/relationships/image" Target="media/image7.png"/><Relationship Id="rId65" Type="http://schemas.openxmlformats.org/officeDocument/2006/relationships/hyperlink" Target="https://dx.doi.org/10.2139/ssrn.327880" TargetMode="External"/><Relationship Id="rId130" Type="http://schemas.openxmlformats.org/officeDocument/2006/relationships/hyperlink" Target="https://doi.org/10.1016/j.dss.2008.07.010" TargetMode="External"/><Relationship Id="rId368" Type="http://schemas.openxmlformats.org/officeDocument/2006/relationships/hyperlink" Target="https://doi.org/10.1111/j.1540-6261.2007.01232.x" TargetMode="External"/><Relationship Id="rId172" Type="http://schemas.openxmlformats.org/officeDocument/2006/relationships/hyperlink" Target="https://doi.org/10.1093/rfs/hhm079" TargetMode="External"/><Relationship Id="rId228" Type="http://schemas.openxmlformats.org/officeDocument/2006/relationships/hyperlink" Target="https://doi.org/10.1093/qje/qjt023" TargetMode="External"/><Relationship Id="rId281" Type="http://schemas.openxmlformats.org/officeDocument/2006/relationships/hyperlink" Target="https://dx.doi.org/10.2139/ssrn.3825110" TargetMode="External"/><Relationship Id="rId337" Type="http://schemas.openxmlformats.org/officeDocument/2006/relationships/hyperlink" Target="https://doi.org/10.1016/0304-4076(85)90158-7" TargetMode="External"/><Relationship Id="rId34" Type="http://schemas.openxmlformats.org/officeDocument/2006/relationships/hyperlink" Target="https://doi.org/10.1093/rfs/hhm079" TargetMode="External"/><Relationship Id="rId76" Type="http://schemas.openxmlformats.org/officeDocument/2006/relationships/hyperlink" Target="https://doi.org/10.3905/JFDS.2021.1.085" TargetMode="External"/><Relationship Id="rId141" Type="http://schemas.openxmlformats.org/officeDocument/2006/relationships/hyperlink" Target="https://doi.org/10.2139/ssrn.3668963" TargetMode="External"/><Relationship Id="rId379" Type="http://schemas.openxmlformats.org/officeDocument/2006/relationships/hyperlink" Target="https://doi.org/10.1093/qje/qjt023" TargetMode="External"/><Relationship Id="rId7" Type="http://schemas.openxmlformats.org/officeDocument/2006/relationships/endnotes" Target="endnotes.xml"/><Relationship Id="rId183" Type="http://schemas.openxmlformats.org/officeDocument/2006/relationships/hyperlink" Target="https://doi.org/10.1162/003355301556400" TargetMode="External"/><Relationship Id="rId239" Type="http://schemas.openxmlformats.org/officeDocument/2006/relationships/hyperlink" Target="https://doi.org/10.1016/j.jebo.2021.12.007" TargetMode="External"/><Relationship Id="rId390" Type="http://schemas.openxmlformats.org/officeDocument/2006/relationships/image" Target="media/image22.png"/><Relationship Id="rId250" Type="http://schemas.openxmlformats.org/officeDocument/2006/relationships/hyperlink" Target="https://doi.org/10.1016/j.jet.2018.10.002" TargetMode="External"/><Relationship Id="rId292" Type="http://schemas.openxmlformats.org/officeDocument/2006/relationships/hyperlink" Target="https://doi.org/10.1016/j.dss.2008.07.010" TargetMode="External"/><Relationship Id="rId306" Type="http://schemas.openxmlformats.org/officeDocument/2006/relationships/hyperlink" Target="https://dx.doi.org/10.2139/ssrn.3825110" TargetMode="External"/><Relationship Id="rId45" Type="http://schemas.openxmlformats.org/officeDocument/2006/relationships/hyperlink" Target="https://doi.org/10.2139/ssrn.5122748" TargetMode="External"/><Relationship Id="rId87" Type="http://schemas.openxmlformats.org/officeDocument/2006/relationships/hyperlink" Target="https://doi.org/10.1093/qje/qjt023" TargetMode="External"/><Relationship Id="rId110" Type="http://schemas.openxmlformats.org/officeDocument/2006/relationships/hyperlink" Target="https://papers.ssrn.com/sol3/papers.cfm?abstract_id=2891216" TargetMode="External"/><Relationship Id="rId348" Type="http://schemas.openxmlformats.org/officeDocument/2006/relationships/hyperlink" Target="https://doi.org/10.1111/j.1540-6261.1985.tb05004.x" TargetMode="External"/><Relationship Id="rId152" Type="http://schemas.openxmlformats.org/officeDocument/2006/relationships/hyperlink" Target="https://doi.org/10.1146/annurev-financial-092214-043752" TargetMode="External"/><Relationship Id="rId194" Type="http://schemas.openxmlformats.org/officeDocument/2006/relationships/hyperlink" Target="https://doi.org/10.1111/jofi.12699" TargetMode="External"/><Relationship Id="rId208" Type="http://schemas.openxmlformats.org/officeDocument/2006/relationships/hyperlink" Target="https://doi.org/10.1111/j.1540-6261.1985.tb05004.x" TargetMode="External"/><Relationship Id="rId261" Type="http://schemas.openxmlformats.org/officeDocument/2006/relationships/hyperlink" Target="https://doi.org/10.2139/ssrn.3668963" TargetMode="External"/><Relationship Id="rId14" Type="http://schemas.openxmlformats.org/officeDocument/2006/relationships/hyperlink" Target="https://doi.org/10.1162/003355301556400" TargetMode="External"/><Relationship Id="rId56" Type="http://schemas.openxmlformats.org/officeDocument/2006/relationships/hyperlink" Target="https://doi.org/10.1093/qje/qjt023" TargetMode="External"/><Relationship Id="rId317" Type="http://schemas.openxmlformats.org/officeDocument/2006/relationships/hyperlink" Target="https://www.benzinga.com" TargetMode="External"/><Relationship Id="rId359" Type="http://schemas.openxmlformats.org/officeDocument/2006/relationships/hyperlink" Target="https://doi.org/10.1126/science.185.4157.1124" TargetMode="External"/><Relationship Id="rId98" Type="http://schemas.openxmlformats.org/officeDocument/2006/relationships/hyperlink" Target="https://doi.org/10.1016/j.dss.2008.07.010" TargetMode="External"/><Relationship Id="rId121" Type="http://schemas.openxmlformats.org/officeDocument/2006/relationships/hyperlink" Target="https://papers.ssrn.com/sol3/papers.cfm?abstract_id=2891216" TargetMode="External"/><Relationship Id="rId163" Type="http://schemas.openxmlformats.org/officeDocument/2006/relationships/image" Target="media/image3.png"/><Relationship Id="rId219" Type="http://schemas.openxmlformats.org/officeDocument/2006/relationships/hyperlink" Target="https://doi.org/10.1287/mnsc.39.1.17" TargetMode="External"/><Relationship Id="rId370" Type="http://schemas.openxmlformats.org/officeDocument/2006/relationships/hyperlink" Target="https://www2.uibk.ac.at/downloads/c9821000/wpaper/2020-11.pdf" TargetMode="External"/><Relationship Id="rId230" Type="http://schemas.openxmlformats.org/officeDocument/2006/relationships/hyperlink" Target="https://doi.org/10.1257/jep.21.2.129" TargetMode="External"/><Relationship Id="rId25" Type="http://schemas.openxmlformats.org/officeDocument/2006/relationships/hyperlink" Target="https://doi.org/10.1162/089892902317361877" TargetMode="External"/><Relationship Id="rId67" Type="http://schemas.openxmlformats.org/officeDocument/2006/relationships/hyperlink" Target="https://doi.org/10.1007/s12599-018-0521-9" TargetMode="External"/><Relationship Id="rId272" Type="http://schemas.openxmlformats.org/officeDocument/2006/relationships/hyperlink" Target="https://doi.org/10.1162/089892902317361877" TargetMode="External"/><Relationship Id="rId328" Type="http://schemas.openxmlformats.org/officeDocument/2006/relationships/hyperlink" Target="https://arxiv.org/abs/2006.08097" TargetMode="External"/><Relationship Id="rId132" Type="http://schemas.openxmlformats.org/officeDocument/2006/relationships/hyperlink" Target="https://dx.doi.org/10.2139/ssrn.327880" TargetMode="External"/><Relationship Id="rId174" Type="http://schemas.openxmlformats.org/officeDocument/2006/relationships/hyperlink" Target="https://doi.org/10.1037/0033-295X.115.2.502" TargetMode="External"/><Relationship Id="rId381" Type="http://schemas.openxmlformats.org/officeDocument/2006/relationships/hyperlink" Target="https://doi.org/10.1016/j.jebo.2021.12.007" TargetMode="External"/><Relationship Id="rId241" Type="http://schemas.openxmlformats.org/officeDocument/2006/relationships/hyperlink" Target="http://doi.org/10.2139/ssrn.4942370" TargetMode="External"/><Relationship Id="rId36" Type="http://schemas.openxmlformats.org/officeDocument/2006/relationships/hyperlink" Target="https://doi.org/10.1016/j.irfa.2024.103219" TargetMode="External"/><Relationship Id="rId283" Type="http://schemas.openxmlformats.org/officeDocument/2006/relationships/hyperlink" Target="https://doi.org/10.2139/ssrn.1462416" TargetMode="External"/><Relationship Id="rId339" Type="http://schemas.openxmlformats.org/officeDocument/2006/relationships/image" Target="media/image11.png"/><Relationship Id="rId78" Type="http://schemas.openxmlformats.org/officeDocument/2006/relationships/hyperlink" Target="https://dx.doi.org/10.2139/ssrn.327880" TargetMode="External"/><Relationship Id="rId101" Type="http://schemas.openxmlformats.org/officeDocument/2006/relationships/hyperlink" Target="https://doi.org/10.1111/1475-679X.12352" TargetMode="External"/><Relationship Id="rId143" Type="http://schemas.openxmlformats.org/officeDocument/2006/relationships/hyperlink" Target="https://doi.org/10.3386/w31747" TargetMode="External"/><Relationship Id="rId185" Type="http://schemas.openxmlformats.org/officeDocument/2006/relationships/hyperlink" Target="https://doi.org/10.1257/aer.89.5.1279" TargetMode="External"/><Relationship Id="rId350" Type="http://schemas.openxmlformats.org/officeDocument/2006/relationships/hyperlink" Target="https://doi.org/10.1016/j.irfa.2024.103219" TargetMode="External"/><Relationship Id="rId9" Type="http://schemas.openxmlformats.org/officeDocument/2006/relationships/comments" Target="comments.xml"/><Relationship Id="rId210" Type="http://schemas.openxmlformats.org/officeDocument/2006/relationships/hyperlink" Target="https://doi.org/10.1016/0304-405x(86)90004-8" TargetMode="External"/><Relationship Id="rId392" Type="http://schemas.openxmlformats.org/officeDocument/2006/relationships/fontTable" Target="fontTable.xml"/><Relationship Id="rId252" Type="http://schemas.openxmlformats.org/officeDocument/2006/relationships/hyperlink" Target="https://dx.doi.org/10.2139/ssrn.2932189" TargetMode="External"/><Relationship Id="rId294" Type="http://schemas.openxmlformats.org/officeDocument/2006/relationships/hyperlink" Target="https://dx.doi.org/10.2139/ssrn.2631135" TargetMode="External"/><Relationship Id="rId308" Type="http://schemas.openxmlformats.org/officeDocument/2006/relationships/image" Target="media/image5.png"/><Relationship Id="rId47" Type="http://schemas.openxmlformats.org/officeDocument/2006/relationships/hyperlink" Target="https://doi.org/10.1111/j.1540-6261.1952.tb01525.x" TargetMode="External"/><Relationship Id="rId89" Type="http://schemas.openxmlformats.org/officeDocument/2006/relationships/hyperlink" Target="https://doi.org/10.1111/j.1540-6261.2007.01232.x" TargetMode="External"/><Relationship Id="rId112" Type="http://schemas.openxmlformats.org/officeDocument/2006/relationships/hyperlink" Target="https://doi.org/10.1146/annurev-financial-092214-043752" TargetMode="External"/><Relationship Id="rId154" Type="http://schemas.openxmlformats.org/officeDocument/2006/relationships/hyperlink" Target="https://doi.org/10.1086/294846" TargetMode="External"/><Relationship Id="rId361" Type="http://schemas.openxmlformats.org/officeDocument/2006/relationships/hyperlink" Target="https://www2.uibk.ac.at/downloads/c9821000/wpaper/2020-11.pdf" TargetMode="External"/><Relationship Id="rId196" Type="http://schemas.openxmlformats.org/officeDocument/2006/relationships/hyperlink" Target="https://doi.org/10.1257/000282805774670095" TargetMode="External"/><Relationship Id="rId16" Type="http://schemas.openxmlformats.org/officeDocument/2006/relationships/hyperlink" Target="https://doi.org/10.2307/1914185" TargetMode="External"/><Relationship Id="rId221" Type="http://schemas.openxmlformats.org/officeDocument/2006/relationships/hyperlink" Target="https://doi.org/10.1016/j.jebo.2021.12.007" TargetMode="External"/><Relationship Id="rId242" Type="http://schemas.openxmlformats.org/officeDocument/2006/relationships/hyperlink" Target="https://dx.doi.org/10.2139/ssrn.3825110" TargetMode="External"/><Relationship Id="rId263" Type="http://schemas.openxmlformats.org/officeDocument/2006/relationships/hyperlink" Target="https://doi.org/10.2307/1884852" TargetMode="External"/><Relationship Id="rId284" Type="http://schemas.openxmlformats.org/officeDocument/2006/relationships/hyperlink" Target="https://dx.doi.org/10.2139/ssrn.327880" TargetMode="External"/><Relationship Id="rId319" Type="http://schemas.openxmlformats.org/officeDocument/2006/relationships/hyperlink" Target="https://arxiv.org/abs/2006.08097" TargetMode="External"/><Relationship Id="rId37" Type="http://schemas.openxmlformats.org/officeDocument/2006/relationships/hyperlink" Target="https://doi.org/10.1111/1475-679X.12352" TargetMode="External"/><Relationship Id="rId58" Type="http://schemas.openxmlformats.org/officeDocument/2006/relationships/hyperlink" Target="https://doi.org/10.1111/jofi.12699" TargetMode="External"/><Relationship Id="rId79" Type="http://schemas.openxmlformats.org/officeDocument/2006/relationships/hyperlink" Target="https://doi.org/10.2139/ssrn.3668963" TargetMode="External"/><Relationship Id="rId102" Type="http://schemas.openxmlformats.org/officeDocument/2006/relationships/hyperlink" Target="https://doi.org/10.1146/annurev-financial-092214-043752" TargetMode="External"/><Relationship Id="rId123" Type="http://schemas.openxmlformats.org/officeDocument/2006/relationships/hyperlink" Target="https://doi.org/10.1146/annurev-financial-092214-043752" TargetMode="External"/><Relationship Id="rId144" Type="http://schemas.openxmlformats.org/officeDocument/2006/relationships/hyperlink" Target="https://dx.doi.org/10.2139/ssrn.5877342" TargetMode="External"/><Relationship Id="rId330" Type="http://schemas.openxmlformats.org/officeDocument/2006/relationships/hyperlink" Target="https://doi.org/10.1037/0033-2909.127.2.267" TargetMode="External"/><Relationship Id="rId90" Type="http://schemas.openxmlformats.org/officeDocument/2006/relationships/hyperlink" Target="https://doi.org/10.1111/j.1540-6261.2011.01679.x" TargetMode="External"/><Relationship Id="rId165" Type="http://schemas.openxmlformats.org/officeDocument/2006/relationships/hyperlink" Target="https://dx.doi.org/10.2139/ssrn.327880" TargetMode="External"/><Relationship Id="rId186" Type="http://schemas.openxmlformats.org/officeDocument/2006/relationships/hyperlink" Target="https://doi.org/10.1093/rfs/14.1.1" TargetMode="External"/><Relationship Id="rId351" Type="http://schemas.openxmlformats.org/officeDocument/2006/relationships/image" Target="media/image16.png"/><Relationship Id="rId372" Type="http://schemas.openxmlformats.org/officeDocument/2006/relationships/hyperlink" Target="https://doi.org/10.1037/xge0000033" TargetMode="External"/><Relationship Id="rId393" Type="http://schemas.microsoft.com/office/2011/relationships/people" Target="people.xml"/><Relationship Id="rId211" Type="http://schemas.openxmlformats.org/officeDocument/2006/relationships/hyperlink" Target="https://doi.org/10.1016/j.irfa.2024.103219" TargetMode="External"/><Relationship Id="rId232" Type="http://schemas.openxmlformats.org/officeDocument/2006/relationships/hyperlink" Target="https://doi.org/10.2139/ssrn.3668963" TargetMode="External"/><Relationship Id="rId253" Type="http://schemas.openxmlformats.org/officeDocument/2006/relationships/hyperlink" Target="https://doi.org/10.1038/s42256-019-0048-x" TargetMode="External"/><Relationship Id="rId274" Type="http://schemas.openxmlformats.org/officeDocument/2006/relationships/hyperlink" Target="https://doi.org/10.1016/j.jebo.2021.12.007" TargetMode="External"/><Relationship Id="rId295" Type="http://schemas.openxmlformats.org/officeDocument/2006/relationships/hyperlink" Target="https://doi.org/10.2139/ssrn.327880" TargetMode="External"/><Relationship Id="rId309" Type="http://schemas.openxmlformats.org/officeDocument/2006/relationships/image" Target="media/image6.svg"/><Relationship Id="rId27" Type="http://schemas.openxmlformats.org/officeDocument/2006/relationships/hyperlink" Target="https://doi.org/10.1111/0022-1082.00338" TargetMode="External"/><Relationship Id="rId48" Type="http://schemas.openxmlformats.org/officeDocument/2006/relationships/hyperlink" Target="https://doi.org/10.1111/j.1540-6261.1970.tb00518.x" TargetMode="External"/><Relationship Id="rId69" Type="http://schemas.openxmlformats.org/officeDocument/2006/relationships/hyperlink" Target="https://dx.doi.org/10.2139/ssrn.3825110" TargetMode="External"/><Relationship Id="rId113" Type="http://schemas.openxmlformats.org/officeDocument/2006/relationships/image" Target="media/image2.png"/><Relationship Id="rId134" Type="http://schemas.openxmlformats.org/officeDocument/2006/relationships/hyperlink" Target="https://doi.org/10.1162/003355301556400" TargetMode="External"/><Relationship Id="rId320" Type="http://schemas.openxmlformats.org/officeDocument/2006/relationships/hyperlink" Target="https://www.anthropic.com" TargetMode="External"/><Relationship Id="rId80" Type="http://schemas.openxmlformats.org/officeDocument/2006/relationships/hyperlink" Target="https://doi.org/10.1080/15427560.2025.2609644" TargetMode="External"/><Relationship Id="rId155" Type="http://schemas.openxmlformats.org/officeDocument/2006/relationships/hyperlink" Target="https://doi.org/10.3905/jpm.1991.409343" TargetMode="External"/><Relationship Id="rId176" Type="http://schemas.openxmlformats.org/officeDocument/2006/relationships/hyperlink" Target="https://doi.org/10.2307/1914185" TargetMode="External"/><Relationship Id="rId197" Type="http://schemas.openxmlformats.org/officeDocument/2006/relationships/hyperlink" Target="https://doi.org/10.1073/pnas.0704025105" TargetMode="External"/><Relationship Id="rId341" Type="http://schemas.openxmlformats.org/officeDocument/2006/relationships/image" Target="media/image13.png"/><Relationship Id="rId362" Type="http://schemas.openxmlformats.org/officeDocument/2006/relationships/hyperlink" Target="https://doi.org/10.1093/qje/qjt023" TargetMode="External"/><Relationship Id="rId383" Type="http://schemas.openxmlformats.org/officeDocument/2006/relationships/hyperlink" Target="https://dx.doi.org/10.2139/ssrn.327880" TargetMode="External"/><Relationship Id="rId201" Type="http://schemas.openxmlformats.org/officeDocument/2006/relationships/hyperlink" Target="https://doi.org/10.1111/j.1540-6261.2007.01232.x" TargetMode="External"/><Relationship Id="rId222" Type="http://schemas.openxmlformats.org/officeDocument/2006/relationships/hyperlink" Target="https://doi.org/10.2307/1884852" TargetMode="External"/><Relationship Id="rId243" Type="http://schemas.openxmlformats.org/officeDocument/2006/relationships/hyperlink" Target="https://doi.org/10.2139/ssrn.3668963" TargetMode="External"/><Relationship Id="rId264" Type="http://schemas.openxmlformats.org/officeDocument/2006/relationships/hyperlink" Target="https://doi.org/10.2139/ssrn.3668963" TargetMode="External"/><Relationship Id="rId285" Type="http://schemas.openxmlformats.org/officeDocument/2006/relationships/hyperlink" Target="https://doi.org/10.1016/j.dss.2008.07.010" TargetMode="External"/><Relationship Id="rId17" Type="http://schemas.openxmlformats.org/officeDocument/2006/relationships/hyperlink" Target="https://doi.org/10.1162/003355301556400" TargetMode="External"/><Relationship Id="rId38" Type="http://schemas.openxmlformats.org/officeDocument/2006/relationships/hyperlink" Target="https://doi.org/10.1257/000282803322655392" TargetMode="External"/><Relationship Id="rId59" Type="http://schemas.openxmlformats.org/officeDocument/2006/relationships/hyperlink" Target="https://doi.org/10.1287/mnsc.2013.1751" TargetMode="External"/><Relationship Id="rId103" Type="http://schemas.openxmlformats.org/officeDocument/2006/relationships/hyperlink" Target="https://doi.org/10.2307/1914185" TargetMode="External"/><Relationship Id="rId124" Type="http://schemas.openxmlformats.org/officeDocument/2006/relationships/hyperlink" Target="https://doi.org/10.3905/JFDS.2021.1.085" TargetMode="External"/><Relationship Id="rId310" Type="http://schemas.openxmlformats.org/officeDocument/2006/relationships/hyperlink" Target="https://www.sifma.org/research/statistics/fact-book" TargetMode="External"/><Relationship Id="rId70" Type="http://schemas.openxmlformats.org/officeDocument/2006/relationships/hyperlink" Target="https://doi.org/10.1038/s42256-019-0048-x" TargetMode="External"/><Relationship Id="rId91" Type="http://schemas.openxmlformats.org/officeDocument/2006/relationships/hyperlink" Target="https://doi.org/10.1111/j.1540-6261.2006.00885.x" TargetMode="External"/><Relationship Id="rId145" Type="http://schemas.openxmlformats.org/officeDocument/2006/relationships/hyperlink" Target="https://doi.org/10.1509/jmkr.44.2.175" TargetMode="External"/><Relationship Id="rId166" Type="http://schemas.openxmlformats.org/officeDocument/2006/relationships/hyperlink" Target="https://www.worldcat.org/oclc/706020998" TargetMode="External"/><Relationship Id="rId187" Type="http://schemas.openxmlformats.org/officeDocument/2006/relationships/hyperlink" Target="https://doi.org/10.1111/0022-1082.00077" TargetMode="External"/><Relationship Id="rId331" Type="http://schemas.openxmlformats.org/officeDocument/2006/relationships/hyperlink" Target="https://doi.org/10.1093/rfs/hhm079" TargetMode="External"/><Relationship Id="rId352" Type="http://schemas.openxmlformats.org/officeDocument/2006/relationships/image" Target="media/image17.png"/><Relationship Id="rId373" Type="http://schemas.openxmlformats.org/officeDocument/2006/relationships/hyperlink" Target="https://doi.org/10.3386/w31747" TargetMode="External"/><Relationship Id="rId394"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hyperlink" Target="https://doi.org/10.1111/0022-1082.00077" TargetMode="External"/><Relationship Id="rId233" Type="http://schemas.openxmlformats.org/officeDocument/2006/relationships/hyperlink" Target="https://www.worldcat.org/oclc/1242782025" TargetMode="External"/><Relationship Id="rId254" Type="http://schemas.openxmlformats.org/officeDocument/2006/relationships/hyperlink" Target="https://doi.org/10.1037/xge0000033" TargetMode="External"/><Relationship Id="rId28" Type="http://schemas.openxmlformats.org/officeDocument/2006/relationships/hyperlink" Target="https://doi.org/10.1111/j.1540-6261.2006.00896.x" TargetMode="External"/><Relationship Id="rId49" Type="http://schemas.openxmlformats.org/officeDocument/2006/relationships/hyperlink" Target="https://doi.org/10.1086/294846" TargetMode="External"/><Relationship Id="rId114" Type="http://schemas.openxmlformats.org/officeDocument/2006/relationships/hyperlink" Target="https://www.worldcat.org/oclc/706020998" TargetMode="External"/><Relationship Id="rId275" Type="http://schemas.openxmlformats.org/officeDocument/2006/relationships/hyperlink" Target="https://doi.org/10.1016/j.jfineco.2005.05.003" TargetMode="External"/><Relationship Id="rId296" Type="http://schemas.openxmlformats.org/officeDocument/2006/relationships/hyperlink" Target="https://doi.org/10.1080/15427560.2025.2609644" TargetMode="External"/><Relationship Id="rId300" Type="http://schemas.openxmlformats.org/officeDocument/2006/relationships/hyperlink" Target="https://doi.org/10.1111/j.1540-6261.2006.00885.x" TargetMode="External"/><Relationship Id="rId60" Type="http://schemas.openxmlformats.org/officeDocument/2006/relationships/hyperlink" Target="https://dx.doi.org/10.2139/ssrn.4768248" TargetMode="External"/><Relationship Id="rId81" Type="http://schemas.openxmlformats.org/officeDocument/2006/relationships/hyperlink" Target="https://doi.org/10.1016/j.jet.2018.10.002" TargetMode="External"/><Relationship Id="rId135" Type="http://schemas.openxmlformats.org/officeDocument/2006/relationships/hyperlink" Target="http://doi.org/10.2139/ssrn.4942370" TargetMode="External"/><Relationship Id="rId156" Type="http://schemas.openxmlformats.org/officeDocument/2006/relationships/hyperlink" Target="https://doi.org/10.1016/j.jebo.2011.08.009" TargetMode="External"/><Relationship Id="rId177" Type="http://schemas.openxmlformats.org/officeDocument/2006/relationships/hyperlink" Target="https://doi.org/10.1111/j.1540-6261.2006.00896.x" TargetMode="External"/><Relationship Id="rId198" Type="http://schemas.openxmlformats.org/officeDocument/2006/relationships/hyperlink" Target="https://doi.org/10.1073/pnas.0704025105" TargetMode="External"/><Relationship Id="rId321" Type="http://schemas.openxmlformats.org/officeDocument/2006/relationships/hyperlink" Target="https://www.benzinga.com" TargetMode="External"/><Relationship Id="rId342" Type="http://schemas.openxmlformats.org/officeDocument/2006/relationships/hyperlink" Target="https://doi.org/10.1098/rsta.2015.0202" TargetMode="External"/><Relationship Id="rId363" Type="http://schemas.openxmlformats.org/officeDocument/2006/relationships/hyperlink" Target="https://doi.org/10.1287/mnsc.33.11.1404" TargetMode="External"/><Relationship Id="rId384" Type="http://schemas.openxmlformats.org/officeDocument/2006/relationships/hyperlink" Target="https://doi.org/10.1177/0018720810376055" TargetMode="External"/><Relationship Id="rId202" Type="http://schemas.openxmlformats.org/officeDocument/2006/relationships/hyperlink" Target="https://doi.org/10.1111/j.1540-6261.2006.00896.x" TargetMode="External"/><Relationship Id="rId223" Type="http://schemas.openxmlformats.org/officeDocument/2006/relationships/hyperlink" Target="https://doi.org/10.1257/000282803322655392" TargetMode="External"/><Relationship Id="rId244" Type="http://schemas.openxmlformats.org/officeDocument/2006/relationships/hyperlink" Target="https://doi.org/10.2139/ssrn.3668963" TargetMode="External"/><Relationship Id="rId18" Type="http://schemas.openxmlformats.org/officeDocument/2006/relationships/hyperlink" Target="https://doi.org/10.1093/qje/qjt023" TargetMode="External"/><Relationship Id="rId39" Type="http://schemas.openxmlformats.org/officeDocument/2006/relationships/hyperlink" Target="https://www.worldcat.org/oclc/706020998" TargetMode="External"/><Relationship Id="rId265" Type="http://schemas.openxmlformats.org/officeDocument/2006/relationships/hyperlink" Target="https://doi.org/10.1093/qje/qjt023" TargetMode="External"/><Relationship Id="rId286" Type="http://schemas.openxmlformats.org/officeDocument/2006/relationships/hyperlink" Target="https://doi.org/10.2139/ssrn.3462776" TargetMode="External"/><Relationship Id="rId50" Type="http://schemas.openxmlformats.org/officeDocument/2006/relationships/hyperlink" Target="https://books.google.com/books/about/Asset_Pricing.html?id=20pmeMaKNwsC" TargetMode="External"/><Relationship Id="rId104" Type="http://schemas.openxmlformats.org/officeDocument/2006/relationships/hyperlink" Target="https://doi.org/10.1016/j.jfineco.2005.05.003" TargetMode="External"/><Relationship Id="rId125" Type="http://schemas.openxmlformats.org/officeDocument/2006/relationships/hyperlink" Target="https://papers.ssrn.com/sol3/papers.cfm?abstract_id=2891216" TargetMode="External"/><Relationship Id="rId146" Type="http://schemas.openxmlformats.org/officeDocument/2006/relationships/hyperlink" Target="https://doi.org/10.1016/j.jebo.2011.08.009" TargetMode="External"/><Relationship Id="rId167" Type="http://schemas.openxmlformats.org/officeDocument/2006/relationships/hyperlink" Target="https://doi.org/10.1016/j.irfa.2024.103219" TargetMode="External"/><Relationship Id="rId188" Type="http://schemas.openxmlformats.org/officeDocument/2006/relationships/hyperlink" Target="https://doi.org/10.1126/science.185.4157.1124" TargetMode="External"/><Relationship Id="rId311" Type="http://schemas.openxmlformats.org/officeDocument/2006/relationships/hyperlink" Target="https://www.spglobal.com/spdji/en/indices/equity/sp-500/" TargetMode="External"/><Relationship Id="rId332" Type="http://schemas.openxmlformats.org/officeDocument/2006/relationships/hyperlink" Target="https://doi.org/10.1162/089892902317361877" TargetMode="External"/><Relationship Id="rId353" Type="http://schemas.openxmlformats.org/officeDocument/2006/relationships/image" Target="media/image18.png"/><Relationship Id="rId374" Type="http://schemas.openxmlformats.org/officeDocument/2006/relationships/hyperlink" Target="https://doi.org/10.2139/ssrn.3462776" TargetMode="External"/><Relationship Id="rId71" Type="http://schemas.openxmlformats.org/officeDocument/2006/relationships/hyperlink" Target="https://doi.org/10.1080/15427560.2025.2609644" TargetMode="External"/><Relationship Id="rId92" Type="http://schemas.openxmlformats.org/officeDocument/2006/relationships/hyperlink" Target="https://dx.doi.org/10.2139/ssrn.2631135" TargetMode="External"/><Relationship Id="rId213" Type="http://schemas.openxmlformats.org/officeDocument/2006/relationships/hyperlink" Target="https://doi.org/10.1111/1475-679X.12352" TargetMode="External"/><Relationship Id="rId234" Type="http://schemas.openxmlformats.org/officeDocument/2006/relationships/hyperlink" Target="https://doi.org/10.1287/mnsc.33.11.1404" TargetMode="External"/><Relationship Id="rId2" Type="http://schemas.openxmlformats.org/officeDocument/2006/relationships/numbering" Target="numbering.xml"/><Relationship Id="rId29" Type="http://schemas.openxmlformats.org/officeDocument/2006/relationships/hyperlink" Target="https://doi.org/10.1093/oso/9780195304213.001.0001" TargetMode="External"/><Relationship Id="rId255" Type="http://schemas.openxmlformats.org/officeDocument/2006/relationships/hyperlink" Target="https://doi.org/10.3386/w31747" TargetMode="External"/><Relationship Id="rId276" Type="http://schemas.openxmlformats.org/officeDocument/2006/relationships/hyperlink" Target="https://doi.org/10.1111/j.1540-6261.2011.01679.x" TargetMode="External"/><Relationship Id="rId297" Type="http://schemas.openxmlformats.org/officeDocument/2006/relationships/header" Target="header1.xml"/><Relationship Id="rId40" Type="http://schemas.openxmlformats.org/officeDocument/2006/relationships/hyperlink" Target="https://doi.org/10.1016/j.irfa.2024.103219" TargetMode="External"/><Relationship Id="rId115" Type="http://schemas.openxmlformats.org/officeDocument/2006/relationships/hyperlink" Target="https://doi.org/10.1257/000282803322655392" TargetMode="External"/><Relationship Id="rId136" Type="http://schemas.openxmlformats.org/officeDocument/2006/relationships/hyperlink" Target="https://dx.doi.org/10.2139/ssrn.327880" TargetMode="External"/><Relationship Id="rId157" Type="http://schemas.openxmlformats.org/officeDocument/2006/relationships/hyperlink" Target="https://doi.org/10.1146/annurev.psych.50.1.537" TargetMode="External"/><Relationship Id="rId178" Type="http://schemas.openxmlformats.org/officeDocument/2006/relationships/hyperlink" Target="https://doi.org/10.1257/000282805774670095" TargetMode="External"/><Relationship Id="rId301" Type="http://schemas.openxmlformats.org/officeDocument/2006/relationships/hyperlink" Target="https://doi.org/10.1093/rfs/hhu072" TargetMode="External"/><Relationship Id="rId322" Type="http://schemas.openxmlformats.org/officeDocument/2006/relationships/hyperlink" Target="https://finbert.org/" TargetMode="External"/><Relationship Id="rId343" Type="http://schemas.openxmlformats.org/officeDocument/2006/relationships/image" Target="media/image14.png"/><Relationship Id="rId364" Type="http://schemas.openxmlformats.org/officeDocument/2006/relationships/hyperlink" Target="https://doi.org/10.2139/ssrn.3668963" TargetMode="External"/><Relationship Id="rId61" Type="http://schemas.openxmlformats.org/officeDocument/2006/relationships/hyperlink" Target="https://doi.org/10.2307/1884852" TargetMode="External"/><Relationship Id="rId82" Type="http://schemas.openxmlformats.org/officeDocument/2006/relationships/hyperlink" Target="https://doi.org/10.2139/ssrn.3668963" TargetMode="External"/><Relationship Id="rId199" Type="http://schemas.openxmlformats.org/officeDocument/2006/relationships/hyperlink" Target="https://doi.org/10.1257/000282805774670095" TargetMode="External"/><Relationship Id="rId203" Type="http://schemas.openxmlformats.org/officeDocument/2006/relationships/hyperlink" Target="https://doi.org/10.1111/0022-1082.00338" TargetMode="External"/><Relationship Id="rId385" Type="http://schemas.openxmlformats.org/officeDocument/2006/relationships/hyperlink" Target="https://sdgs.un.org/2030agenda" TargetMode="External"/><Relationship Id="rId19" Type="http://schemas.openxmlformats.org/officeDocument/2006/relationships/hyperlink" Target="https://doi.org/10.2139/ssrn.3668963" TargetMode="External"/><Relationship Id="rId224" Type="http://schemas.openxmlformats.org/officeDocument/2006/relationships/hyperlink" Target="https://doi.org/10.2307/1884852" TargetMode="External"/><Relationship Id="rId245" Type="http://schemas.openxmlformats.org/officeDocument/2006/relationships/hyperlink" Target="https://doi.org/10.1016/j.jet.2018.10.002" TargetMode="External"/><Relationship Id="rId266" Type="http://schemas.openxmlformats.org/officeDocument/2006/relationships/hyperlink" Target="https://doi.org/10.2307/1914185" TargetMode="External"/><Relationship Id="rId287" Type="http://schemas.openxmlformats.org/officeDocument/2006/relationships/hyperlink" Target="https://doi.org/10.1016/j.jebo.2021.12.007" TargetMode="External"/><Relationship Id="rId30" Type="http://schemas.openxmlformats.org/officeDocument/2006/relationships/hyperlink" Target="https://doi.org/10.1016/j.jfineco.2005.05.003" TargetMode="External"/><Relationship Id="rId105" Type="http://schemas.openxmlformats.org/officeDocument/2006/relationships/hyperlink" Target="https://doi.org/10.1093/oso/9780195304213.001.0001" TargetMode="External"/><Relationship Id="rId126" Type="http://schemas.openxmlformats.org/officeDocument/2006/relationships/hyperlink" Target="https://doi.org/10.1111/j.1540-6261.2007.01232.x" TargetMode="External"/><Relationship Id="rId147" Type="http://schemas.openxmlformats.org/officeDocument/2006/relationships/hyperlink" Target="https://doi.org/10.1016/j.jet.2018.10.002" TargetMode="External"/><Relationship Id="rId168" Type="http://schemas.openxmlformats.org/officeDocument/2006/relationships/hyperlink" Target="https://doi.org/10.1111/j.1540-6261.2007.01232.x" TargetMode="External"/><Relationship Id="rId312" Type="http://schemas.openxmlformats.org/officeDocument/2006/relationships/hyperlink" Target="https://www.interactivebrokers.co.uk" TargetMode="External"/><Relationship Id="rId333" Type="http://schemas.openxmlformats.org/officeDocument/2006/relationships/hyperlink" Target="https://doi.org/10.2307/1914185" TargetMode="External"/><Relationship Id="rId354" Type="http://schemas.openxmlformats.org/officeDocument/2006/relationships/hyperlink" Target="https://doi.org/10.1111/j.1540-6261.1985.tb05004.x" TargetMode="External"/><Relationship Id="rId51" Type="http://schemas.openxmlformats.org/officeDocument/2006/relationships/hyperlink" Target="https://doi.org/10.1126/science.185.4157.1124" TargetMode="External"/><Relationship Id="rId72" Type="http://schemas.openxmlformats.org/officeDocument/2006/relationships/hyperlink" Target="https://doi.org/10.1016/j.jet.2018.10.002" TargetMode="External"/><Relationship Id="rId93" Type="http://schemas.openxmlformats.org/officeDocument/2006/relationships/hyperlink" Target="https://dx.doi.org/10.2139/ssrn.3825110" TargetMode="External"/><Relationship Id="rId189" Type="http://schemas.openxmlformats.org/officeDocument/2006/relationships/hyperlink" Target="https://doi.org/10.1146/annurev-financial-092214-043752" TargetMode="External"/><Relationship Id="rId375" Type="http://schemas.openxmlformats.org/officeDocument/2006/relationships/hyperlink" Target="https://www2.uibk.ac.at/downloads/c9821000/wpaper/2020-11.pdf" TargetMode="External"/><Relationship Id="rId3" Type="http://schemas.openxmlformats.org/officeDocument/2006/relationships/styles" Target="styles.xml"/><Relationship Id="rId214" Type="http://schemas.openxmlformats.org/officeDocument/2006/relationships/hyperlink" Target="https://dx.doi.org/10.2139/ssrn.3966758" TargetMode="External"/><Relationship Id="rId235" Type="http://schemas.openxmlformats.org/officeDocument/2006/relationships/hyperlink" Target="https://doi.org/10.2307/1914185" TargetMode="External"/><Relationship Id="rId256" Type="http://schemas.openxmlformats.org/officeDocument/2006/relationships/hyperlink" Target="https://doi.org/10.1111/j.1540-6261.2007.01232.x" TargetMode="External"/><Relationship Id="rId277" Type="http://schemas.openxmlformats.org/officeDocument/2006/relationships/hyperlink" Target="https://doi.org/10.1093/rfs/hhm079" TargetMode="External"/><Relationship Id="rId298" Type="http://schemas.openxmlformats.org/officeDocument/2006/relationships/hyperlink" Target="https://www.worldcat.org/oclc/706020998" TargetMode="External"/><Relationship Id="rId116" Type="http://schemas.openxmlformats.org/officeDocument/2006/relationships/hyperlink" Target="https://doi.org/10.1146/annurev-financial-092214-043752" TargetMode="External"/><Relationship Id="rId137" Type="http://schemas.openxmlformats.org/officeDocument/2006/relationships/hyperlink" Target="https://doi.org/10.3905/JFDS.2021.1.085" TargetMode="External"/><Relationship Id="rId158" Type="http://schemas.openxmlformats.org/officeDocument/2006/relationships/hyperlink" Target="https://doi.org/10.1098/rsta.2015.0202" TargetMode="External"/><Relationship Id="rId302" Type="http://schemas.openxmlformats.org/officeDocument/2006/relationships/hyperlink" Target="https://doi.org/10.1146/annurev-financial-092214-043752" TargetMode="External"/><Relationship Id="rId323" Type="http://schemas.openxmlformats.org/officeDocument/2006/relationships/hyperlink" Target="https://arxiv.org/abs/2006.08097" TargetMode="External"/><Relationship Id="rId344" Type="http://schemas.openxmlformats.org/officeDocument/2006/relationships/hyperlink" Target="https://doi.org/10.1016/0304-4076(85)90158-7" TargetMode="External"/><Relationship Id="rId20" Type="http://schemas.openxmlformats.org/officeDocument/2006/relationships/hyperlink" Target="https://doi.org/10.1126/science.185.4157.1124" TargetMode="External"/><Relationship Id="rId41" Type="http://schemas.openxmlformats.org/officeDocument/2006/relationships/hyperlink" Target="https://doi.org/10.1111/j.1540-6261.2007.01232.x" TargetMode="External"/><Relationship Id="rId62" Type="http://schemas.openxmlformats.org/officeDocument/2006/relationships/hyperlink" Target="https://doi.org/10.1257/000282803322655392" TargetMode="External"/><Relationship Id="rId83" Type="http://schemas.openxmlformats.org/officeDocument/2006/relationships/hyperlink" Target="https://doi.org/10.1111/j.1540-6261.2007.01232.x" TargetMode="External"/><Relationship Id="rId179" Type="http://schemas.openxmlformats.org/officeDocument/2006/relationships/hyperlink" Target="https://doi.org/10.1146/annurev-financial-092214-043752" TargetMode="External"/><Relationship Id="rId365" Type="http://schemas.openxmlformats.org/officeDocument/2006/relationships/hyperlink" Target="https://doi.org/10.1016/j.jet.2018.10.002" TargetMode="External"/><Relationship Id="rId386" Type="http://schemas.openxmlformats.org/officeDocument/2006/relationships/hyperlink" Target="https://sdgs.un.org/2030agenda" TargetMode="External"/><Relationship Id="rId190" Type="http://schemas.openxmlformats.org/officeDocument/2006/relationships/hyperlink" Target="https://doi.org/10.2139/ssrn.3462776" TargetMode="External"/><Relationship Id="rId204" Type="http://schemas.openxmlformats.org/officeDocument/2006/relationships/hyperlink" Target="https://doi.org/10.1111/0022-1082.00338" TargetMode="External"/><Relationship Id="rId225" Type="http://schemas.openxmlformats.org/officeDocument/2006/relationships/hyperlink" Target="https://doi.org/10.1287/mnsc.39.1.17" TargetMode="External"/><Relationship Id="rId246" Type="http://schemas.openxmlformats.org/officeDocument/2006/relationships/hyperlink" Target="https://doi.org/10.1016/j.jbef.2022.100722" TargetMode="External"/><Relationship Id="rId267" Type="http://schemas.openxmlformats.org/officeDocument/2006/relationships/hyperlink" Target="https://doi.org/10.3905/jpm.2004.442611" TargetMode="External"/><Relationship Id="rId288" Type="http://schemas.openxmlformats.org/officeDocument/2006/relationships/hyperlink" Target="https://doi.org/10.1111/j.1540-6261.2006.00896.x" TargetMode="External"/><Relationship Id="rId106" Type="http://schemas.openxmlformats.org/officeDocument/2006/relationships/hyperlink" Target="https://doi.org/10.1093/rfs/hhm079" TargetMode="External"/><Relationship Id="rId127" Type="http://schemas.openxmlformats.org/officeDocument/2006/relationships/hyperlink" Target="https://doi.org/10.1111/j.1540-6261.2007.01232.x" TargetMode="External"/><Relationship Id="rId313" Type="http://schemas.openxmlformats.org/officeDocument/2006/relationships/hyperlink" Target="https://finance.yahoo.com" TargetMode="External"/><Relationship Id="rId10" Type="http://schemas.microsoft.com/office/2011/relationships/commentsExtended" Target="commentsExtended.xml"/><Relationship Id="rId31" Type="http://schemas.openxmlformats.org/officeDocument/2006/relationships/hyperlink" Target="https://doi.org/10.1111/j.1540-6261.2011.01679.x" TargetMode="External"/><Relationship Id="rId52" Type="http://schemas.openxmlformats.org/officeDocument/2006/relationships/hyperlink" Target="https://doi.org/10.2307/1914185" TargetMode="External"/><Relationship Id="rId73" Type="http://schemas.openxmlformats.org/officeDocument/2006/relationships/hyperlink" Target="https://doi.org/10.2139/ssrn.3668963" TargetMode="External"/><Relationship Id="rId94" Type="http://schemas.openxmlformats.org/officeDocument/2006/relationships/hyperlink" Target="https://doi.org/10.1080/15427560.2025.2609644" TargetMode="External"/><Relationship Id="rId148" Type="http://schemas.openxmlformats.org/officeDocument/2006/relationships/hyperlink" Target="https://doi.org/10.2139/ssrn.3668963" TargetMode="External"/><Relationship Id="rId169" Type="http://schemas.openxmlformats.org/officeDocument/2006/relationships/hyperlink" Target="https://dx.doi.org/10.2139/ssrn.327880" TargetMode="External"/><Relationship Id="rId334" Type="http://schemas.openxmlformats.org/officeDocument/2006/relationships/image" Target="media/image9.png"/><Relationship Id="rId355" Type="http://schemas.openxmlformats.org/officeDocument/2006/relationships/hyperlink" Target="https://doi.org/10.1111/0022-1082.00077" TargetMode="External"/><Relationship Id="rId376" Type="http://schemas.openxmlformats.org/officeDocument/2006/relationships/hyperlink" Target="https://doi.org/10.1111/j.1540-6261.1952.tb01525.x" TargetMode="External"/><Relationship Id="rId4" Type="http://schemas.openxmlformats.org/officeDocument/2006/relationships/settings" Target="settings.xml"/><Relationship Id="rId180" Type="http://schemas.openxmlformats.org/officeDocument/2006/relationships/hyperlink" Target="https://dx.doi.org/10.2139/ssrn.327880" TargetMode="External"/><Relationship Id="rId215" Type="http://schemas.openxmlformats.org/officeDocument/2006/relationships/hyperlink" Target="https://doi.org/10.2139/ssrn.5122748" TargetMode="External"/><Relationship Id="rId236" Type="http://schemas.openxmlformats.org/officeDocument/2006/relationships/hyperlink" Target="https://doi.org/10.1287/mnsc.33.11.1404" TargetMode="External"/><Relationship Id="rId257" Type="http://schemas.openxmlformats.org/officeDocument/2006/relationships/hyperlink" Target="https://doi.org/10.1080/15427560.2025.2609644" TargetMode="External"/><Relationship Id="rId278" Type="http://schemas.openxmlformats.org/officeDocument/2006/relationships/hyperlink" Target="https://dx.doi.org/10.2139/ssrn.219228" TargetMode="External"/><Relationship Id="rId303" Type="http://schemas.openxmlformats.org/officeDocument/2006/relationships/hyperlink" Target="https://dx.doi.org/10.2139/ssrn.327880" TargetMode="External"/><Relationship Id="rId42" Type="http://schemas.openxmlformats.org/officeDocument/2006/relationships/hyperlink" Target="https://doi.org/10.1111/0022-1082.00077" TargetMode="External"/><Relationship Id="rId84" Type="http://schemas.openxmlformats.org/officeDocument/2006/relationships/hyperlink" Target="https://dx.doi.org/10.2139/ssrn.2631135" TargetMode="External"/><Relationship Id="rId138" Type="http://schemas.openxmlformats.org/officeDocument/2006/relationships/hyperlink" Target="https://dx.doi.org/10.2139/ssrn.219228" TargetMode="External"/><Relationship Id="rId345" Type="http://schemas.openxmlformats.org/officeDocument/2006/relationships/hyperlink" Target="https://doi.org/10.1198/jbes.2010.07136" TargetMode="External"/><Relationship Id="rId387" Type="http://schemas.openxmlformats.org/officeDocument/2006/relationships/image" Target="media/image20.png"/><Relationship Id="rId191" Type="http://schemas.openxmlformats.org/officeDocument/2006/relationships/hyperlink" Target="https://doi.org/10.2307/3867650" TargetMode="External"/><Relationship Id="rId205" Type="http://schemas.openxmlformats.org/officeDocument/2006/relationships/hyperlink" Target="https://doi.org/10.1111/j.1540-6261.2006.00896.x" TargetMode="External"/><Relationship Id="rId247" Type="http://schemas.openxmlformats.org/officeDocument/2006/relationships/hyperlink" Target="https://dx.doi.org/10.2139/ssrn.3825110" TargetMode="External"/><Relationship Id="rId107" Type="http://schemas.openxmlformats.org/officeDocument/2006/relationships/hyperlink" Target="https://doi.org/10.2139/ssrn.5122748" TargetMode="External"/><Relationship Id="rId289" Type="http://schemas.openxmlformats.org/officeDocument/2006/relationships/hyperlink" Target="https://doi.org/10.1111/0022-1082.00077" TargetMode="External"/><Relationship Id="rId11" Type="http://schemas.microsoft.com/office/2016/09/relationships/commentsIds" Target="commentsIds.xml"/><Relationship Id="rId53" Type="http://schemas.openxmlformats.org/officeDocument/2006/relationships/hyperlink" Target="https://dx.doi.org/10.2139/ssrn.327880" TargetMode="External"/><Relationship Id="rId149" Type="http://schemas.openxmlformats.org/officeDocument/2006/relationships/hyperlink" Target="https://doi.org/10.1086/294846" TargetMode="External"/><Relationship Id="rId314" Type="http://schemas.openxmlformats.org/officeDocument/2006/relationships/hyperlink" Target="https://www.interactivebrokers.co.uk" TargetMode="External"/><Relationship Id="rId356" Type="http://schemas.openxmlformats.org/officeDocument/2006/relationships/image" Target="media/image19.png"/><Relationship Id="rId95" Type="http://schemas.openxmlformats.org/officeDocument/2006/relationships/hyperlink" Target="https://doi.org/10.1016/j.dss.2008.07.010" TargetMode="External"/><Relationship Id="rId160" Type="http://schemas.openxmlformats.org/officeDocument/2006/relationships/hyperlink" Target="https://doi.org/10.1093/rfs/hhm079" TargetMode="External"/><Relationship Id="rId216" Type="http://schemas.openxmlformats.org/officeDocument/2006/relationships/hyperlink" Target="https://dx.doi.org/10.2139/ssrn.327880" TargetMode="External"/><Relationship Id="rId258" Type="http://schemas.openxmlformats.org/officeDocument/2006/relationships/hyperlink" Target="https://doi.org/10.1016/j.jbef.2022.100722" TargetMode="External"/><Relationship Id="rId22" Type="http://schemas.openxmlformats.org/officeDocument/2006/relationships/hyperlink" Target="https://doi.org/10.1162/003355301556400" TargetMode="External"/><Relationship Id="rId64" Type="http://schemas.openxmlformats.org/officeDocument/2006/relationships/hyperlink" Target="https://doi.org/10.1016/j.jbef.2022.100722" TargetMode="External"/><Relationship Id="rId118" Type="http://schemas.openxmlformats.org/officeDocument/2006/relationships/hyperlink" Target="https://doi.org/10.1016/j.irfa.2024.103219" TargetMode="External"/><Relationship Id="rId325" Type="http://schemas.openxmlformats.org/officeDocument/2006/relationships/hyperlink" Target="https://doi.org/10.1111/j.1540-6261.2006.00885.x" TargetMode="External"/><Relationship Id="rId367" Type="http://schemas.openxmlformats.org/officeDocument/2006/relationships/hyperlink" Target="https://doi.org/10.1080/15427560.2025.2609644" TargetMode="External"/><Relationship Id="rId171" Type="http://schemas.openxmlformats.org/officeDocument/2006/relationships/hyperlink" Target="https://doi.org/10.1016/j.irfa.2024.103219" TargetMode="External"/><Relationship Id="rId227" Type="http://schemas.openxmlformats.org/officeDocument/2006/relationships/hyperlink" Target="https://onlinelibrary.wiley.com/doi/10.1002/%28SICI%291097-0266%28199910%2920%3A10%3C977%3A%3AAID-SMJ58%3E3.0.CO%3B2-X" TargetMode="External"/><Relationship Id="rId269" Type="http://schemas.openxmlformats.org/officeDocument/2006/relationships/hyperlink" Target="https://doi.org/10.3386/w26983" TargetMode="External"/><Relationship Id="rId33" Type="http://schemas.openxmlformats.org/officeDocument/2006/relationships/hyperlink" Target="https://doi.org/10.1111/j.1540-6261.2011.01679.x" TargetMode="External"/><Relationship Id="rId129" Type="http://schemas.openxmlformats.org/officeDocument/2006/relationships/hyperlink" Target="https://doi.org/10.1080/15427560.2025.2609644" TargetMode="External"/><Relationship Id="rId280" Type="http://schemas.openxmlformats.org/officeDocument/2006/relationships/hyperlink" Target="https://doi.org/10.2139/ssrn.3668963" TargetMode="External"/><Relationship Id="rId336" Type="http://schemas.openxmlformats.org/officeDocument/2006/relationships/hyperlink" Target="https://doi.org/10.1093/rfs/hhn053" TargetMode="External"/><Relationship Id="rId75" Type="http://schemas.openxmlformats.org/officeDocument/2006/relationships/hyperlink" Target="https://doi.org/10.1016/j.irfa.2024.103219" TargetMode="External"/><Relationship Id="rId140" Type="http://schemas.openxmlformats.org/officeDocument/2006/relationships/hyperlink" Target="https://doi.org/10.1016/j.jet.2018.10.002" TargetMode="External"/><Relationship Id="rId182" Type="http://schemas.openxmlformats.org/officeDocument/2006/relationships/hyperlink" Target="https://dx.doi.org/10.2139/ssrn.327880" TargetMode="External"/><Relationship Id="rId378" Type="http://schemas.openxmlformats.org/officeDocument/2006/relationships/hyperlink" Target="https://doi.org/10.1016/j.jebo.2021.12.007" TargetMode="External"/><Relationship Id="rId6" Type="http://schemas.openxmlformats.org/officeDocument/2006/relationships/footnotes" Target="footnotes.xml"/><Relationship Id="rId238" Type="http://schemas.openxmlformats.org/officeDocument/2006/relationships/hyperlink" Target="https://doi.org/10.1016/j.jbusvent.2016.05.001" TargetMode="External"/><Relationship Id="rId291" Type="http://schemas.openxmlformats.org/officeDocument/2006/relationships/hyperlink" Target="https://doi.org/10.1016/j.dss.2008.07.010" TargetMode="External"/><Relationship Id="rId305" Type="http://schemas.openxmlformats.org/officeDocument/2006/relationships/hyperlink" Target="https://doi.org/10.2139/ssrn.3668963" TargetMode="External"/><Relationship Id="rId347" Type="http://schemas.openxmlformats.org/officeDocument/2006/relationships/image" Target="media/image15.png"/><Relationship Id="rId44" Type="http://schemas.openxmlformats.org/officeDocument/2006/relationships/hyperlink" Target="https://doi.org/10.1111/1475-679X.12352" TargetMode="External"/><Relationship Id="rId86" Type="http://schemas.openxmlformats.org/officeDocument/2006/relationships/hyperlink" Target="https://doi.org/10.1162/003355301556400" TargetMode="External"/><Relationship Id="rId151" Type="http://schemas.openxmlformats.org/officeDocument/2006/relationships/hyperlink" Target="https://doi.org/10.2307/1914185" TargetMode="External"/><Relationship Id="rId389" Type="http://schemas.openxmlformats.org/officeDocument/2006/relationships/image" Target="media/image21.png"/><Relationship Id="rId193" Type="http://schemas.openxmlformats.org/officeDocument/2006/relationships/hyperlink" Target="https://doi.org/10.1086/261849" TargetMode="External"/><Relationship Id="rId207" Type="http://schemas.openxmlformats.org/officeDocument/2006/relationships/hyperlink" Target="https://doi.org/10.1111/j.1540-6261.2006.00896.x" TargetMode="External"/><Relationship Id="rId249" Type="http://schemas.openxmlformats.org/officeDocument/2006/relationships/hyperlink" Target="https://doi.org/10.1086/380085" TargetMode="External"/><Relationship Id="rId13" Type="http://schemas.openxmlformats.org/officeDocument/2006/relationships/hyperlink" Target="https://doi.org/10.2307/1914185" TargetMode="External"/><Relationship Id="rId109" Type="http://schemas.openxmlformats.org/officeDocument/2006/relationships/hyperlink" Target="https://dx.doi.org/10.2139/ssrn.219228" TargetMode="External"/><Relationship Id="rId260" Type="http://schemas.openxmlformats.org/officeDocument/2006/relationships/hyperlink" Target="https://www.worldcat.org/oclc/1242782025" TargetMode="External"/><Relationship Id="rId316" Type="http://schemas.openxmlformats.org/officeDocument/2006/relationships/hyperlink" Target="https://finance.yahoo.com" TargetMode="External"/><Relationship Id="rId55" Type="http://schemas.openxmlformats.org/officeDocument/2006/relationships/hyperlink" Target="https://doi.org/10.2139/ssrn.3668963" TargetMode="External"/><Relationship Id="rId97" Type="http://schemas.openxmlformats.org/officeDocument/2006/relationships/hyperlink" Target="https://doi.org/10.2139/ssrn.3668963" TargetMode="External"/><Relationship Id="rId120" Type="http://schemas.openxmlformats.org/officeDocument/2006/relationships/hyperlink" Target="https://doi.org/10.1037/0033-2909.127.2.267" TargetMode="External"/><Relationship Id="rId358" Type="http://schemas.openxmlformats.org/officeDocument/2006/relationships/hyperlink" Target="https://dx.doi.org/10.2139/ssrn.327880" TargetMode="External"/><Relationship Id="rId162" Type="http://schemas.openxmlformats.org/officeDocument/2006/relationships/hyperlink" Target="https://doi.org/10.1016/j.jebo.2021.12.007" TargetMode="External"/><Relationship Id="rId218" Type="http://schemas.openxmlformats.org/officeDocument/2006/relationships/hyperlink" Target="https://doi.org/10.2307/1884852" TargetMode="External"/><Relationship Id="rId271" Type="http://schemas.openxmlformats.org/officeDocument/2006/relationships/hyperlink" Target="https://doi.org/10.1162/089892902317361877" TargetMode="External"/><Relationship Id="rId24" Type="http://schemas.openxmlformats.org/officeDocument/2006/relationships/hyperlink" Target="https://dx.doi.org/10.2139/ssrn.2802570" TargetMode="External"/><Relationship Id="rId66" Type="http://schemas.openxmlformats.org/officeDocument/2006/relationships/hyperlink" Target="https://doi.org/10.1016/j.dss.2008.07.010" TargetMode="External"/><Relationship Id="rId131" Type="http://schemas.openxmlformats.org/officeDocument/2006/relationships/hyperlink" Target="https://doi.org/10.1016/j.jbef.2022.100722" TargetMode="External"/><Relationship Id="rId327" Type="http://schemas.openxmlformats.org/officeDocument/2006/relationships/image" Target="media/image8.svg"/><Relationship Id="rId369" Type="http://schemas.openxmlformats.org/officeDocument/2006/relationships/hyperlink" Target="https://doi.org/10.1111/j.1540-6261.2011.01679.x" TargetMode="External"/><Relationship Id="rId173" Type="http://schemas.openxmlformats.org/officeDocument/2006/relationships/hyperlink" Target="https://doi.org/10.1016/j.irfa.2024.103219" TargetMode="External"/><Relationship Id="rId229" Type="http://schemas.openxmlformats.org/officeDocument/2006/relationships/hyperlink" Target="https://doi.org/10.1287/mnsc.33.11.1404" TargetMode="External"/><Relationship Id="rId380" Type="http://schemas.openxmlformats.org/officeDocument/2006/relationships/hyperlink" Target="https://doi.org/10.2139/ssrn.3462776" TargetMode="External"/><Relationship Id="rId240" Type="http://schemas.openxmlformats.org/officeDocument/2006/relationships/hyperlink" Target="https://doi.org/10.1162/089892902317361877" TargetMode="External"/><Relationship Id="rId35" Type="http://schemas.openxmlformats.org/officeDocument/2006/relationships/hyperlink" Target="https://doi.org/10.2139/ssrn.1462416" TargetMode="External"/><Relationship Id="rId77" Type="http://schemas.openxmlformats.org/officeDocument/2006/relationships/hyperlink" Target="https://doi.org/10.1016/j.jebo.2021.12.007" TargetMode="External"/><Relationship Id="rId100" Type="http://schemas.openxmlformats.org/officeDocument/2006/relationships/hyperlink" Target="https://doi.org/10.1016/j.irfa.2024.103219" TargetMode="External"/><Relationship Id="rId282" Type="http://schemas.openxmlformats.org/officeDocument/2006/relationships/hyperlink" Target="https://doi.org/10.1162/003465303772815727" TargetMode="External"/><Relationship Id="rId338" Type="http://schemas.openxmlformats.org/officeDocument/2006/relationships/image" Target="media/image10.png"/><Relationship Id="rId8" Type="http://schemas.openxmlformats.org/officeDocument/2006/relationships/image" Target="media/image1.png"/><Relationship Id="rId142" Type="http://schemas.openxmlformats.org/officeDocument/2006/relationships/hyperlink" Target="https://dx.doi.org/10.2139/ssrn.3825110" TargetMode="External"/><Relationship Id="rId184" Type="http://schemas.openxmlformats.org/officeDocument/2006/relationships/hyperlink" Target="https://doi.org/10.1093/rfs/14.1.1" TargetMode="External"/><Relationship Id="rId391" Type="http://schemas.openxmlformats.org/officeDocument/2006/relationships/image" Target="media/image23.png"/><Relationship Id="rId251" Type="http://schemas.openxmlformats.org/officeDocument/2006/relationships/hyperlink" Target="https://doi.org/10.1007/s12599-018-0521-9" TargetMode="External"/><Relationship Id="rId46" Type="http://schemas.openxmlformats.org/officeDocument/2006/relationships/hyperlink" Target="https://doi.org/10.3905/JFDS.2021.1.085" TargetMode="External"/><Relationship Id="rId293" Type="http://schemas.openxmlformats.org/officeDocument/2006/relationships/hyperlink" Target="https://doi.org/10.1080/15427560.2025.2609644" TargetMode="External"/><Relationship Id="rId307" Type="http://schemas.openxmlformats.org/officeDocument/2006/relationships/hyperlink" Target="https://doi.org/10.1016/j.jebo.2011.08.009" TargetMode="External"/><Relationship Id="rId349" Type="http://schemas.openxmlformats.org/officeDocument/2006/relationships/hyperlink" Target="https://doi.org/10.1111/0022-1082.00077" TargetMode="External"/><Relationship Id="rId88" Type="http://schemas.openxmlformats.org/officeDocument/2006/relationships/hyperlink" Target="https://doi.org/10.1016/j.jebo.2021.12.007" TargetMode="External"/><Relationship Id="rId111" Type="http://schemas.openxmlformats.org/officeDocument/2006/relationships/hyperlink" Target="https://doi.org/10.1016/j.irfa.2024.103219" TargetMode="External"/><Relationship Id="rId153" Type="http://schemas.openxmlformats.org/officeDocument/2006/relationships/hyperlink" Target="https://papers.ssrn.com/sol3/papers.cfm?abstract_id=2891216" TargetMode="External"/><Relationship Id="rId195" Type="http://schemas.openxmlformats.org/officeDocument/2006/relationships/hyperlink" Target="https://doi.org/10.1287/mnsc.2013.1751" TargetMode="External"/><Relationship Id="rId209" Type="http://schemas.openxmlformats.org/officeDocument/2006/relationships/hyperlink" Target="https://doi.org/10.1016/j.irfa.2024.103219" TargetMode="External"/><Relationship Id="rId360" Type="http://schemas.openxmlformats.org/officeDocument/2006/relationships/hyperlink" Target="https://doi.org/10.1146/annurev-financial-092214-043752" TargetMode="External"/><Relationship Id="rId220" Type="http://schemas.openxmlformats.org/officeDocument/2006/relationships/hyperlink" Target="https://doi.org/10.1093/qje/qjt023" TargetMode="External"/><Relationship Id="rId15" Type="http://schemas.openxmlformats.org/officeDocument/2006/relationships/hyperlink" Target="https://doi.org/10.1093/qje/qjt023" TargetMode="External"/><Relationship Id="rId57" Type="http://schemas.openxmlformats.org/officeDocument/2006/relationships/hyperlink" Target="https://doi.org/10.1111/j.1540-6261.2006.00896.x" TargetMode="External"/><Relationship Id="rId262" Type="http://schemas.openxmlformats.org/officeDocument/2006/relationships/hyperlink" Target="https://dx.doi.org/10.2139/ssrn.3825110" TargetMode="External"/><Relationship Id="rId318" Type="http://schemas.openxmlformats.org/officeDocument/2006/relationships/hyperlink" Target="https://finbert.org/" TargetMode="External"/><Relationship Id="rId99" Type="http://schemas.openxmlformats.org/officeDocument/2006/relationships/hyperlink" Target="https://dx.doi.org/10.2139/ssrn.327880" TargetMode="External"/><Relationship Id="rId122" Type="http://schemas.openxmlformats.org/officeDocument/2006/relationships/hyperlink" Target="https://doi.org/10.1016/j.irfa.2024.103219" TargetMode="External"/><Relationship Id="rId164" Type="http://schemas.openxmlformats.org/officeDocument/2006/relationships/image" Target="media/image4.svg"/><Relationship Id="rId371" Type="http://schemas.openxmlformats.org/officeDocument/2006/relationships/hyperlink" Target="https://doi.org/10.1287/mnsc.33.11.1404" TargetMode="External"/><Relationship Id="rId26" Type="http://schemas.openxmlformats.org/officeDocument/2006/relationships/hyperlink" Target="https://doi.org/10.1073/pnas.0704025105" TargetMode="External"/><Relationship Id="rId231" Type="http://schemas.openxmlformats.org/officeDocument/2006/relationships/hyperlink" Target="https://doi.org/10.1162/003355301556400" TargetMode="External"/><Relationship Id="rId273" Type="http://schemas.openxmlformats.org/officeDocument/2006/relationships/hyperlink" Target="https://doi.org/10.3905/JFDS.2021.1.085" TargetMode="External"/><Relationship Id="rId329" Type="http://schemas.openxmlformats.org/officeDocument/2006/relationships/hyperlink" Target="https://doi.org/10.1093/rfs/hhm079" TargetMode="External"/><Relationship Id="rId68" Type="http://schemas.openxmlformats.org/officeDocument/2006/relationships/hyperlink" Target="https://dx.doi.org/10.2139/ssrn.2932189" TargetMode="External"/><Relationship Id="rId133" Type="http://schemas.openxmlformats.org/officeDocument/2006/relationships/hyperlink" Target="https://doi.org/10.2307/1914185" TargetMode="External"/><Relationship Id="rId175" Type="http://schemas.openxmlformats.org/officeDocument/2006/relationships/hyperlink" Target="https://doi.org/10.1162/003355301556400" TargetMode="External"/><Relationship Id="rId340" Type="http://schemas.openxmlformats.org/officeDocument/2006/relationships/image" Target="media/image12.png"/><Relationship Id="rId200" Type="http://schemas.openxmlformats.org/officeDocument/2006/relationships/hyperlink" Target="https://doi.org/10.2307/1914185" TargetMode="External"/><Relationship Id="rId382" Type="http://schemas.openxmlformats.org/officeDocument/2006/relationships/hyperlink" Target="https://doi.org/10.1016/j.dss.2008.07.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D2F3B-7CF2-4010-9998-90A9FA30B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46240</Words>
  <Characters>263574</Characters>
  <Application>Microsoft Office Word</Application>
  <DocSecurity>0</DocSecurity>
  <Lines>2196</Lines>
  <Paragraphs>618</Paragraphs>
  <ScaleCrop>false</ScaleCrop>
  <HeadingPairs>
    <vt:vector size="2" baseType="variant">
      <vt:variant>
        <vt:lpstr>Title</vt:lpstr>
      </vt:variant>
      <vt:variant>
        <vt:i4>1</vt:i4>
      </vt:variant>
    </vt:vector>
  </HeadingPairs>
  <TitlesOfParts>
    <vt:vector size="1" baseType="lpstr">
      <vt:lpstr>Reducing Emotional Biases in Investment Portfolio Management</vt:lpstr>
    </vt:vector>
  </TitlesOfParts>
  <Company/>
  <LinksUpToDate>false</LinksUpToDate>
  <CharactersWithSpaces>309196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Emotional Biases in Investment Portfolio Management</dc:title>
  <dc:creator>Aliaksei Malashonak;Student ID: 19795 | Matriculation: 24891798;Mentor: Dr. Stefano Canossa</dc:creator>
  <cp:keywords/>
  <cp:lastModifiedBy>Alexey Malashonak</cp:lastModifiedBy>
  <cp:revision>64</cp:revision>
  <cp:lastPrinted>2026-07-10T14:36:00Z</cp:lastPrinted>
  <dcterms:created xsi:type="dcterms:W3CDTF">2026-07-10T12:04:00Z</dcterms:created>
  <dcterms:modified xsi:type="dcterms:W3CDTF">2026-07-10T14:36:00Z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
  </property>
  <property fmtid="{D5CDD505-2E9C-101B-9397-08002B2CF9AE}" pid="4" name="GrammarlyDocumentId">
    <vt:lpwstr>c287adb3-bd03-4149-af62-b72204ad3b3b</vt:lpwstr>
  </property>
</Properties>
</file>