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AFE82" w14:textId="77777777" w:rsidR="007E214D" w:rsidRDefault="007E214D" w:rsidP="007E214D">
      <w:pPr>
        <w:pStyle w:val="Heading2"/>
        <w:ind w:left="10"/>
        <w:rPr>
          <w:rFonts w:cs="Segoe UI"/>
        </w:rPr>
      </w:pPr>
      <w:r>
        <w:rPr>
          <w:rFonts w:cs="Segoe UI"/>
        </w:rPr>
        <w:t>Exercise 3: Configure and maintain customers</w:t>
      </w:r>
    </w:p>
    <w:p w14:paraId="3E0BCA46" w14:textId="77777777" w:rsidR="003D3984" w:rsidRDefault="003D3984" w:rsidP="003D3984">
      <w:pPr>
        <w:ind w:left="10"/>
        <w:rPr>
          <w:szCs w:val="20"/>
        </w:rPr>
      </w:pPr>
      <w:r>
        <w:rPr>
          <w:szCs w:val="20"/>
        </w:rPr>
        <w:t xml:space="preserve">The goal of the lab exercise is to apply the knowledge we’ve learned regarding the Configure and manage customers. </w:t>
      </w:r>
    </w:p>
    <w:p w14:paraId="655BA1BD" w14:textId="77777777" w:rsidR="003D3984" w:rsidRDefault="003D3984" w:rsidP="003D3984">
      <w:pPr>
        <w:ind w:left="10"/>
        <w:rPr>
          <w:sz w:val="24"/>
        </w:rPr>
      </w:pPr>
      <w:r>
        <w:t>Instructions</w:t>
      </w:r>
    </w:p>
    <w:p w14:paraId="0758C65A" w14:textId="77777777" w:rsidR="003D3984" w:rsidRDefault="003D3984" w:rsidP="003D3984">
      <w:pPr>
        <w:pStyle w:val="Heading3"/>
        <w:ind w:left="10"/>
        <w:rPr>
          <w:rFonts w:cs="Segoe UI"/>
          <w:lang w:eastAsia="en-GB"/>
        </w:rPr>
      </w:pPr>
      <w:r>
        <w:rPr>
          <w:rFonts w:cs="Segoe UI"/>
          <w:color w:val="0070C0"/>
          <w:lang w:eastAsia="en-GB"/>
        </w:rPr>
        <w:t>Customer</w:t>
      </w:r>
      <w:r>
        <w:rPr>
          <w:rFonts w:cs="Segoe UI"/>
          <w:lang w:eastAsia="en-GB"/>
        </w:rPr>
        <w:t xml:space="preserve"> </w:t>
      </w:r>
      <w:r>
        <w:rPr>
          <w:rFonts w:cs="Segoe UI"/>
          <w:color w:val="0070C0"/>
          <w:lang w:eastAsia="en-GB"/>
        </w:rPr>
        <w:t>posting</w:t>
      </w:r>
      <w:r>
        <w:rPr>
          <w:rFonts w:cs="Segoe UI"/>
          <w:lang w:eastAsia="en-GB"/>
        </w:rPr>
        <w:t xml:space="preserve"> </w:t>
      </w:r>
      <w:r>
        <w:rPr>
          <w:rFonts w:cs="Segoe UI"/>
          <w:color w:val="2E74B5" w:themeColor="accent5" w:themeShade="BF"/>
          <w:lang w:eastAsia="en-GB"/>
        </w:rPr>
        <w:t>profiles</w:t>
      </w:r>
    </w:p>
    <w:p w14:paraId="73BE1361" w14:textId="77777777" w:rsidR="003D3984" w:rsidRDefault="003D3984" w:rsidP="003D3984">
      <w:pPr>
        <w:ind w:left="10"/>
        <w:rPr>
          <w:rFonts w:cs="Segoe UI"/>
          <w:szCs w:val="20"/>
          <w:lang w:eastAsia="en-GB"/>
        </w:rPr>
      </w:pPr>
      <w:r>
        <w:rPr>
          <w:szCs w:val="20"/>
          <w:lang w:eastAsia="en-GB"/>
        </w:rPr>
        <w:t>Phyllis, the Accounting Manager at Contoso, has asked Arnie, the Accounts Receivable Clerk, to set up a new posting profile for a group of retail customers.</w:t>
      </w:r>
    </w:p>
    <w:p w14:paraId="5DFA6247" w14:textId="77777777" w:rsidR="003D3984" w:rsidRDefault="003D3984" w:rsidP="003D3984">
      <w:pPr>
        <w:ind w:left="20"/>
        <w:rPr>
          <w:szCs w:val="20"/>
          <w:lang w:eastAsia="en-GB"/>
        </w:rPr>
      </w:pPr>
      <w:r>
        <w:rPr>
          <w:szCs w:val="20"/>
          <w:lang w:eastAsia="en-GB"/>
        </w:rPr>
        <w:t>Select the appropriate options to ensure the following:</w:t>
      </w:r>
    </w:p>
    <w:p w14:paraId="69992950"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Entries will be created using this profile for automatic settlement.</w:t>
      </w:r>
    </w:p>
    <w:p w14:paraId="33D2D501"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The application will calculate interest on outstanding balances for customers who have this profile.</w:t>
      </w:r>
    </w:p>
    <w:p w14:paraId="3A425344"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A collection letter may be issued for customers who have this profile.</w:t>
      </w:r>
    </w:p>
    <w:p w14:paraId="1D81319F"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When transactions are settled in full, the transactions should not change to another posting profile.</w:t>
      </w:r>
    </w:p>
    <w:p w14:paraId="0059530B" w14:textId="77777777" w:rsidR="003D3984" w:rsidRDefault="003D3984" w:rsidP="003D3984">
      <w:pPr>
        <w:pStyle w:val="ListParagraph"/>
        <w:widowControl w:val="0"/>
        <w:numPr>
          <w:ilvl w:val="0"/>
          <w:numId w:val="3"/>
        </w:numPr>
        <w:spacing w:after="200" w:line="276" w:lineRule="auto"/>
        <w:rPr>
          <w:sz w:val="22"/>
          <w:szCs w:val="20"/>
          <w:lang w:eastAsia="en-GB"/>
        </w:rPr>
      </w:pPr>
      <w:r>
        <w:rPr>
          <w:sz w:val="22"/>
          <w:szCs w:val="20"/>
          <w:lang w:eastAsia="en-GB"/>
        </w:rPr>
        <w:t>Transactions for the retail customers group will post to the summary account 130100 and settle account 110110.</w:t>
      </w:r>
    </w:p>
    <w:p w14:paraId="7DD37BE6" w14:textId="77777777" w:rsidR="003D3984" w:rsidRDefault="003D3984" w:rsidP="003D3984">
      <w:pPr>
        <w:pStyle w:val="ListParagraph"/>
        <w:ind w:left="0" w:firstLine="0"/>
        <w:rPr>
          <w:sz w:val="22"/>
          <w:szCs w:val="20"/>
          <w:lang w:eastAsia="en-GB"/>
        </w:rPr>
      </w:pPr>
    </w:p>
    <w:p w14:paraId="35451B85"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In </w:t>
      </w:r>
      <w:r>
        <w:rPr>
          <w:b/>
          <w:bCs/>
          <w:sz w:val="22"/>
          <w:szCs w:val="20"/>
          <w:lang w:eastAsia="en-GB"/>
        </w:rPr>
        <w:t>USMF</w:t>
      </w:r>
      <w:r>
        <w:rPr>
          <w:sz w:val="22"/>
          <w:szCs w:val="20"/>
          <w:lang w:eastAsia="en-GB"/>
        </w:rPr>
        <w:t xml:space="preserve">, Navigate to </w:t>
      </w:r>
      <w:r>
        <w:rPr>
          <w:b/>
          <w:bCs/>
          <w:sz w:val="22"/>
          <w:szCs w:val="20"/>
          <w:lang w:eastAsia="en-GB"/>
        </w:rPr>
        <w:t>Accounts receivable &gt; Setup &gt; Customer posting profiles</w:t>
      </w:r>
      <w:r>
        <w:rPr>
          <w:sz w:val="22"/>
          <w:szCs w:val="20"/>
          <w:lang w:eastAsia="en-GB"/>
        </w:rPr>
        <w:t>.</w:t>
      </w:r>
    </w:p>
    <w:p w14:paraId="373D9402"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Select </w:t>
      </w:r>
      <w:r>
        <w:rPr>
          <w:b/>
          <w:bCs/>
          <w:sz w:val="22"/>
          <w:szCs w:val="20"/>
          <w:lang w:eastAsia="en-GB"/>
        </w:rPr>
        <w:t>New</w:t>
      </w:r>
    </w:p>
    <w:p w14:paraId="5063F0A2"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In the </w:t>
      </w:r>
      <w:r>
        <w:rPr>
          <w:b/>
          <w:bCs/>
          <w:sz w:val="22"/>
          <w:szCs w:val="20"/>
          <w:lang w:eastAsia="en-GB"/>
        </w:rPr>
        <w:t>Posting Profile</w:t>
      </w:r>
      <w:r>
        <w:rPr>
          <w:sz w:val="22"/>
          <w:szCs w:val="20"/>
          <w:lang w:eastAsia="en-GB"/>
        </w:rPr>
        <w:t xml:space="preserve"> field, type </w:t>
      </w:r>
      <w:r>
        <w:rPr>
          <w:b/>
          <w:bCs/>
          <w:sz w:val="22"/>
          <w:szCs w:val="20"/>
          <w:lang w:eastAsia="en-GB"/>
        </w:rPr>
        <w:t>Prom</w:t>
      </w:r>
      <w:r>
        <w:rPr>
          <w:sz w:val="22"/>
          <w:szCs w:val="20"/>
          <w:lang w:eastAsia="en-GB"/>
        </w:rPr>
        <w:t>.</w:t>
      </w:r>
    </w:p>
    <w:p w14:paraId="251363E0"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w:t>
      </w:r>
      <w:r>
        <w:rPr>
          <w:b/>
          <w:bCs/>
          <w:sz w:val="22"/>
          <w:szCs w:val="20"/>
          <w:lang w:eastAsia="en-GB"/>
        </w:rPr>
        <w:t>Promotion</w:t>
      </w:r>
      <w:r>
        <w:rPr>
          <w:sz w:val="22"/>
          <w:szCs w:val="20"/>
          <w:lang w:eastAsia="en-GB"/>
        </w:rPr>
        <w:t>.</w:t>
      </w:r>
    </w:p>
    <w:p w14:paraId="73EB46DD" w14:textId="77777777" w:rsidR="003D3984" w:rsidRDefault="003D3984" w:rsidP="003D3984">
      <w:pPr>
        <w:pStyle w:val="ListParagraph"/>
        <w:widowControl w:val="0"/>
        <w:numPr>
          <w:ilvl w:val="0"/>
          <w:numId w:val="4"/>
        </w:numPr>
        <w:spacing w:after="200" w:line="276" w:lineRule="auto"/>
        <w:rPr>
          <w:sz w:val="22"/>
          <w:lang w:eastAsia="en-GB"/>
        </w:rPr>
      </w:pPr>
      <w:r>
        <w:rPr>
          <w:sz w:val="22"/>
          <w:lang w:eastAsia="en-GB"/>
        </w:rPr>
        <w:t xml:space="preserve">On the </w:t>
      </w:r>
      <w:r>
        <w:rPr>
          <w:b/>
          <w:bCs/>
          <w:sz w:val="22"/>
          <w:lang w:eastAsia="en-GB"/>
        </w:rPr>
        <w:t>Table restrictions</w:t>
      </w:r>
      <w:r>
        <w:rPr>
          <w:sz w:val="22"/>
          <w:lang w:eastAsia="en-GB"/>
        </w:rPr>
        <w:t xml:space="preserve"> tab, make sure that </w:t>
      </w:r>
      <w:r>
        <w:rPr>
          <w:b/>
          <w:bCs/>
          <w:sz w:val="22"/>
          <w:lang w:eastAsia="en-GB"/>
        </w:rPr>
        <w:t>Allow automatic settlement</w:t>
      </w:r>
      <w:r>
        <w:rPr>
          <w:sz w:val="22"/>
          <w:lang w:eastAsia="en-GB"/>
        </w:rPr>
        <w:t xml:space="preserve"> to </w:t>
      </w:r>
      <w:r>
        <w:rPr>
          <w:b/>
          <w:bCs/>
          <w:sz w:val="22"/>
          <w:lang w:eastAsia="en-GB"/>
        </w:rPr>
        <w:t>Yes.</w:t>
      </w:r>
    </w:p>
    <w:p w14:paraId="240A78DC"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Set the </w:t>
      </w:r>
      <w:r>
        <w:rPr>
          <w:b/>
          <w:bCs/>
          <w:sz w:val="22"/>
          <w:szCs w:val="20"/>
          <w:lang w:eastAsia="en-GB"/>
        </w:rPr>
        <w:t>Interest</w:t>
      </w:r>
      <w:r>
        <w:rPr>
          <w:sz w:val="22"/>
          <w:szCs w:val="20"/>
          <w:lang w:eastAsia="en-GB"/>
        </w:rPr>
        <w:t xml:space="preserve"> and </w:t>
      </w:r>
      <w:r>
        <w:rPr>
          <w:b/>
          <w:bCs/>
          <w:sz w:val="22"/>
          <w:szCs w:val="20"/>
          <w:lang w:eastAsia="en-GB"/>
        </w:rPr>
        <w:t>Collection letter</w:t>
      </w:r>
      <w:r>
        <w:rPr>
          <w:sz w:val="22"/>
          <w:szCs w:val="20"/>
          <w:lang w:eastAsia="en-GB"/>
        </w:rPr>
        <w:t xml:space="preserve"> options to </w:t>
      </w:r>
      <w:r>
        <w:rPr>
          <w:b/>
          <w:bCs/>
          <w:sz w:val="22"/>
          <w:szCs w:val="20"/>
          <w:lang w:eastAsia="en-GB"/>
        </w:rPr>
        <w:t>Yes</w:t>
      </w:r>
      <w:r>
        <w:rPr>
          <w:sz w:val="22"/>
          <w:szCs w:val="20"/>
          <w:lang w:eastAsia="en-GB"/>
        </w:rPr>
        <w:t>.</w:t>
      </w:r>
    </w:p>
    <w:p w14:paraId="40CB4B0A"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 xml:space="preserve">Verify that the </w:t>
      </w:r>
      <w:r>
        <w:rPr>
          <w:b/>
          <w:bCs/>
          <w:sz w:val="22"/>
          <w:szCs w:val="20"/>
          <w:lang w:eastAsia="en-GB"/>
        </w:rPr>
        <w:t>Close</w:t>
      </w:r>
      <w:r>
        <w:rPr>
          <w:sz w:val="22"/>
          <w:szCs w:val="20"/>
          <w:lang w:eastAsia="en-GB"/>
        </w:rPr>
        <w:t xml:space="preserve"> field is blank.</w:t>
      </w:r>
    </w:p>
    <w:p w14:paraId="520AA489"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In the Setup FastTab:</w:t>
      </w:r>
    </w:p>
    <w:p w14:paraId="7D56F6CE"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Select </w:t>
      </w:r>
      <w:r>
        <w:rPr>
          <w:b/>
          <w:bCs/>
          <w:sz w:val="22"/>
          <w:szCs w:val="20"/>
          <w:lang w:eastAsia="en-GB"/>
        </w:rPr>
        <w:t>Add</w:t>
      </w:r>
    </w:p>
    <w:p w14:paraId="0C473147"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Account code</w:t>
      </w:r>
      <w:r>
        <w:rPr>
          <w:sz w:val="22"/>
          <w:szCs w:val="20"/>
          <w:lang w:eastAsia="en-GB"/>
        </w:rPr>
        <w:t xml:space="preserve"> field, select </w:t>
      </w:r>
      <w:r>
        <w:rPr>
          <w:b/>
          <w:bCs/>
          <w:sz w:val="22"/>
          <w:szCs w:val="20"/>
          <w:lang w:eastAsia="en-GB"/>
        </w:rPr>
        <w:t>group</w:t>
      </w:r>
      <w:r>
        <w:rPr>
          <w:sz w:val="22"/>
          <w:szCs w:val="20"/>
          <w:lang w:eastAsia="en-GB"/>
        </w:rPr>
        <w:t>.</w:t>
      </w:r>
    </w:p>
    <w:p w14:paraId="223A2EC3"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Account\Group Number</w:t>
      </w:r>
      <w:r>
        <w:rPr>
          <w:sz w:val="22"/>
          <w:szCs w:val="20"/>
          <w:lang w:eastAsia="en-GB"/>
        </w:rPr>
        <w:t xml:space="preserve"> field, select </w:t>
      </w:r>
      <w:r>
        <w:rPr>
          <w:b/>
          <w:bCs/>
          <w:sz w:val="22"/>
          <w:szCs w:val="20"/>
          <w:lang w:eastAsia="en-GB"/>
        </w:rPr>
        <w:t>30 Retail Customers</w:t>
      </w:r>
      <w:r>
        <w:rPr>
          <w:sz w:val="22"/>
          <w:szCs w:val="20"/>
          <w:lang w:eastAsia="en-GB"/>
        </w:rPr>
        <w:t>.</w:t>
      </w:r>
    </w:p>
    <w:p w14:paraId="2D20AAA2"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Summary account</w:t>
      </w:r>
      <w:r>
        <w:rPr>
          <w:sz w:val="22"/>
          <w:szCs w:val="20"/>
          <w:lang w:eastAsia="en-GB"/>
        </w:rPr>
        <w:t xml:space="preserve"> field, select </w:t>
      </w:r>
      <w:r>
        <w:rPr>
          <w:b/>
          <w:bCs/>
          <w:sz w:val="22"/>
          <w:szCs w:val="20"/>
          <w:lang w:eastAsia="en-GB"/>
        </w:rPr>
        <w:t>130100</w:t>
      </w:r>
      <w:r>
        <w:rPr>
          <w:sz w:val="22"/>
          <w:szCs w:val="20"/>
          <w:lang w:eastAsia="en-GB"/>
        </w:rPr>
        <w:t>.</w:t>
      </w:r>
    </w:p>
    <w:p w14:paraId="593EE0BE" w14:textId="77777777" w:rsidR="003D3984" w:rsidRDefault="003D3984" w:rsidP="003D3984">
      <w:pPr>
        <w:pStyle w:val="ListParagraph"/>
        <w:widowControl w:val="0"/>
        <w:numPr>
          <w:ilvl w:val="1"/>
          <w:numId w:val="4"/>
        </w:numPr>
        <w:spacing w:after="200" w:line="276" w:lineRule="auto"/>
        <w:rPr>
          <w:sz w:val="22"/>
          <w:lang w:eastAsia="en-GB"/>
        </w:rPr>
      </w:pPr>
      <w:r>
        <w:rPr>
          <w:sz w:val="22"/>
          <w:lang w:eastAsia="en-GB"/>
        </w:rPr>
        <w:t xml:space="preserve">In the </w:t>
      </w:r>
      <w:r>
        <w:rPr>
          <w:b/>
          <w:bCs/>
          <w:sz w:val="22"/>
          <w:lang w:eastAsia="en-GB"/>
        </w:rPr>
        <w:t>Liquidity account for payments</w:t>
      </w:r>
      <w:r>
        <w:rPr>
          <w:sz w:val="22"/>
          <w:lang w:eastAsia="en-GB"/>
        </w:rPr>
        <w:t xml:space="preserve"> field, select </w:t>
      </w:r>
      <w:r>
        <w:rPr>
          <w:b/>
          <w:bCs/>
          <w:sz w:val="22"/>
          <w:lang w:eastAsia="en-GB"/>
        </w:rPr>
        <w:t>110110</w:t>
      </w:r>
      <w:r>
        <w:rPr>
          <w:sz w:val="22"/>
          <w:lang w:eastAsia="en-GB"/>
        </w:rPr>
        <w:t>.</w:t>
      </w:r>
    </w:p>
    <w:p w14:paraId="5C40B555" w14:textId="77777777" w:rsidR="003D3984" w:rsidRDefault="003D3984" w:rsidP="003D3984">
      <w:pPr>
        <w:pStyle w:val="ListParagraph"/>
        <w:widowControl w:val="0"/>
        <w:numPr>
          <w:ilvl w:val="1"/>
          <w:numId w:val="4"/>
        </w:numPr>
        <w:spacing w:after="200" w:line="276" w:lineRule="auto"/>
        <w:rPr>
          <w:sz w:val="22"/>
          <w:szCs w:val="20"/>
          <w:lang w:eastAsia="en-GB"/>
        </w:rPr>
      </w:pPr>
      <w:r>
        <w:rPr>
          <w:sz w:val="22"/>
          <w:szCs w:val="20"/>
          <w:lang w:eastAsia="en-GB"/>
        </w:rPr>
        <w:t xml:space="preserve">In the </w:t>
      </w:r>
      <w:r>
        <w:rPr>
          <w:b/>
          <w:bCs/>
          <w:sz w:val="22"/>
          <w:szCs w:val="20"/>
          <w:lang w:eastAsia="en-GB"/>
        </w:rPr>
        <w:t>Collection letter sequence</w:t>
      </w:r>
      <w:r>
        <w:rPr>
          <w:sz w:val="22"/>
          <w:szCs w:val="20"/>
          <w:lang w:eastAsia="en-GB"/>
        </w:rPr>
        <w:t xml:space="preserve"> field, select </w:t>
      </w:r>
      <w:r>
        <w:rPr>
          <w:b/>
          <w:bCs/>
          <w:sz w:val="22"/>
          <w:szCs w:val="20"/>
          <w:lang w:eastAsia="en-GB"/>
        </w:rPr>
        <w:t>High</w:t>
      </w:r>
      <w:r>
        <w:rPr>
          <w:sz w:val="22"/>
          <w:szCs w:val="20"/>
          <w:lang w:eastAsia="en-GB"/>
        </w:rPr>
        <w:t>.</w:t>
      </w:r>
    </w:p>
    <w:p w14:paraId="397975B1" w14:textId="77777777" w:rsidR="003D3984" w:rsidRDefault="003D3984" w:rsidP="003D3984">
      <w:pPr>
        <w:pStyle w:val="ListParagraph"/>
        <w:widowControl w:val="0"/>
        <w:numPr>
          <w:ilvl w:val="0"/>
          <w:numId w:val="4"/>
        </w:numPr>
        <w:spacing w:after="200" w:line="276" w:lineRule="auto"/>
        <w:rPr>
          <w:sz w:val="22"/>
          <w:szCs w:val="20"/>
          <w:lang w:eastAsia="en-GB"/>
        </w:rPr>
      </w:pPr>
      <w:r>
        <w:rPr>
          <w:sz w:val="22"/>
          <w:szCs w:val="20"/>
          <w:lang w:eastAsia="en-GB"/>
        </w:rPr>
        <w:t>Close the form</w:t>
      </w:r>
    </w:p>
    <w:p w14:paraId="03A4CBCA" w14:textId="77777777" w:rsidR="003D3984" w:rsidRDefault="003D3984" w:rsidP="003D3984">
      <w:pPr>
        <w:pStyle w:val="Heading3"/>
        <w:ind w:left="10"/>
        <w:rPr>
          <w:rFonts w:cs="Segoe UI"/>
          <w:lang w:eastAsia="en-GB"/>
        </w:rPr>
      </w:pPr>
      <w:r>
        <w:rPr>
          <w:rFonts w:cs="Segoe UI"/>
          <w:color w:val="4472C4" w:themeColor="accent1"/>
          <w:lang w:eastAsia="en-GB"/>
        </w:rPr>
        <w:t>Establish</w:t>
      </w:r>
      <w:r>
        <w:rPr>
          <w:rFonts w:cs="Segoe UI"/>
          <w:lang w:eastAsia="en-GB"/>
        </w:rPr>
        <w:t xml:space="preserve"> </w:t>
      </w:r>
      <w:r>
        <w:rPr>
          <w:rFonts w:cs="Segoe UI"/>
          <w:color w:val="4472C4" w:themeColor="accent1"/>
          <w:lang w:eastAsia="en-GB"/>
        </w:rPr>
        <w:t>customer</w:t>
      </w:r>
      <w:r>
        <w:rPr>
          <w:rFonts w:cs="Segoe UI"/>
          <w:lang w:eastAsia="en-GB"/>
        </w:rPr>
        <w:t xml:space="preserve"> </w:t>
      </w:r>
      <w:r>
        <w:rPr>
          <w:rFonts w:cs="Segoe UI"/>
          <w:color w:val="4472C4" w:themeColor="accent1"/>
          <w:lang w:eastAsia="en-GB"/>
        </w:rPr>
        <w:t>payment</w:t>
      </w:r>
      <w:r>
        <w:rPr>
          <w:rFonts w:cs="Segoe UI"/>
          <w:lang w:eastAsia="en-GB"/>
        </w:rPr>
        <w:t xml:space="preserve"> </w:t>
      </w:r>
      <w:r>
        <w:rPr>
          <w:rFonts w:cs="Segoe UI"/>
          <w:color w:val="4472C4" w:themeColor="accent1"/>
          <w:lang w:eastAsia="en-GB"/>
        </w:rPr>
        <w:t>terms</w:t>
      </w:r>
    </w:p>
    <w:p w14:paraId="642AB89B" w14:textId="77777777" w:rsidR="003D3984" w:rsidRDefault="003D3984" w:rsidP="003D3984">
      <w:pPr>
        <w:pStyle w:val="ListParagraph"/>
        <w:numPr>
          <w:ilvl w:val="0"/>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Set up payment days:</w:t>
      </w:r>
    </w:p>
    <w:p w14:paraId="55F9034D"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USMF</w:t>
      </w:r>
      <w:r>
        <w:rPr>
          <w:rFonts w:eastAsia="Times New Roman"/>
          <w:sz w:val="22"/>
          <w:lang w:eastAsia="en-GB"/>
        </w:rPr>
        <w:t xml:space="preserve">, navigate to </w:t>
      </w:r>
      <w:r>
        <w:rPr>
          <w:rFonts w:eastAsia="Times New Roman"/>
          <w:b/>
          <w:bCs/>
          <w:sz w:val="22"/>
          <w:lang w:eastAsia="en-GB"/>
        </w:rPr>
        <w:t>Accounts receivable &gt; Payments setup &gt; Payment days</w:t>
      </w:r>
      <w:r>
        <w:rPr>
          <w:rFonts w:eastAsia="Times New Roman"/>
          <w:sz w:val="22"/>
          <w:lang w:eastAsia="en-GB"/>
        </w:rPr>
        <w:t>.</w:t>
      </w:r>
    </w:p>
    <w:p w14:paraId="4D007784"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25F5D4ED"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lastRenderedPageBreak/>
        <w:t xml:space="preserve">In the </w:t>
      </w:r>
      <w:r>
        <w:rPr>
          <w:rFonts w:eastAsia="Times New Roman"/>
          <w:b/>
          <w:bCs/>
          <w:sz w:val="22"/>
          <w:lang w:eastAsia="en-GB"/>
        </w:rPr>
        <w:t>Payment day</w:t>
      </w:r>
      <w:r>
        <w:rPr>
          <w:rFonts w:eastAsia="Times New Roman"/>
          <w:sz w:val="22"/>
          <w:lang w:eastAsia="en-GB"/>
        </w:rPr>
        <w:t xml:space="preserve"> field, enter </w:t>
      </w:r>
      <w:r>
        <w:rPr>
          <w:rFonts w:eastAsia="Times New Roman"/>
          <w:b/>
          <w:bCs/>
          <w:sz w:val="22"/>
          <w:lang w:eastAsia="en-GB"/>
        </w:rPr>
        <w:t>17</w:t>
      </w:r>
      <w:r>
        <w:rPr>
          <w:rFonts w:eastAsia="Times New Roman"/>
          <w:sz w:val="22"/>
          <w:lang w:eastAsia="en-GB"/>
        </w:rPr>
        <w:t xml:space="preserve"> for the Payment day in the payment day field.</w:t>
      </w:r>
    </w:p>
    <w:p w14:paraId="62F656FF"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enter </w:t>
      </w:r>
      <w:r>
        <w:rPr>
          <w:rFonts w:eastAsia="Times New Roman"/>
          <w:b/>
          <w:bCs/>
          <w:sz w:val="22"/>
          <w:lang w:eastAsia="en-GB"/>
        </w:rPr>
        <w:t>17</w:t>
      </w:r>
      <w:r>
        <w:rPr>
          <w:rFonts w:eastAsia="Times New Roman"/>
          <w:b/>
          <w:bCs/>
          <w:sz w:val="22"/>
          <w:vertAlign w:val="superscript"/>
          <w:lang w:eastAsia="en-GB"/>
        </w:rPr>
        <w:t>th</w:t>
      </w:r>
      <w:r>
        <w:rPr>
          <w:rFonts w:eastAsia="Times New Roman"/>
          <w:b/>
          <w:bCs/>
          <w:sz w:val="22"/>
          <w:lang w:eastAsia="en-GB"/>
        </w:rPr>
        <w:t xml:space="preserve"> of the month</w:t>
      </w:r>
      <w:r>
        <w:rPr>
          <w:rFonts w:eastAsia="Times New Roman"/>
          <w:sz w:val="22"/>
          <w:lang w:eastAsia="en-GB"/>
        </w:rPr>
        <w:t>.</w:t>
      </w:r>
    </w:p>
    <w:p w14:paraId="1F7458BE"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Week/Month</w:t>
      </w:r>
      <w:r>
        <w:rPr>
          <w:rFonts w:eastAsia="Times New Roman"/>
          <w:sz w:val="22"/>
          <w:lang w:eastAsia="en-GB"/>
        </w:rPr>
        <w:t xml:space="preserve"> field, select </w:t>
      </w:r>
      <w:r>
        <w:rPr>
          <w:rFonts w:eastAsia="Times New Roman"/>
          <w:b/>
          <w:bCs/>
          <w:sz w:val="22"/>
          <w:lang w:eastAsia="en-GB"/>
        </w:rPr>
        <w:t>Month</w:t>
      </w:r>
      <w:r>
        <w:rPr>
          <w:rFonts w:eastAsia="Times New Roman"/>
          <w:sz w:val="22"/>
          <w:lang w:eastAsia="en-GB"/>
        </w:rPr>
        <w:t>.</w:t>
      </w:r>
    </w:p>
    <w:p w14:paraId="4D7D3E46"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Day of month</w:t>
      </w:r>
      <w:r>
        <w:rPr>
          <w:rFonts w:eastAsia="Times New Roman"/>
          <w:sz w:val="22"/>
          <w:lang w:eastAsia="en-GB"/>
        </w:rPr>
        <w:t xml:space="preserve"> field, enter </w:t>
      </w:r>
      <w:r>
        <w:rPr>
          <w:rFonts w:eastAsia="Times New Roman"/>
          <w:b/>
          <w:bCs/>
          <w:sz w:val="22"/>
          <w:lang w:eastAsia="en-GB"/>
        </w:rPr>
        <w:t>17</w:t>
      </w:r>
      <w:r>
        <w:rPr>
          <w:rFonts w:eastAsia="Times New Roman"/>
          <w:sz w:val="22"/>
          <w:lang w:eastAsia="en-GB"/>
        </w:rPr>
        <w:t>.</w:t>
      </w:r>
    </w:p>
    <w:p w14:paraId="58CAE7AF"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Save</w:t>
      </w:r>
    </w:p>
    <w:p w14:paraId="7B26FFC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222EB7DB" w14:textId="77777777" w:rsidR="003D3984" w:rsidRDefault="003D3984" w:rsidP="003D3984">
      <w:pPr>
        <w:pStyle w:val="ListParagraph"/>
        <w:numPr>
          <w:ilvl w:val="0"/>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Set up Payment Terms:</w:t>
      </w:r>
    </w:p>
    <w:p w14:paraId="75500221"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Payments setup &gt; Terms of payment</w:t>
      </w:r>
      <w:r>
        <w:rPr>
          <w:rFonts w:eastAsia="Times New Roman"/>
          <w:sz w:val="22"/>
          <w:lang w:eastAsia="en-GB"/>
        </w:rPr>
        <w:t>.</w:t>
      </w:r>
    </w:p>
    <w:p w14:paraId="196EA753"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r>
        <w:rPr>
          <w:rFonts w:eastAsia="Times New Roman"/>
          <w:sz w:val="22"/>
          <w:lang w:eastAsia="en-GB"/>
        </w:rPr>
        <w:t xml:space="preserve"> </w:t>
      </w:r>
    </w:p>
    <w:p w14:paraId="4515CE07"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Terms of payment is used to define how the due dates will be calculated. The cash discount date setup is defined in a separate page.</w:t>
      </w:r>
    </w:p>
    <w:p w14:paraId="708DC931"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Terms of payment</w:t>
      </w:r>
      <w:r>
        <w:rPr>
          <w:rFonts w:eastAsia="Times New Roman"/>
          <w:sz w:val="22"/>
          <w:lang w:eastAsia="en-GB"/>
        </w:rPr>
        <w:t xml:space="preserve"> field, enter </w:t>
      </w:r>
      <w:r>
        <w:rPr>
          <w:rFonts w:eastAsia="Times New Roman"/>
          <w:b/>
          <w:bCs/>
          <w:sz w:val="22"/>
          <w:lang w:eastAsia="en-GB"/>
        </w:rPr>
        <w:t>AWC-45</w:t>
      </w:r>
      <w:r>
        <w:rPr>
          <w:rFonts w:eastAsia="Times New Roman"/>
          <w:sz w:val="22"/>
          <w:lang w:eastAsia="en-GB"/>
        </w:rPr>
        <w:t>.</w:t>
      </w:r>
    </w:p>
    <w:p w14:paraId="0A6C572A"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enter </w:t>
      </w:r>
      <w:r>
        <w:rPr>
          <w:rFonts w:eastAsia="Times New Roman"/>
          <w:b/>
          <w:bCs/>
          <w:sz w:val="22"/>
          <w:lang w:eastAsia="en-GB"/>
        </w:rPr>
        <w:t>Net 45 days</w:t>
      </w:r>
      <w:r>
        <w:rPr>
          <w:rFonts w:eastAsia="Times New Roman"/>
          <w:sz w:val="22"/>
          <w:lang w:eastAsia="en-GB"/>
        </w:rPr>
        <w:t>.</w:t>
      </w:r>
    </w:p>
    <w:p w14:paraId="79588B3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Setup</w:t>
      </w:r>
      <w:r>
        <w:rPr>
          <w:rFonts w:eastAsia="Times New Roman"/>
          <w:sz w:val="22"/>
          <w:lang w:eastAsia="en-GB"/>
        </w:rPr>
        <w:t xml:space="preserve"> section, select a payment method </w:t>
      </w:r>
      <w:r>
        <w:rPr>
          <w:rFonts w:eastAsia="Times New Roman"/>
          <w:b/>
          <w:bCs/>
          <w:sz w:val="22"/>
          <w:lang w:eastAsia="en-GB"/>
        </w:rPr>
        <w:t>Current month</w:t>
      </w:r>
      <w:r>
        <w:rPr>
          <w:rFonts w:eastAsia="Times New Roman"/>
          <w:sz w:val="22"/>
          <w:lang w:eastAsia="en-GB"/>
        </w:rPr>
        <w:t xml:space="preserve">. The payment method is used to define the start of how the due will be calculated. For example, </w:t>
      </w:r>
      <w:r>
        <w:rPr>
          <w:rFonts w:eastAsia="Times New Roman"/>
          <w:b/>
          <w:bCs/>
          <w:sz w:val="22"/>
          <w:lang w:eastAsia="en-GB"/>
        </w:rPr>
        <w:t>Net</w:t>
      </w:r>
      <w:r>
        <w:rPr>
          <w:rFonts w:eastAsia="Times New Roman"/>
          <w:sz w:val="22"/>
          <w:lang w:eastAsia="en-GB"/>
        </w:rPr>
        <w:t xml:space="preserve"> is used if the due date is always a set number of months or days after the invoice date. </w:t>
      </w:r>
      <w:r>
        <w:rPr>
          <w:rFonts w:eastAsia="Times New Roman"/>
          <w:b/>
          <w:bCs/>
          <w:sz w:val="22"/>
          <w:lang w:eastAsia="en-GB"/>
        </w:rPr>
        <w:t>COD</w:t>
      </w:r>
      <w:r>
        <w:rPr>
          <w:rFonts w:eastAsia="Times New Roman"/>
          <w:sz w:val="22"/>
          <w:lang w:eastAsia="en-GB"/>
        </w:rPr>
        <w:t xml:space="preserve"> can be used too when payment is required upon invoice, so a due date wouldn't be calculated. </w:t>
      </w:r>
    </w:p>
    <w:p w14:paraId="54E0EC0F"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Save</w:t>
      </w:r>
    </w:p>
    <w:p w14:paraId="53CCCEB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Close the page</w:t>
      </w:r>
    </w:p>
    <w:p w14:paraId="732254EF" w14:textId="77777777" w:rsidR="003D3984" w:rsidRDefault="003D3984" w:rsidP="003D3984">
      <w:pPr>
        <w:pStyle w:val="ListParagraph"/>
        <w:numPr>
          <w:ilvl w:val="0"/>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Set up cash discount:</w:t>
      </w:r>
    </w:p>
    <w:p w14:paraId="07213F9A"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Accounts receivable &gt; Payments setup &gt; Cash discounts</w:t>
      </w:r>
      <w:r>
        <w:rPr>
          <w:rFonts w:eastAsia="Times New Roman"/>
          <w:sz w:val="22"/>
          <w:lang w:eastAsia="en-GB"/>
        </w:rPr>
        <w:t>.</w:t>
      </w:r>
    </w:p>
    <w:p w14:paraId="2191A447"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6B580D82"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Cash discount</w:t>
      </w:r>
      <w:r>
        <w:rPr>
          <w:rFonts w:eastAsia="Times New Roman"/>
          <w:sz w:val="22"/>
          <w:lang w:eastAsia="en-GB"/>
        </w:rPr>
        <w:t xml:space="preserve"> field, enter </w:t>
      </w:r>
      <w:r>
        <w:rPr>
          <w:rFonts w:eastAsia="Times New Roman"/>
          <w:b/>
          <w:bCs/>
          <w:sz w:val="22"/>
          <w:lang w:eastAsia="en-GB"/>
        </w:rPr>
        <w:t>AWC-15D5%</w:t>
      </w:r>
      <w:r>
        <w:rPr>
          <w:rFonts w:eastAsia="Times New Roman"/>
          <w:sz w:val="22"/>
          <w:lang w:eastAsia="en-GB"/>
        </w:rPr>
        <w:t>.</w:t>
      </w:r>
    </w:p>
    <w:p w14:paraId="2C0B2CA3"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enter </w:t>
      </w:r>
      <w:r>
        <w:rPr>
          <w:rFonts w:eastAsia="Times New Roman"/>
          <w:b/>
          <w:bCs/>
          <w:sz w:val="22"/>
          <w:lang w:eastAsia="en-GB"/>
        </w:rPr>
        <w:t>Offer 5% if paid within 15 days</w:t>
      </w:r>
      <w:r>
        <w:rPr>
          <w:rFonts w:eastAsia="Times New Roman"/>
          <w:sz w:val="22"/>
          <w:lang w:eastAsia="en-GB"/>
        </w:rPr>
        <w:t>.</w:t>
      </w:r>
    </w:p>
    <w:p w14:paraId="43BC3F28"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Setup</w:t>
      </w:r>
      <w:r>
        <w:rPr>
          <w:rFonts w:eastAsia="Times New Roman"/>
          <w:sz w:val="22"/>
          <w:lang w:eastAsia="en-GB"/>
        </w:rPr>
        <w:t xml:space="preserve"> section, enter the number of days used to calculate the cash discount date in </w:t>
      </w:r>
      <w:r>
        <w:rPr>
          <w:rFonts w:eastAsia="Times New Roman"/>
          <w:b/>
          <w:bCs/>
          <w:sz w:val="22"/>
          <w:lang w:eastAsia="en-GB"/>
        </w:rPr>
        <w:t>Days</w:t>
      </w:r>
      <w:r>
        <w:rPr>
          <w:rFonts w:eastAsia="Times New Roman"/>
          <w:sz w:val="22"/>
          <w:lang w:eastAsia="en-GB"/>
        </w:rPr>
        <w:t xml:space="preserve">. Enter </w:t>
      </w:r>
      <w:r>
        <w:rPr>
          <w:rFonts w:eastAsia="Times New Roman"/>
          <w:b/>
          <w:bCs/>
          <w:sz w:val="22"/>
          <w:lang w:eastAsia="en-GB"/>
        </w:rPr>
        <w:t>15</w:t>
      </w:r>
      <w:r>
        <w:rPr>
          <w:rFonts w:eastAsia="Times New Roman"/>
          <w:sz w:val="22"/>
          <w:lang w:eastAsia="en-GB"/>
        </w:rPr>
        <w:t>. If Net principle is selected, the number of days will be added to the invoice date to calculate the cash discount date.</w:t>
      </w:r>
    </w:p>
    <w:p w14:paraId="27CFC87C"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Enter the </w:t>
      </w:r>
      <w:r>
        <w:rPr>
          <w:rFonts w:eastAsia="Times New Roman"/>
          <w:b/>
          <w:bCs/>
          <w:sz w:val="22"/>
          <w:lang w:eastAsia="en-GB"/>
        </w:rPr>
        <w:t>percentage</w:t>
      </w:r>
      <w:r>
        <w:rPr>
          <w:rFonts w:eastAsia="Times New Roman"/>
          <w:sz w:val="22"/>
          <w:lang w:eastAsia="en-GB"/>
        </w:rPr>
        <w:t xml:space="preserve"> of the cash discount in </w:t>
      </w:r>
      <w:r>
        <w:rPr>
          <w:rFonts w:eastAsia="Times New Roman"/>
          <w:b/>
          <w:bCs/>
          <w:sz w:val="22"/>
          <w:lang w:eastAsia="en-GB"/>
        </w:rPr>
        <w:t>Discount percentage</w:t>
      </w:r>
      <w:r>
        <w:rPr>
          <w:rFonts w:eastAsia="Times New Roman"/>
          <w:sz w:val="22"/>
          <w:lang w:eastAsia="en-GB"/>
        </w:rPr>
        <w:t xml:space="preserve">. Enter </w:t>
      </w:r>
      <w:r>
        <w:rPr>
          <w:rFonts w:eastAsia="Times New Roman"/>
          <w:b/>
          <w:bCs/>
          <w:sz w:val="22"/>
          <w:lang w:eastAsia="en-GB"/>
        </w:rPr>
        <w:t>5</w:t>
      </w:r>
      <w:r>
        <w:rPr>
          <w:rFonts w:eastAsia="Times New Roman"/>
          <w:sz w:val="22"/>
          <w:lang w:eastAsia="en-GB"/>
        </w:rPr>
        <w:t>.</w:t>
      </w:r>
    </w:p>
    <w:p w14:paraId="694B068D"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Main account for customer discounts</w:t>
      </w:r>
      <w:r>
        <w:rPr>
          <w:rFonts w:eastAsia="Times New Roman"/>
          <w:sz w:val="22"/>
          <w:lang w:eastAsia="en-GB"/>
        </w:rPr>
        <w:t xml:space="preserve">, enter the main account to which the cash discount will post for customer invoices. Select </w:t>
      </w:r>
      <w:r>
        <w:rPr>
          <w:rFonts w:eastAsia="Times New Roman"/>
          <w:b/>
          <w:bCs/>
          <w:sz w:val="22"/>
          <w:lang w:eastAsia="en-GB"/>
        </w:rPr>
        <w:t>403300</w:t>
      </w:r>
    </w:p>
    <w:p w14:paraId="7E473054"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Discount offset accounts</w:t>
      </w:r>
      <w:r>
        <w:rPr>
          <w:rFonts w:eastAsia="Times New Roman"/>
          <w:sz w:val="22"/>
          <w:lang w:eastAsia="en-GB"/>
        </w:rPr>
        <w:t xml:space="preserve"> field, select an option. If you select 'Accounts on the invoice lines,' the cash discount will post to the same asset/expense main account on the lines of the Customer invoice. If you select </w:t>
      </w:r>
      <w:r>
        <w:rPr>
          <w:rFonts w:eastAsia="Times New Roman"/>
          <w:b/>
          <w:bCs/>
          <w:sz w:val="22"/>
          <w:lang w:eastAsia="en-GB"/>
        </w:rPr>
        <w:t xml:space="preserve">'Use main account for Customer invoices,' </w:t>
      </w:r>
      <w:r>
        <w:rPr>
          <w:rFonts w:eastAsia="Times New Roman"/>
          <w:sz w:val="22"/>
          <w:lang w:eastAsia="en-GB"/>
        </w:rPr>
        <w:t xml:space="preserve">the cash discount will post to the main account you define in the </w:t>
      </w:r>
      <w:r>
        <w:rPr>
          <w:rFonts w:eastAsia="Times New Roman"/>
          <w:b/>
          <w:bCs/>
          <w:sz w:val="22"/>
          <w:lang w:eastAsia="en-GB"/>
        </w:rPr>
        <w:t>Main account for vendor discounts</w:t>
      </w:r>
      <w:r>
        <w:rPr>
          <w:rFonts w:eastAsia="Times New Roman"/>
          <w:sz w:val="22"/>
          <w:lang w:eastAsia="en-GB"/>
        </w:rPr>
        <w:t xml:space="preserve">. For this example, select </w:t>
      </w:r>
      <w:r>
        <w:rPr>
          <w:rFonts w:eastAsia="Times New Roman"/>
          <w:b/>
          <w:bCs/>
          <w:sz w:val="22"/>
          <w:lang w:eastAsia="en-GB"/>
        </w:rPr>
        <w:t>'Use main account for vendor discounts</w:t>
      </w:r>
      <w:r>
        <w:rPr>
          <w:rFonts w:eastAsia="Times New Roman"/>
          <w:sz w:val="22"/>
          <w:lang w:eastAsia="en-GB"/>
        </w:rPr>
        <w:t>.'</w:t>
      </w:r>
    </w:p>
    <w:p w14:paraId="0C15EFF1" w14:textId="77777777" w:rsidR="003D3984" w:rsidRDefault="003D3984" w:rsidP="003D3984">
      <w:pPr>
        <w:pStyle w:val="ListParagraph"/>
        <w:numPr>
          <w:ilvl w:val="1"/>
          <w:numId w:val="5"/>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Enter the </w:t>
      </w:r>
      <w:r>
        <w:rPr>
          <w:rFonts w:eastAsia="Times New Roman"/>
          <w:b/>
          <w:bCs/>
          <w:sz w:val="22"/>
          <w:lang w:eastAsia="en-GB"/>
        </w:rPr>
        <w:t>Main account for vendor discounts</w:t>
      </w:r>
      <w:r>
        <w:rPr>
          <w:rFonts w:eastAsia="Times New Roman"/>
          <w:sz w:val="22"/>
          <w:lang w:eastAsia="en-GB"/>
        </w:rPr>
        <w:t xml:space="preserve">, to which the cash discount will post. Select </w:t>
      </w:r>
      <w:r>
        <w:rPr>
          <w:rFonts w:eastAsia="Times New Roman"/>
          <w:b/>
          <w:bCs/>
          <w:sz w:val="22"/>
          <w:lang w:eastAsia="en-GB"/>
        </w:rPr>
        <w:t>520200</w:t>
      </w:r>
    </w:p>
    <w:p w14:paraId="40A2B9E8" w14:textId="77777777" w:rsidR="003D3984" w:rsidRDefault="003D3984" w:rsidP="003D3984">
      <w:pPr>
        <w:pStyle w:val="ListParagraph"/>
        <w:numPr>
          <w:ilvl w:val="1"/>
          <w:numId w:val="5"/>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Save</w:t>
      </w:r>
    </w:p>
    <w:p w14:paraId="3DC2CC74" w14:textId="77777777" w:rsidR="003D3984" w:rsidRDefault="003D3984" w:rsidP="003D3984">
      <w:pPr>
        <w:pStyle w:val="Heading3"/>
        <w:ind w:left="10"/>
        <w:rPr>
          <w:rFonts w:cs="Segoe UI"/>
          <w:lang w:val="en-GB" w:eastAsia="en-GB"/>
        </w:rPr>
      </w:pPr>
      <w:r>
        <w:rPr>
          <w:rFonts w:cs="Segoe UI"/>
          <w:lang w:val="en-GB" w:eastAsia="en-GB"/>
        </w:rPr>
        <w:t xml:space="preserve">Create a method of payment for customer </w:t>
      </w:r>
      <w:proofErr w:type="gramStart"/>
      <w:r>
        <w:rPr>
          <w:rFonts w:cs="Segoe UI"/>
          <w:lang w:val="en-GB" w:eastAsia="en-GB"/>
        </w:rPr>
        <w:t>payments</w:t>
      </w:r>
      <w:proofErr w:type="gramEnd"/>
    </w:p>
    <w:p w14:paraId="752A4971"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w:t>
      </w:r>
      <w:r>
        <w:rPr>
          <w:rFonts w:eastAsia="Times New Roman"/>
          <w:b/>
          <w:bCs/>
          <w:sz w:val="22"/>
          <w:lang w:val="en-GB" w:eastAsia="en-GB"/>
        </w:rPr>
        <w:t>USMF</w:t>
      </w:r>
      <w:r>
        <w:rPr>
          <w:rFonts w:eastAsia="Times New Roman"/>
          <w:sz w:val="22"/>
          <w:lang w:val="en-GB" w:eastAsia="en-GB"/>
        </w:rPr>
        <w:t xml:space="preserve">, Navigate to </w:t>
      </w:r>
      <w:r>
        <w:rPr>
          <w:rFonts w:eastAsia="Times New Roman"/>
          <w:b/>
          <w:bCs/>
          <w:sz w:val="22"/>
          <w:lang w:val="en-GB" w:eastAsia="en-GB"/>
        </w:rPr>
        <w:t>Accounts receivable &gt; Payments setup &gt; Methods of payment</w:t>
      </w:r>
      <w:r>
        <w:rPr>
          <w:rFonts w:eastAsia="Times New Roman"/>
          <w:sz w:val="22"/>
          <w:lang w:val="en-GB" w:eastAsia="en-GB"/>
        </w:rPr>
        <w:t>.</w:t>
      </w:r>
    </w:p>
    <w:p w14:paraId="725062F1"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lastRenderedPageBreak/>
        <w:t xml:space="preserve">Select </w:t>
      </w:r>
      <w:r>
        <w:rPr>
          <w:rFonts w:eastAsia="Times New Roman"/>
          <w:b/>
          <w:bCs/>
          <w:sz w:val="22"/>
          <w:lang w:val="en-GB" w:eastAsia="en-GB"/>
        </w:rPr>
        <w:t>New</w:t>
      </w:r>
    </w:p>
    <w:p w14:paraId="10F0B12A"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Method of payment</w:t>
      </w:r>
      <w:r>
        <w:rPr>
          <w:rFonts w:eastAsia="Times New Roman"/>
          <w:sz w:val="22"/>
          <w:lang w:val="en-GB" w:eastAsia="en-GB"/>
        </w:rPr>
        <w:t xml:space="preserve"> field, enter </w:t>
      </w:r>
      <w:r>
        <w:rPr>
          <w:rFonts w:eastAsia="Times New Roman"/>
          <w:b/>
          <w:bCs/>
          <w:sz w:val="22"/>
          <w:lang w:val="en-GB" w:eastAsia="en-GB"/>
        </w:rPr>
        <w:t>AWC-EP</w:t>
      </w:r>
      <w:r>
        <w:rPr>
          <w:rFonts w:eastAsia="Times New Roman"/>
          <w:sz w:val="22"/>
          <w:lang w:val="en-GB" w:eastAsia="en-GB"/>
        </w:rPr>
        <w:t>. The Method of payment ID is shown on invoices and payments, so make it descriptive enough to understand what type of payment is being recorded, and for what bank account.</w:t>
      </w:r>
    </w:p>
    <w:p w14:paraId="7CC9443D"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Description</w:t>
      </w:r>
      <w:r>
        <w:rPr>
          <w:rFonts w:eastAsia="Times New Roman"/>
          <w:sz w:val="22"/>
          <w:lang w:val="en-GB" w:eastAsia="en-GB"/>
        </w:rPr>
        <w:t xml:space="preserve"> field, enter </w:t>
      </w:r>
      <w:r>
        <w:rPr>
          <w:rFonts w:eastAsia="Times New Roman"/>
          <w:b/>
          <w:bCs/>
          <w:sz w:val="22"/>
          <w:lang w:val="en-GB" w:eastAsia="en-GB"/>
        </w:rPr>
        <w:t>Electronic payments</w:t>
      </w:r>
      <w:r>
        <w:rPr>
          <w:rFonts w:eastAsia="Times New Roman"/>
          <w:sz w:val="22"/>
          <w:lang w:val="en-GB" w:eastAsia="en-GB"/>
        </w:rPr>
        <w:t>.</w:t>
      </w:r>
    </w:p>
    <w:p w14:paraId="504BC9E7" w14:textId="77777777" w:rsidR="003D3984" w:rsidRDefault="003D3984" w:rsidP="003D3984">
      <w:pPr>
        <w:pStyle w:val="ListParagraph"/>
        <w:numPr>
          <w:ilvl w:val="0"/>
          <w:numId w:val="6"/>
        </w:numPr>
        <w:shd w:val="clear" w:color="auto" w:fill="FFFFFF" w:themeFill="background1"/>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how customers payments should be created for invoices. In the </w:t>
      </w:r>
      <w:r>
        <w:rPr>
          <w:rFonts w:eastAsia="Times New Roman"/>
          <w:b/>
          <w:bCs/>
          <w:sz w:val="22"/>
          <w:lang w:val="en-GB" w:eastAsia="en-GB"/>
        </w:rPr>
        <w:t>Period</w:t>
      </w:r>
      <w:r>
        <w:rPr>
          <w:rFonts w:eastAsia="Times New Roman"/>
          <w:sz w:val="22"/>
          <w:lang w:val="en-GB" w:eastAsia="en-GB"/>
        </w:rPr>
        <w:t xml:space="preserve"> field select </w:t>
      </w:r>
      <w:r>
        <w:rPr>
          <w:rFonts w:eastAsia="Times New Roman"/>
          <w:b/>
          <w:bCs/>
          <w:sz w:val="22"/>
          <w:lang w:val="en-GB" w:eastAsia="en-GB"/>
        </w:rPr>
        <w:t>Total</w:t>
      </w:r>
      <w:r>
        <w:rPr>
          <w:rFonts w:eastAsia="Times New Roman"/>
          <w:sz w:val="22"/>
          <w:lang w:val="en-GB" w:eastAsia="en-GB"/>
        </w:rPr>
        <w:t>. This option is only used when running a payment proposal. A payment proposal could be used for customer payments when doing direct debits and pulling the funds from the customers' bank accounts.</w:t>
      </w:r>
    </w:p>
    <w:p w14:paraId="068D7292"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what </w:t>
      </w:r>
      <w:r>
        <w:rPr>
          <w:rFonts w:eastAsia="Times New Roman"/>
          <w:b/>
          <w:bCs/>
          <w:sz w:val="22"/>
          <w:lang w:val="en-GB" w:eastAsia="en-GB"/>
        </w:rPr>
        <w:t>Payment status</w:t>
      </w:r>
      <w:r>
        <w:rPr>
          <w:rFonts w:eastAsia="Times New Roman"/>
          <w:sz w:val="22"/>
          <w:lang w:val="en-GB" w:eastAsia="en-GB"/>
        </w:rPr>
        <w:t xml:space="preserve"> is required </w:t>
      </w:r>
      <w:proofErr w:type="gramStart"/>
      <w:r>
        <w:rPr>
          <w:rFonts w:eastAsia="Times New Roman"/>
          <w:sz w:val="22"/>
          <w:lang w:val="en-GB" w:eastAsia="en-GB"/>
        </w:rPr>
        <w:t>in order for</w:t>
      </w:r>
      <w:proofErr w:type="gramEnd"/>
      <w:r>
        <w:rPr>
          <w:rFonts w:eastAsia="Times New Roman"/>
          <w:sz w:val="22"/>
          <w:lang w:val="en-GB" w:eastAsia="en-GB"/>
        </w:rPr>
        <w:t xml:space="preserve"> payments to be posted. Select </w:t>
      </w:r>
      <w:r>
        <w:rPr>
          <w:rFonts w:eastAsia="Times New Roman"/>
          <w:b/>
          <w:bCs/>
          <w:sz w:val="22"/>
          <w:lang w:val="en-GB" w:eastAsia="en-GB"/>
        </w:rPr>
        <w:t>Approved</w:t>
      </w:r>
      <w:r>
        <w:rPr>
          <w:rFonts w:eastAsia="Times New Roman"/>
          <w:sz w:val="22"/>
          <w:lang w:val="en-GB" w:eastAsia="en-GB"/>
        </w:rPr>
        <w:t xml:space="preserve"> </w:t>
      </w:r>
    </w:p>
    <w:p w14:paraId="7B7101BC"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When creating a customer payment, it can only be posted when the payment status matches the payment status you define here.</w:t>
      </w:r>
    </w:p>
    <w:p w14:paraId="395C7A11"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w:t>
      </w:r>
      <w:r>
        <w:rPr>
          <w:rFonts w:eastAsia="Times New Roman"/>
          <w:b/>
          <w:bCs/>
          <w:sz w:val="22"/>
          <w:lang w:val="en-GB" w:eastAsia="en-GB"/>
        </w:rPr>
        <w:t>Payment type</w:t>
      </w:r>
      <w:r>
        <w:rPr>
          <w:rFonts w:eastAsia="Times New Roman"/>
          <w:sz w:val="22"/>
          <w:lang w:val="en-GB" w:eastAsia="en-GB"/>
        </w:rPr>
        <w:t xml:space="preserve"> as </w:t>
      </w:r>
      <w:r>
        <w:rPr>
          <w:rFonts w:eastAsia="Times New Roman"/>
          <w:b/>
          <w:bCs/>
          <w:sz w:val="22"/>
          <w:lang w:val="en-GB" w:eastAsia="en-GB"/>
        </w:rPr>
        <w:t>Electronic payment</w:t>
      </w:r>
      <w:r>
        <w:rPr>
          <w:rFonts w:eastAsia="Times New Roman"/>
          <w:sz w:val="22"/>
          <w:lang w:val="en-GB" w:eastAsia="en-GB"/>
        </w:rPr>
        <w:t>. The payment type will help determine whether some validation will occur or not on the payment.</w:t>
      </w:r>
    </w:p>
    <w:p w14:paraId="2BC39FE4"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Navigate to the </w:t>
      </w:r>
      <w:r>
        <w:rPr>
          <w:rFonts w:eastAsia="Times New Roman"/>
          <w:b/>
          <w:bCs/>
          <w:sz w:val="22"/>
          <w:lang w:val="en-GB" w:eastAsia="en-GB"/>
        </w:rPr>
        <w:t>General</w:t>
      </w:r>
      <w:r>
        <w:rPr>
          <w:rFonts w:eastAsia="Times New Roman"/>
          <w:sz w:val="22"/>
          <w:lang w:val="en-GB" w:eastAsia="en-GB"/>
        </w:rPr>
        <w:t xml:space="preserve"> FastTab.</w:t>
      </w:r>
    </w:p>
    <w:p w14:paraId="0AD9ACC5"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what </w:t>
      </w:r>
      <w:r>
        <w:rPr>
          <w:rFonts w:eastAsia="Times New Roman"/>
          <w:b/>
          <w:bCs/>
          <w:sz w:val="22"/>
          <w:lang w:val="en-GB" w:eastAsia="en-GB"/>
        </w:rPr>
        <w:t>Account type</w:t>
      </w:r>
      <w:r>
        <w:rPr>
          <w:rFonts w:eastAsia="Times New Roman"/>
          <w:sz w:val="22"/>
          <w:lang w:val="en-GB" w:eastAsia="en-GB"/>
        </w:rPr>
        <w:t xml:space="preserve"> payments will post to. Select </w:t>
      </w:r>
      <w:r>
        <w:rPr>
          <w:rFonts w:eastAsia="Times New Roman"/>
          <w:b/>
          <w:bCs/>
          <w:sz w:val="22"/>
          <w:lang w:val="en-GB" w:eastAsia="en-GB"/>
        </w:rPr>
        <w:t>Bank.</w:t>
      </w:r>
      <w:r>
        <w:rPr>
          <w:rFonts w:eastAsia="Times New Roman"/>
          <w:sz w:val="22"/>
          <w:lang w:val="en-GB" w:eastAsia="en-GB"/>
        </w:rPr>
        <w:t xml:space="preserve"> </w:t>
      </w:r>
    </w:p>
    <w:p w14:paraId="5BC5CB38"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bank account into which this payment will be recorded under </w:t>
      </w:r>
      <w:r>
        <w:rPr>
          <w:rFonts w:eastAsia="Times New Roman"/>
          <w:b/>
          <w:bCs/>
          <w:sz w:val="22"/>
          <w:lang w:val="en-GB" w:eastAsia="en-GB"/>
        </w:rPr>
        <w:t>Payment account.</w:t>
      </w:r>
      <w:r>
        <w:rPr>
          <w:rFonts w:eastAsia="Times New Roman"/>
          <w:sz w:val="22"/>
          <w:lang w:val="en-GB" w:eastAsia="en-GB"/>
        </w:rPr>
        <w:t xml:space="preserve"> Choose </w:t>
      </w:r>
      <w:r>
        <w:rPr>
          <w:rFonts w:eastAsia="Times New Roman"/>
          <w:b/>
          <w:bCs/>
          <w:sz w:val="22"/>
          <w:lang w:val="en-GB" w:eastAsia="en-GB"/>
        </w:rPr>
        <w:t>USMF OPER</w:t>
      </w:r>
      <w:r>
        <w:rPr>
          <w:rFonts w:eastAsia="Times New Roman"/>
          <w:sz w:val="22"/>
          <w:lang w:val="en-GB" w:eastAsia="en-GB"/>
        </w:rPr>
        <w:t>.</w:t>
      </w:r>
    </w:p>
    <w:p w14:paraId="4E121263"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Enter the </w:t>
      </w:r>
      <w:r>
        <w:rPr>
          <w:rFonts w:eastAsia="Times New Roman"/>
          <w:b/>
          <w:bCs/>
          <w:sz w:val="22"/>
          <w:lang w:val="en-GB" w:eastAsia="en-GB"/>
        </w:rPr>
        <w:t>Bank transaction type</w:t>
      </w:r>
      <w:r>
        <w:rPr>
          <w:rFonts w:eastAsia="Times New Roman"/>
          <w:sz w:val="22"/>
          <w:lang w:val="en-GB" w:eastAsia="en-GB"/>
        </w:rPr>
        <w:t xml:space="preserve"> to identify the type of payment used by your bank. Select </w:t>
      </w:r>
      <w:r>
        <w:rPr>
          <w:rFonts w:eastAsia="Times New Roman"/>
          <w:b/>
          <w:bCs/>
          <w:sz w:val="22"/>
          <w:lang w:val="en-GB" w:eastAsia="en-GB"/>
        </w:rPr>
        <w:t>Deposit</w:t>
      </w:r>
      <w:r>
        <w:rPr>
          <w:rFonts w:eastAsia="Times New Roman"/>
          <w:sz w:val="22"/>
          <w:lang w:val="en-GB" w:eastAsia="en-GB"/>
        </w:rPr>
        <w:t>. The bank transaction type is used during the bank reconciliation process and can make reconciliation easier.</w:t>
      </w:r>
    </w:p>
    <w:p w14:paraId="26584126" w14:textId="77777777" w:rsidR="003D3984" w:rsidRDefault="003D3984" w:rsidP="003D3984">
      <w:pPr>
        <w:pStyle w:val="ListParagraph"/>
        <w:numPr>
          <w:ilvl w:val="0"/>
          <w:numId w:val="6"/>
        </w:numPr>
        <w:shd w:val="clear" w:color="auto" w:fill="FFFFFF" w:themeFill="background1"/>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This payment method will temporarily post to a bridging account. Set the </w:t>
      </w:r>
      <w:r>
        <w:rPr>
          <w:rFonts w:eastAsia="Times New Roman"/>
          <w:b/>
          <w:bCs/>
          <w:sz w:val="22"/>
          <w:lang w:val="en-GB" w:eastAsia="en-GB"/>
        </w:rPr>
        <w:t>Bridging posting</w:t>
      </w:r>
      <w:r>
        <w:rPr>
          <w:rFonts w:eastAsia="Times New Roman"/>
          <w:sz w:val="22"/>
          <w:lang w:val="en-GB" w:eastAsia="en-GB"/>
        </w:rPr>
        <w:t xml:space="preserve"> to </w:t>
      </w:r>
      <w:r>
        <w:rPr>
          <w:rFonts w:eastAsia="Times New Roman"/>
          <w:b/>
          <w:bCs/>
          <w:sz w:val="22"/>
          <w:lang w:val="en-GB" w:eastAsia="en-GB"/>
        </w:rPr>
        <w:t>Yes</w:t>
      </w:r>
      <w:r>
        <w:rPr>
          <w:rFonts w:eastAsia="Times New Roman"/>
          <w:sz w:val="22"/>
          <w:lang w:val="en-GB" w:eastAsia="en-GB"/>
        </w:rPr>
        <w:t>. The payment will temporarily post to a Ledger account until it clears the bank at which time the payment will move to the bank account you defined here.</w:t>
      </w:r>
    </w:p>
    <w:p w14:paraId="22C818D6"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Enter the main account used for the </w:t>
      </w:r>
      <w:r>
        <w:rPr>
          <w:rFonts w:eastAsia="Times New Roman"/>
          <w:b/>
          <w:bCs/>
          <w:sz w:val="22"/>
          <w:lang w:val="en-GB" w:eastAsia="en-GB"/>
        </w:rPr>
        <w:t>Bridging account</w:t>
      </w:r>
      <w:r>
        <w:rPr>
          <w:rFonts w:eastAsia="Times New Roman"/>
          <w:sz w:val="22"/>
          <w:lang w:val="en-GB" w:eastAsia="en-GB"/>
        </w:rPr>
        <w:t xml:space="preserve"> posting. Select </w:t>
      </w:r>
      <w:r>
        <w:rPr>
          <w:rFonts w:eastAsia="Times New Roman"/>
          <w:b/>
          <w:bCs/>
          <w:sz w:val="22"/>
          <w:lang w:val="en-GB" w:eastAsia="en-GB"/>
        </w:rPr>
        <w:t xml:space="preserve">130730. </w:t>
      </w:r>
      <w:r>
        <w:rPr>
          <w:rFonts w:eastAsia="Times New Roman"/>
          <w:sz w:val="22"/>
          <w:lang w:val="en-GB" w:eastAsia="en-GB"/>
        </w:rPr>
        <w:t>This is the main account to which the payment will temporarily post if using bridging.</w:t>
      </w:r>
    </w:p>
    <w:p w14:paraId="716D8EE6"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Use the </w:t>
      </w:r>
      <w:r>
        <w:rPr>
          <w:rFonts w:eastAsia="Times New Roman"/>
          <w:b/>
          <w:bCs/>
          <w:sz w:val="22"/>
          <w:lang w:val="en-GB" w:eastAsia="en-GB"/>
        </w:rPr>
        <w:t>File formats</w:t>
      </w:r>
      <w:r>
        <w:rPr>
          <w:rFonts w:eastAsia="Times New Roman"/>
          <w:sz w:val="22"/>
          <w:lang w:val="en-GB" w:eastAsia="en-GB"/>
        </w:rPr>
        <w:t xml:space="preserve"> tab to define setting for electronic payments.</w:t>
      </w:r>
    </w:p>
    <w:p w14:paraId="1310007F"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Use the </w:t>
      </w:r>
      <w:r>
        <w:rPr>
          <w:rFonts w:eastAsia="Times New Roman"/>
          <w:b/>
          <w:bCs/>
          <w:sz w:val="22"/>
          <w:lang w:val="en-GB" w:eastAsia="en-GB"/>
        </w:rPr>
        <w:t>Payment control</w:t>
      </w:r>
      <w:r>
        <w:rPr>
          <w:rFonts w:eastAsia="Times New Roman"/>
          <w:sz w:val="22"/>
          <w:lang w:val="en-GB" w:eastAsia="en-GB"/>
        </w:rPr>
        <w:t xml:space="preserve"> tab to define fields that are mandatory. For example, if you require all payments with this method of payment to be deposited, you can choose that option on this tab.</w:t>
      </w:r>
    </w:p>
    <w:p w14:paraId="67EFD430"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Use the </w:t>
      </w:r>
      <w:r>
        <w:rPr>
          <w:rFonts w:eastAsia="Times New Roman"/>
          <w:b/>
          <w:bCs/>
          <w:sz w:val="22"/>
          <w:lang w:val="en-GB" w:eastAsia="en-GB"/>
        </w:rPr>
        <w:t>Payment attributes</w:t>
      </w:r>
      <w:r>
        <w:rPr>
          <w:rFonts w:eastAsia="Times New Roman"/>
          <w:sz w:val="22"/>
          <w:lang w:val="en-GB" w:eastAsia="en-GB"/>
        </w:rPr>
        <w:t xml:space="preserve"> tab to define which payment attributes you want to use for this method of payment.</w:t>
      </w:r>
    </w:p>
    <w:p w14:paraId="76AC1D49" w14:textId="77777777" w:rsidR="003D3984" w:rsidRDefault="003D3984" w:rsidP="003D3984">
      <w:pPr>
        <w:pStyle w:val="ListParagraph"/>
        <w:numPr>
          <w:ilvl w:val="0"/>
          <w:numId w:val="6"/>
        </w:numPr>
        <w:shd w:val="clear" w:color="auto" w:fill="FFFFFF"/>
        <w:spacing w:before="100" w:beforeAutospacing="1" w:after="100" w:afterAutospacing="1" w:line="240" w:lineRule="auto"/>
        <w:rPr>
          <w:rFonts w:eastAsia="Times New Roman"/>
          <w:lang w:val="en-GB" w:eastAsia="en-GB"/>
        </w:rPr>
      </w:pPr>
      <w:r>
        <w:rPr>
          <w:rFonts w:eastAsia="Times New Roman"/>
          <w:sz w:val="22"/>
          <w:lang w:val="en-GB" w:eastAsia="en-GB"/>
        </w:rPr>
        <w:t xml:space="preserve">Select </w:t>
      </w:r>
      <w:r>
        <w:rPr>
          <w:rFonts w:eastAsia="Times New Roman"/>
          <w:b/>
          <w:bCs/>
          <w:sz w:val="22"/>
          <w:lang w:val="en-GB" w:eastAsia="en-GB"/>
        </w:rPr>
        <w:t>Save</w:t>
      </w:r>
    </w:p>
    <w:p w14:paraId="43EC7048" w14:textId="77777777" w:rsidR="003D3984" w:rsidRDefault="003D3984" w:rsidP="003D3984">
      <w:pPr>
        <w:pStyle w:val="Heading3"/>
        <w:ind w:left="10"/>
        <w:rPr>
          <w:rFonts w:cs="Segoe UI"/>
          <w:lang w:val="en-GB" w:eastAsia="en-GB"/>
        </w:rPr>
      </w:pPr>
      <w:r>
        <w:rPr>
          <w:rFonts w:cs="Segoe UI"/>
          <w:lang w:val="en-GB" w:eastAsia="en-GB"/>
        </w:rPr>
        <w:t xml:space="preserve">Create payment fees for customer </w:t>
      </w:r>
      <w:proofErr w:type="gramStart"/>
      <w:r>
        <w:rPr>
          <w:rFonts w:cs="Segoe UI"/>
          <w:lang w:val="en-GB" w:eastAsia="en-GB"/>
        </w:rPr>
        <w:t>payments</w:t>
      </w:r>
      <w:proofErr w:type="gramEnd"/>
    </w:p>
    <w:p w14:paraId="609C503F" w14:textId="77777777" w:rsidR="003D3984" w:rsidRDefault="003D3984" w:rsidP="003D3984">
      <w:pPr>
        <w:pStyle w:val="ListParagraph"/>
        <w:numPr>
          <w:ilvl w:val="0"/>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Create the payment fee:</w:t>
      </w:r>
    </w:p>
    <w:p w14:paraId="67BF75C6"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w:t>
      </w:r>
      <w:r>
        <w:rPr>
          <w:rFonts w:eastAsia="Times New Roman"/>
          <w:b/>
          <w:bCs/>
          <w:sz w:val="22"/>
          <w:lang w:val="en-GB" w:eastAsia="en-GB"/>
        </w:rPr>
        <w:t>USMF</w:t>
      </w:r>
      <w:r>
        <w:rPr>
          <w:rFonts w:eastAsia="Times New Roman"/>
          <w:sz w:val="22"/>
          <w:lang w:val="en-GB" w:eastAsia="en-GB"/>
        </w:rPr>
        <w:t xml:space="preserve">, Navigate to </w:t>
      </w:r>
      <w:r>
        <w:rPr>
          <w:rFonts w:eastAsia="Times New Roman"/>
          <w:b/>
          <w:bCs/>
          <w:sz w:val="22"/>
          <w:lang w:val="en-GB" w:eastAsia="en-GB"/>
        </w:rPr>
        <w:t>Accounts receivable &gt; Payments setup &gt; Payment fee</w:t>
      </w:r>
      <w:r>
        <w:rPr>
          <w:rFonts w:eastAsia="Times New Roman"/>
          <w:sz w:val="22"/>
          <w:lang w:val="en-GB" w:eastAsia="en-GB"/>
        </w:rPr>
        <w:t>.</w:t>
      </w:r>
    </w:p>
    <w:p w14:paraId="3716148E"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New</w:t>
      </w:r>
    </w:p>
    <w:p w14:paraId="651F6D71"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Fee ID</w:t>
      </w:r>
      <w:r>
        <w:rPr>
          <w:rFonts w:eastAsia="Times New Roman"/>
          <w:sz w:val="22"/>
          <w:lang w:val="en-GB" w:eastAsia="en-GB"/>
        </w:rPr>
        <w:t xml:space="preserve"> field, enter </w:t>
      </w:r>
      <w:r>
        <w:rPr>
          <w:rFonts w:eastAsia="Times New Roman"/>
          <w:b/>
          <w:bCs/>
          <w:sz w:val="22"/>
          <w:lang w:val="en-GB" w:eastAsia="en-GB"/>
        </w:rPr>
        <w:t>W01</w:t>
      </w:r>
      <w:r>
        <w:rPr>
          <w:rFonts w:eastAsia="Times New Roman"/>
          <w:sz w:val="22"/>
          <w:lang w:val="en-GB" w:eastAsia="en-GB"/>
        </w:rPr>
        <w:t xml:space="preserve">. The </w:t>
      </w:r>
      <w:r>
        <w:rPr>
          <w:rFonts w:eastAsia="Times New Roman"/>
          <w:b/>
          <w:bCs/>
          <w:sz w:val="22"/>
          <w:lang w:val="en-GB" w:eastAsia="en-GB"/>
        </w:rPr>
        <w:t>Fee ID</w:t>
      </w:r>
      <w:r>
        <w:rPr>
          <w:rFonts w:eastAsia="Times New Roman"/>
          <w:sz w:val="22"/>
          <w:lang w:val="en-GB" w:eastAsia="en-GB"/>
        </w:rPr>
        <w:t xml:space="preserve"> displays on payment journals, so make it descriptive to understand what fee is being assessed.</w:t>
      </w:r>
    </w:p>
    <w:p w14:paraId="01B66A70"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Name</w:t>
      </w:r>
      <w:r>
        <w:rPr>
          <w:rFonts w:eastAsia="Times New Roman"/>
          <w:sz w:val="22"/>
          <w:lang w:val="en-GB" w:eastAsia="en-GB"/>
        </w:rPr>
        <w:t xml:space="preserve"> field, enter </w:t>
      </w:r>
      <w:r>
        <w:rPr>
          <w:rFonts w:eastAsia="Times New Roman"/>
          <w:b/>
          <w:bCs/>
          <w:sz w:val="22"/>
          <w:lang w:val="en-GB" w:eastAsia="en-GB"/>
        </w:rPr>
        <w:t>Wire</w:t>
      </w:r>
      <w:r>
        <w:rPr>
          <w:rFonts w:eastAsia="Times New Roman"/>
          <w:sz w:val="22"/>
          <w:lang w:val="en-GB" w:eastAsia="en-GB"/>
        </w:rPr>
        <w:t>.</w:t>
      </w:r>
    </w:p>
    <w:p w14:paraId="4E1DEAC2"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Fee description</w:t>
      </w:r>
      <w:r>
        <w:rPr>
          <w:rFonts w:eastAsia="Times New Roman"/>
          <w:sz w:val="22"/>
          <w:lang w:val="en-GB" w:eastAsia="en-GB"/>
        </w:rPr>
        <w:t xml:space="preserve"> field, enter </w:t>
      </w:r>
      <w:r>
        <w:rPr>
          <w:rFonts w:eastAsia="Times New Roman"/>
          <w:b/>
          <w:bCs/>
          <w:sz w:val="22"/>
          <w:lang w:val="en-GB" w:eastAsia="en-GB"/>
        </w:rPr>
        <w:t>Bank fee for wire transfer</w:t>
      </w:r>
      <w:r>
        <w:rPr>
          <w:rFonts w:eastAsia="Times New Roman"/>
          <w:sz w:val="22"/>
          <w:lang w:val="en-GB" w:eastAsia="en-GB"/>
        </w:rPr>
        <w:t>.</w:t>
      </w:r>
    </w:p>
    <w:p w14:paraId="6CC3E46D"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lastRenderedPageBreak/>
        <w:t xml:space="preserve">Select whether the fee will be charged to the </w:t>
      </w:r>
      <w:r>
        <w:rPr>
          <w:rFonts w:eastAsia="Times New Roman"/>
          <w:b/>
          <w:bCs/>
          <w:sz w:val="22"/>
          <w:lang w:val="en-GB" w:eastAsia="en-GB"/>
        </w:rPr>
        <w:t>Customer</w:t>
      </w:r>
      <w:r>
        <w:rPr>
          <w:rFonts w:eastAsia="Times New Roman"/>
          <w:sz w:val="22"/>
          <w:lang w:val="en-GB" w:eastAsia="en-GB"/>
        </w:rPr>
        <w:t xml:space="preserve"> or a </w:t>
      </w:r>
      <w:r>
        <w:rPr>
          <w:rFonts w:eastAsia="Times New Roman"/>
          <w:b/>
          <w:bCs/>
          <w:sz w:val="22"/>
          <w:lang w:val="en-GB" w:eastAsia="en-GB"/>
        </w:rPr>
        <w:t>Ledger account</w:t>
      </w:r>
      <w:r>
        <w:rPr>
          <w:rFonts w:eastAsia="Times New Roman"/>
          <w:sz w:val="22"/>
          <w:lang w:val="en-GB" w:eastAsia="en-GB"/>
        </w:rPr>
        <w:t xml:space="preserve">. </w:t>
      </w:r>
    </w:p>
    <w:p w14:paraId="321F132C"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If the customer is assessed the fee, select </w:t>
      </w:r>
      <w:r>
        <w:rPr>
          <w:rFonts w:eastAsia="Times New Roman"/>
          <w:b/>
          <w:bCs/>
          <w:sz w:val="22"/>
          <w:lang w:val="en-GB" w:eastAsia="en-GB"/>
        </w:rPr>
        <w:t>Customer</w:t>
      </w:r>
      <w:r>
        <w:rPr>
          <w:rFonts w:eastAsia="Times New Roman"/>
          <w:sz w:val="22"/>
          <w:lang w:val="en-GB" w:eastAsia="en-GB"/>
        </w:rPr>
        <w:t xml:space="preserve">. If the fee will be charged to your organization as an expense, select </w:t>
      </w:r>
      <w:r>
        <w:rPr>
          <w:rFonts w:eastAsia="Times New Roman"/>
          <w:b/>
          <w:bCs/>
          <w:sz w:val="22"/>
          <w:lang w:val="en-GB" w:eastAsia="en-GB"/>
        </w:rPr>
        <w:t>Ledger</w:t>
      </w:r>
      <w:r>
        <w:rPr>
          <w:rFonts w:eastAsia="Times New Roman"/>
          <w:sz w:val="22"/>
          <w:lang w:val="en-GB" w:eastAsia="en-GB"/>
        </w:rPr>
        <w:t xml:space="preserve">. For this task, select </w:t>
      </w:r>
      <w:r>
        <w:rPr>
          <w:rFonts w:eastAsia="Times New Roman"/>
          <w:b/>
          <w:bCs/>
          <w:sz w:val="22"/>
          <w:lang w:val="en-GB" w:eastAsia="en-GB"/>
        </w:rPr>
        <w:t>Customer</w:t>
      </w:r>
      <w:r>
        <w:rPr>
          <w:rFonts w:eastAsia="Times New Roman"/>
          <w:sz w:val="22"/>
          <w:lang w:val="en-GB" w:eastAsia="en-GB"/>
        </w:rPr>
        <w:t>.</w:t>
      </w:r>
    </w:p>
    <w:p w14:paraId="6D2F5646"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type of journal that can use this payment fee. If these fees are used for customer payments, the journal type will likely be </w:t>
      </w:r>
      <w:r>
        <w:rPr>
          <w:rFonts w:eastAsia="Times New Roman"/>
          <w:b/>
          <w:bCs/>
          <w:sz w:val="22"/>
          <w:lang w:val="en-GB" w:eastAsia="en-GB"/>
        </w:rPr>
        <w:t>Customer payment</w:t>
      </w:r>
      <w:r>
        <w:rPr>
          <w:rFonts w:eastAsia="Times New Roman"/>
          <w:sz w:val="22"/>
          <w:lang w:val="en-GB" w:eastAsia="en-GB"/>
        </w:rPr>
        <w:t>.</w:t>
      </w:r>
    </w:p>
    <w:p w14:paraId="4C0DACB9"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Save</w:t>
      </w:r>
    </w:p>
    <w:p w14:paraId="43A80142" w14:textId="77777777" w:rsidR="003D3984" w:rsidRDefault="003D3984" w:rsidP="003D3984">
      <w:pPr>
        <w:pStyle w:val="ListParagraph"/>
        <w:numPr>
          <w:ilvl w:val="0"/>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Set up the payment fee:</w:t>
      </w:r>
    </w:p>
    <w:p w14:paraId="1F4528D4"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t>
      </w:r>
      <w:r>
        <w:rPr>
          <w:rFonts w:eastAsia="Times New Roman"/>
          <w:b/>
          <w:bCs/>
          <w:sz w:val="22"/>
          <w:lang w:val="en-GB" w:eastAsia="en-GB"/>
        </w:rPr>
        <w:t>Payment fee setup</w:t>
      </w:r>
      <w:r>
        <w:rPr>
          <w:rFonts w:eastAsia="Times New Roman"/>
          <w:sz w:val="22"/>
          <w:lang w:val="en-GB" w:eastAsia="en-GB"/>
        </w:rPr>
        <w:t xml:space="preserve">. The Payment fee setup is used to define the criteria for when the payment fee will be assessed. For example, you can define that the fee will be calculated if the bank account is </w:t>
      </w:r>
      <w:r>
        <w:rPr>
          <w:rFonts w:eastAsia="Times New Roman"/>
          <w:b/>
          <w:bCs/>
          <w:sz w:val="22"/>
          <w:lang w:val="en-GB" w:eastAsia="en-GB"/>
        </w:rPr>
        <w:t>USMF OPER</w:t>
      </w:r>
      <w:r>
        <w:rPr>
          <w:rFonts w:eastAsia="Times New Roman"/>
          <w:sz w:val="22"/>
          <w:lang w:val="en-GB" w:eastAsia="en-GB"/>
        </w:rPr>
        <w:t xml:space="preserve">, and the method of payment is </w:t>
      </w:r>
      <w:r>
        <w:rPr>
          <w:rFonts w:eastAsia="Times New Roman"/>
          <w:b/>
          <w:bCs/>
          <w:sz w:val="22"/>
          <w:lang w:val="en-GB" w:eastAsia="en-GB"/>
        </w:rPr>
        <w:t>check</w:t>
      </w:r>
      <w:r>
        <w:rPr>
          <w:rFonts w:eastAsia="Times New Roman"/>
          <w:sz w:val="22"/>
          <w:lang w:val="en-GB" w:eastAsia="en-GB"/>
        </w:rPr>
        <w:t>.</w:t>
      </w:r>
    </w:p>
    <w:p w14:paraId="3B3C1D6A"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either </w:t>
      </w:r>
      <w:r>
        <w:rPr>
          <w:rFonts w:eastAsia="Times New Roman"/>
          <w:b/>
          <w:bCs/>
          <w:sz w:val="22"/>
          <w:lang w:val="en-GB" w:eastAsia="en-GB"/>
        </w:rPr>
        <w:t>Table</w:t>
      </w:r>
      <w:r>
        <w:rPr>
          <w:rFonts w:eastAsia="Times New Roman"/>
          <w:sz w:val="22"/>
          <w:lang w:val="en-GB" w:eastAsia="en-GB"/>
        </w:rPr>
        <w:t xml:space="preserve">, </w:t>
      </w:r>
      <w:r>
        <w:rPr>
          <w:rFonts w:eastAsia="Times New Roman"/>
          <w:b/>
          <w:bCs/>
          <w:sz w:val="22"/>
          <w:lang w:val="en-GB" w:eastAsia="en-GB"/>
        </w:rPr>
        <w:t>Group</w:t>
      </w:r>
      <w:r>
        <w:rPr>
          <w:rFonts w:eastAsia="Times New Roman"/>
          <w:sz w:val="22"/>
          <w:lang w:val="en-GB" w:eastAsia="en-GB"/>
        </w:rPr>
        <w:t xml:space="preserve"> or </w:t>
      </w:r>
      <w:r>
        <w:rPr>
          <w:rFonts w:eastAsia="Times New Roman"/>
          <w:b/>
          <w:bCs/>
          <w:sz w:val="22"/>
          <w:lang w:val="en-GB" w:eastAsia="en-GB"/>
        </w:rPr>
        <w:t>All</w:t>
      </w:r>
      <w:r>
        <w:rPr>
          <w:rFonts w:eastAsia="Times New Roman"/>
          <w:sz w:val="22"/>
          <w:lang w:val="en-GB" w:eastAsia="en-GB"/>
        </w:rPr>
        <w:t xml:space="preserve"> to define which bank accounts will be assessed this fee. If you select </w:t>
      </w:r>
      <w:r>
        <w:rPr>
          <w:rFonts w:eastAsia="Times New Roman"/>
          <w:b/>
          <w:bCs/>
          <w:sz w:val="22"/>
          <w:lang w:val="en-GB" w:eastAsia="en-GB"/>
        </w:rPr>
        <w:t>All</w:t>
      </w:r>
      <w:r>
        <w:rPr>
          <w:rFonts w:eastAsia="Times New Roman"/>
          <w:sz w:val="22"/>
          <w:lang w:val="en-GB" w:eastAsia="en-GB"/>
        </w:rPr>
        <w:t xml:space="preserve">, all bank accounts could be assessed this fee. If you select </w:t>
      </w:r>
      <w:r>
        <w:rPr>
          <w:rFonts w:eastAsia="Times New Roman"/>
          <w:b/>
          <w:bCs/>
          <w:sz w:val="22"/>
          <w:lang w:val="en-GB" w:eastAsia="en-GB"/>
        </w:rPr>
        <w:t>Table</w:t>
      </w:r>
      <w:r>
        <w:rPr>
          <w:rFonts w:eastAsia="Times New Roman"/>
          <w:sz w:val="22"/>
          <w:lang w:val="en-GB" w:eastAsia="en-GB"/>
        </w:rPr>
        <w:t xml:space="preserve">, only the bank account you select could be assessed this fee. If you select </w:t>
      </w:r>
      <w:r>
        <w:rPr>
          <w:rFonts w:eastAsia="Times New Roman"/>
          <w:b/>
          <w:bCs/>
          <w:sz w:val="22"/>
          <w:lang w:val="en-GB" w:eastAsia="en-GB"/>
        </w:rPr>
        <w:t>Group</w:t>
      </w:r>
      <w:r>
        <w:rPr>
          <w:rFonts w:eastAsia="Times New Roman"/>
          <w:sz w:val="22"/>
          <w:lang w:val="en-GB" w:eastAsia="en-GB"/>
        </w:rPr>
        <w:t>, only the bank accounts in the selected bank group could be assessed this fee.</w:t>
      </w:r>
    </w:p>
    <w:p w14:paraId="0C414187"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either a </w:t>
      </w:r>
      <w:r>
        <w:rPr>
          <w:rFonts w:eastAsia="Times New Roman"/>
          <w:b/>
          <w:bCs/>
          <w:sz w:val="22"/>
          <w:lang w:val="en-GB" w:eastAsia="en-GB"/>
        </w:rPr>
        <w:t>bank group</w:t>
      </w:r>
      <w:r>
        <w:rPr>
          <w:rFonts w:eastAsia="Times New Roman"/>
          <w:sz w:val="22"/>
          <w:lang w:val="en-GB" w:eastAsia="en-GB"/>
        </w:rPr>
        <w:t xml:space="preserve"> or a </w:t>
      </w:r>
      <w:r>
        <w:rPr>
          <w:rFonts w:eastAsia="Times New Roman"/>
          <w:b/>
          <w:bCs/>
          <w:sz w:val="22"/>
          <w:lang w:val="en-GB" w:eastAsia="en-GB"/>
        </w:rPr>
        <w:t xml:space="preserve">bank account </w:t>
      </w:r>
      <w:r>
        <w:rPr>
          <w:rFonts w:eastAsia="Times New Roman"/>
          <w:sz w:val="22"/>
          <w:lang w:val="en-GB" w:eastAsia="en-GB"/>
        </w:rPr>
        <w:t xml:space="preserve">for the </w:t>
      </w:r>
      <w:r>
        <w:rPr>
          <w:rFonts w:eastAsia="Times New Roman"/>
          <w:b/>
          <w:bCs/>
          <w:sz w:val="22"/>
          <w:lang w:val="en-GB" w:eastAsia="en-GB"/>
        </w:rPr>
        <w:t>Bank relation</w:t>
      </w:r>
      <w:r>
        <w:rPr>
          <w:rFonts w:eastAsia="Times New Roman"/>
          <w:sz w:val="22"/>
          <w:lang w:val="en-GB" w:eastAsia="en-GB"/>
        </w:rPr>
        <w:t xml:space="preserve">. If you selected </w:t>
      </w:r>
      <w:r>
        <w:rPr>
          <w:rFonts w:eastAsia="Times New Roman"/>
          <w:b/>
          <w:bCs/>
          <w:sz w:val="22"/>
          <w:lang w:val="en-GB" w:eastAsia="en-GB"/>
        </w:rPr>
        <w:t>Table</w:t>
      </w:r>
      <w:r>
        <w:rPr>
          <w:rFonts w:eastAsia="Times New Roman"/>
          <w:sz w:val="22"/>
          <w:lang w:val="en-GB" w:eastAsia="en-GB"/>
        </w:rPr>
        <w:t xml:space="preserve">, the lookup </w:t>
      </w:r>
      <w:proofErr w:type="gramStart"/>
      <w:r>
        <w:rPr>
          <w:rFonts w:eastAsia="Times New Roman"/>
          <w:sz w:val="22"/>
          <w:lang w:val="en-GB" w:eastAsia="en-GB"/>
        </w:rPr>
        <w:t>will</w:t>
      </w:r>
      <w:proofErr w:type="gramEnd"/>
      <w:r>
        <w:rPr>
          <w:rFonts w:eastAsia="Times New Roman"/>
          <w:sz w:val="22"/>
          <w:lang w:val="en-GB" w:eastAsia="en-GB"/>
        </w:rPr>
        <w:t xml:space="preserve"> display bank accounts. If you selected </w:t>
      </w:r>
      <w:r>
        <w:rPr>
          <w:rFonts w:eastAsia="Times New Roman"/>
          <w:b/>
          <w:bCs/>
          <w:sz w:val="22"/>
          <w:lang w:val="en-GB" w:eastAsia="en-GB"/>
        </w:rPr>
        <w:t>Group</w:t>
      </w:r>
      <w:r>
        <w:rPr>
          <w:rFonts w:eastAsia="Times New Roman"/>
          <w:sz w:val="22"/>
          <w:lang w:val="en-GB" w:eastAsia="en-GB"/>
        </w:rPr>
        <w:t xml:space="preserve">, the lookup </w:t>
      </w:r>
      <w:proofErr w:type="gramStart"/>
      <w:r>
        <w:rPr>
          <w:rFonts w:eastAsia="Times New Roman"/>
          <w:sz w:val="22"/>
          <w:lang w:val="en-GB" w:eastAsia="en-GB"/>
        </w:rPr>
        <w:t>will</w:t>
      </w:r>
      <w:proofErr w:type="gramEnd"/>
      <w:r>
        <w:rPr>
          <w:rFonts w:eastAsia="Times New Roman"/>
          <w:sz w:val="22"/>
          <w:lang w:val="en-GB" w:eastAsia="en-GB"/>
        </w:rPr>
        <w:t xml:space="preserve"> display </w:t>
      </w:r>
      <w:r>
        <w:rPr>
          <w:rFonts w:eastAsia="Times New Roman"/>
          <w:b/>
          <w:bCs/>
          <w:sz w:val="22"/>
          <w:lang w:val="en-GB" w:eastAsia="en-GB"/>
        </w:rPr>
        <w:t>bank groups</w:t>
      </w:r>
      <w:r>
        <w:rPr>
          <w:rFonts w:eastAsia="Times New Roman"/>
          <w:sz w:val="22"/>
          <w:lang w:val="en-GB" w:eastAsia="en-GB"/>
        </w:rPr>
        <w:t>.</w:t>
      </w:r>
    </w:p>
    <w:p w14:paraId="3E7B9F9A"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the </w:t>
      </w:r>
      <w:r>
        <w:rPr>
          <w:rFonts w:eastAsia="Times New Roman"/>
          <w:b/>
          <w:bCs/>
          <w:sz w:val="22"/>
          <w:lang w:val="en-GB" w:eastAsia="en-GB"/>
        </w:rPr>
        <w:t>Method of payment</w:t>
      </w:r>
      <w:r>
        <w:rPr>
          <w:rFonts w:eastAsia="Times New Roman"/>
          <w:sz w:val="22"/>
          <w:lang w:val="en-GB" w:eastAsia="en-GB"/>
        </w:rPr>
        <w:t xml:space="preserve"> for which this fee will be assessed. For example, you may assess a fee to your customers if they send payments as a check, rather than as an electronic payment.</w:t>
      </w:r>
    </w:p>
    <w:p w14:paraId="27A69C55"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Enter a </w:t>
      </w:r>
      <w:r>
        <w:rPr>
          <w:rFonts w:eastAsia="Times New Roman"/>
          <w:b/>
          <w:bCs/>
          <w:sz w:val="22"/>
          <w:lang w:val="en-GB" w:eastAsia="en-GB"/>
        </w:rPr>
        <w:t>payment currency</w:t>
      </w:r>
      <w:r>
        <w:rPr>
          <w:rFonts w:eastAsia="Times New Roman"/>
          <w:sz w:val="22"/>
          <w:lang w:val="en-GB" w:eastAsia="en-GB"/>
        </w:rPr>
        <w:t xml:space="preserve">. The payment currency is used as an additional criterion for whether the fee will be assessed. For example, your bank may charge an extra fee for payments received in </w:t>
      </w:r>
      <w:r>
        <w:rPr>
          <w:rFonts w:eastAsia="Times New Roman"/>
          <w:b/>
          <w:bCs/>
          <w:sz w:val="22"/>
          <w:lang w:val="en-GB" w:eastAsia="en-GB"/>
        </w:rPr>
        <w:t>USD</w:t>
      </w:r>
      <w:r>
        <w:rPr>
          <w:rFonts w:eastAsia="Times New Roman"/>
          <w:sz w:val="22"/>
          <w:lang w:val="en-GB" w:eastAsia="en-GB"/>
        </w:rPr>
        <w:t xml:space="preserve"> currency, since they normally only transact in </w:t>
      </w:r>
      <w:r>
        <w:rPr>
          <w:rFonts w:eastAsia="Times New Roman"/>
          <w:b/>
          <w:bCs/>
          <w:sz w:val="22"/>
          <w:lang w:val="en-GB" w:eastAsia="en-GB"/>
        </w:rPr>
        <w:t>EUR</w:t>
      </w:r>
      <w:r>
        <w:rPr>
          <w:rFonts w:eastAsia="Times New Roman"/>
          <w:sz w:val="22"/>
          <w:lang w:val="en-GB" w:eastAsia="en-GB"/>
        </w:rPr>
        <w:t xml:space="preserve"> currency.</w:t>
      </w:r>
    </w:p>
    <w:p w14:paraId="3DC823FF"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Select whether the fee will be a </w:t>
      </w:r>
      <w:r>
        <w:rPr>
          <w:rFonts w:eastAsia="Times New Roman"/>
          <w:b/>
          <w:bCs/>
          <w:sz w:val="22"/>
          <w:lang w:val="en-GB" w:eastAsia="en-GB"/>
        </w:rPr>
        <w:t>percent</w:t>
      </w:r>
      <w:r>
        <w:rPr>
          <w:rFonts w:eastAsia="Times New Roman"/>
          <w:sz w:val="22"/>
          <w:lang w:val="en-GB" w:eastAsia="en-GB"/>
        </w:rPr>
        <w:t xml:space="preserve">, </w:t>
      </w:r>
      <w:proofErr w:type="gramStart"/>
      <w:r>
        <w:rPr>
          <w:rFonts w:eastAsia="Times New Roman"/>
          <w:b/>
          <w:bCs/>
          <w:sz w:val="22"/>
          <w:lang w:val="en-GB" w:eastAsia="en-GB"/>
        </w:rPr>
        <w:t>amount</w:t>
      </w:r>
      <w:proofErr w:type="gramEnd"/>
      <w:r>
        <w:rPr>
          <w:rFonts w:eastAsia="Times New Roman"/>
          <w:sz w:val="22"/>
          <w:lang w:val="en-GB" w:eastAsia="en-GB"/>
        </w:rPr>
        <w:t xml:space="preserve"> or </w:t>
      </w:r>
      <w:r>
        <w:rPr>
          <w:rFonts w:eastAsia="Times New Roman"/>
          <w:b/>
          <w:bCs/>
          <w:sz w:val="22"/>
          <w:lang w:val="en-GB" w:eastAsia="en-GB"/>
        </w:rPr>
        <w:t>interval</w:t>
      </w:r>
      <w:r>
        <w:rPr>
          <w:rFonts w:eastAsia="Times New Roman"/>
          <w:sz w:val="22"/>
          <w:lang w:val="en-GB" w:eastAsia="en-GB"/>
        </w:rPr>
        <w:t xml:space="preserve">. Enter either </w:t>
      </w:r>
      <w:r>
        <w:rPr>
          <w:rFonts w:eastAsia="Times New Roman"/>
          <w:b/>
          <w:bCs/>
          <w:sz w:val="22"/>
          <w:lang w:val="en-GB" w:eastAsia="en-GB"/>
        </w:rPr>
        <w:t>percentage</w:t>
      </w:r>
      <w:r>
        <w:rPr>
          <w:rFonts w:eastAsia="Times New Roman"/>
          <w:sz w:val="22"/>
          <w:lang w:val="en-GB" w:eastAsia="en-GB"/>
        </w:rPr>
        <w:t xml:space="preserve"> or </w:t>
      </w:r>
      <w:r>
        <w:rPr>
          <w:rFonts w:eastAsia="Times New Roman"/>
          <w:b/>
          <w:bCs/>
          <w:sz w:val="22"/>
          <w:lang w:val="en-GB" w:eastAsia="en-GB"/>
        </w:rPr>
        <w:t>amount</w:t>
      </w:r>
      <w:r>
        <w:rPr>
          <w:rFonts w:eastAsia="Times New Roman"/>
          <w:sz w:val="22"/>
          <w:lang w:val="en-GB" w:eastAsia="en-GB"/>
        </w:rPr>
        <w:t xml:space="preserve"> of the fee. If the </w:t>
      </w:r>
      <w:r>
        <w:rPr>
          <w:rFonts w:eastAsia="Times New Roman"/>
          <w:b/>
          <w:bCs/>
          <w:sz w:val="22"/>
          <w:lang w:val="en-GB" w:eastAsia="en-GB"/>
        </w:rPr>
        <w:t>Percentage/Amount</w:t>
      </w:r>
      <w:r>
        <w:rPr>
          <w:rFonts w:eastAsia="Times New Roman"/>
          <w:sz w:val="22"/>
          <w:lang w:val="en-GB" w:eastAsia="en-GB"/>
        </w:rPr>
        <w:t xml:space="preserve"> field is </w:t>
      </w:r>
      <w:r>
        <w:rPr>
          <w:rFonts w:eastAsia="Times New Roman"/>
          <w:b/>
          <w:bCs/>
          <w:sz w:val="22"/>
          <w:lang w:val="en-GB" w:eastAsia="en-GB"/>
        </w:rPr>
        <w:t>Percent</w:t>
      </w:r>
      <w:r>
        <w:rPr>
          <w:rFonts w:eastAsia="Times New Roman"/>
          <w:sz w:val="22"/>
          <w:lang w:val="en-GB" w:eastAsia="en-GB"/>
        </w:rPr>
        <w:t xml:space="preserve">, then the value enter here will be a percentage. If the </w:t>
      </w:r>
      <w:r>
        <w:rPr>
          <w:rFonts w:eastAsia="Times New Roman"/>
          <w:b/>
          <w:bCs/>
          <w:sz w:val="22"/>
          <w:lang w:val="en-GB" w:eastAsia="en-GB"/>
        </w:rPr>
        <w:t>Percentage/Amount</w:t>
      </w:r>
      <w:r>
        <w:rPr>
          <w:rFonts w:eastAsia="Times New Roman"/>
          <w:sz w:val="22"/>
          <w:lang w:val="en-GB" w:eastAsia="en-GB"/>
        </w:rPr>
        <w:t xml:space="preserve"> field is </w:t>
      </w:r>
      <w:r>
        <w:rPr>
          <w:rFonts w:eastAsia="Times New Roman"/>
          <w:b/>
          <w:bCs/>
          <w:sz w:val="22"/>
          <w:lang w:val="en-GB" w:eastAsia="en-GB"/>
        </w:rPr>
        <w:t>Amount</w:t>
      </w:r>
      <w:r>
        <w:rPr>
          <w:rFonts w:eastAsia="Times New Roman"/>
          <w:sz w:val="22"/>
          <w:lang w:val="en-GB" w:eastAsia="en-GB"/>
        </w:rPr>
        <w:t xml:space="preserve">, then the value you enter here will be an amount. If the </w:t>
      </w:r>
      <w:r>
        <w:rPr>
          <w:rFonts w:eastAsia="Times New Roman"/>
          <w:b/>
          <w:bCs/>
          <w:sz w:val="22"/>
          <w:lang w:val="en-GB" w:eastAsia="en-GB"/>
        </w:rPr>
        <w:t>Percentage/Amount</w:t>
      </w:r>
      <w:r>
        <w:rPr>
          <w:rFonts w:eastAsia="Times New Roman"/>
          <w:sz w:val="22"/>
          <w:lang w:val="en-GB" w:eastAsia="en-GB"/>
        </w:rPr>
        <w:t xml:space="preserve"> field is </w:t>
      </w:r>
      <w:r>
        <w:rPr>
          <w:rFonts w:eastAsia="Times New Roman"/>
          <w:b/>
          <w:bCs/>
          <w:sz w:val="22"/>
          <w:lang w:val="en-GB" w:eastAsia="en-GB"/>
        </w:rPr>
        <w:t>Interval</w:t>
      </w:r>
      <w:r>
        <w:rPr>
          <w:rFonts w:eastAsia="Times New Roman"/>
          <w:sz w:val="22"/>
          <w:lang w:val="en-GB" w:eastAsia="en-GB"/>
        </w:rPr>
        <w:t xml:space="preserve">, use the </w:t>
      </w:r>
      <w:r>
        <w:rPr>
          <w:rFonts w:eastAsia="Times New Roman"/>
          <w:b/>
          <w:bCs/>
          <w:sz w:val="22"/>
          <w:lang w:val="en-GB" w:eastAsia="en-GB"/>
        </w:rPr>
        <w:t>Interval</w:t>
      </w:r>
      <w:r>
        <w:rPr>
          <w:rFonts w:eastAsia="Times New Roman"/>
          <w:sz w:val="22"/>
          <w:lang w:val="en-GB" w:eastAsia="en-GB"/>
        </w:rPr>
        <w:t xml:space="preserve"> tab to define the tiers.</w:t>
      </w:r>
    </w:p>
    <w:p w14:paraId="4219D38A"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 w:val="22"/>
          <w:lang w:val="en-GB" w:eastAsia="en-GB"/>
        </w:rPr>
      </w:pPr>
      <w:r>
        <w:rPr>
          <w:rFonts w:eastAsia="Times New Roman"/>
          <w:sz w:val="22"/>
          <w:lang w:val="en-GB" w:eastAsia="en-GB"/>
        </w:rPr>
        <w:t xml:space="preserve">In the </w:t>
      </w:r>
      <w:r>
        <w:rPr>
          <w:rFonts w:eastAsia="Times New Roman"/>
          <w:b/>
          <w:bCs/>
          <w:sz w:val="22"/>
          <w:lang w:val="en-GB" w:eastAsia="en-GB"/>
        </w:rPr>
        <w:t>Fee currency</w:t>
      </w:r>
      <w:r>
        <w:rPr>
          <w:rFonts w:eastAsia="Times New Roman"/>
          <w:sz w:val="22"/>
          <w:lang w:val="en-GB" w:eastAsia="en-GB"/>
        </w:rPr>
        <w:t xml:space="preserve"> field, select the currency of the fee. This is the currency in which the fee will be created.</w:t>
      </w:r>
    </w:p>
    <w:p w14:paraId="73D5302B" w14:textId="77777777" w:rsidR="003D3984" w:rsidRDefault="003D3984" w:rsidP="003D3984">
      <w:pPr>
        <w:pStyle w:val="ListParagraph"/>
        <w:numPr>
          <w:ilvl w:val="1"/>
          <w:numId w:val="7"/>
        </w:numPr>
        <w:shd w:val="clear" w:color="auto" w:fill="FFFFFF"/>
        <w:spacing w:before="100" w:beforeAutospacing="1" w:after="100" w:afterAutospacing="1" w:line="240" w:lineRule="auto"/>
        <w:rPr>
          <w:rFonts w:eastAsia="Times New Roman"/>
          <w:szCs w:val="24"/>
          <w:lang w:val="en-GB" w:eastAsia="en-GB"/>
        </w:rPr>
      </w:pPr>
      <w:r>
        <w:rPr>
          <w:rFonts w:eastAsia="Times New Roman"/>
          <w:sz w:val="22"/>
          <w:lang w:val="en-GB" w:eastAsia="en-GB"/>
        </w:rPr>
        <w:t xml:space="preserve">Select </w:t>
      </w:r>
      <w:r>
        <w:rPr>
          <w:rFonts w:eastAsia="Times New Roman"/>
          <w:b/>
          <w:bCs/>
          <w:sz w:val="22"/>
          <w:lang w:val="en-GB" w:eastAsia="en-GB"/>
        </w:rPr>
        <w:t>Save</w:t>
      </w:r>
    </w:p>
    <w:p w14:paraId="54A5D60F" w14:textId="77777777" w:rsidR="003D3984" w:rsidRDefault="003D3984" w:rsidP="003D3984">
      <w:pPr>
        <w:pStyle w:val="Heading3"/>
        <w:ind w:left="10"/>
        <w:rPr>
          <w:rFonts w:cs="Segoe UI"/>
        </w:rPr>
      </w:pPr>
      <w:r>
        <w:rPr>
          <w:rFonts w:cs="Segoe UI"/>
        </w:rPr>
        <w:t>Create a Customer</w:t>
      </w:r>
    </w:p>
    <w:p w14:paraId="7911E1C6" w14:textId="77777777" w:rsidR="003D3984" w:rsidRDefault="003D3984" w:rsidP="003D3984">
      <w:pPr>
        <w:ind w:left="10"/>
        <w:rPr>
          <w:rFonts w:cs="Segoe UI"/>
          <w:szCs w:val="20"/>
        </w:rPr>
      </w:pPr>
      <w:r>
        <w:rPr>
          <w:szCs w:val="20"/>
        </w:rPr>
        <w:t xml:space="preserve">USMF has begun working with a new customer, </w:t>
      </w:r>
      <w:proofErr w:type="spellStart"/>
      <w:r>
        <w:rPr>
          <w:szCs w:val="20"/>
        </w:rPr>
        <w:t>Woodgrove</w:t>
      </w:r>
      <w:proofErr w:type="spellEnd"/>
      <w:r>
        <w:rPr>
          <w:szCs w:val="20"/>
        </w:rPr>
        <w:t xml:space="preserve"> Bank. Arnie, the Accounts Receivable Clerk, must set up this new customer.</w:t>
      </w:r>
    </w:p>
    <w:p w14:paraId="3E0F7173"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Navigate to </w:t>
      </w:r>
      <w:r>
        <w:rPr>
          <w:b/>
          <w:bCs/>
          <w:sz w:val="22"/>
          <w:szCs w:val="20"/>
        </w:rPr>
        <w:t>Accounts receivable &gt; Customers &gt; All customers</w:t>
      </w:r>
      <w:r>
        <w:rPr>
          <w:sz w:val="22"/>
          <w:szCs w:val="20"/>
        </w:rPr>
        <w:t>.</w:t>
      </w:r>
    </w:p>
    <w:p w14:paraId="718020D1"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w:t>
      </w:r>
      <w:r>
        <w:rPr>
          <w:b/>
          <w:bCs/>
          <w:sz w:val="22"/>
          <w:szCs w:val="20"/>
        </w:rPr>
        <w:t>New</w:t>
      </w:r>
    </w:p>
    <w:p w14:paraId="5B77DC2C"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 xml:space="preserve">Customer account </w:t>
      </w:r>
      <w:r>
        <w:rPr>
          <w:sz w:val="22"/>
          <w:szCs w:val="20"/>
        </w:rPr>
        <w:t xml:space="preserve">field, enter </w:t>
      </w:r>
      <w:r>
        <w:rPr>
          <w:b/>
          <w:bCs/>
          <w:sz w:val="22"/>
          <w:szCs w:val="20"/>
        </w:rPr>
        <w:t>US-069</w:t>
      </w:r>
    </w:p>
    <w:p w14:paraId="204673B4"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Type</w:t>
      </w:r>
      <w:r>
        <w:rPr>
          <w:sz w:val="22"/>
          <w:szCs w:val="20"/>
        </w:rPr>
        <w:t xml:space="preserve"> field, select </w:t>
      </w:r>
      <w:r>
        <w:rPr>
          <w:b/>
          <w:bCs/>
          <w:sz w:val="22"/>
          <w:szCs w:val="20"/>
        </w:rPr>
        <w:t>Organization</w:t>
      </w:r>
      <w:r>
        <w:rPr>
          <w:sz w:val="22"/>
          <w:szCs w:val="20"/>
        </w:rPr>
        <w:t>.</w:t>
      </w:r>
    </w:p>
    <w:p w14:paraId="49D19390"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lastRenderedPageBreak/>
        <w:t xml:space="preserve">In the </w:t>
      </w:r>
      <w:r>
        <w:rPr>
          <w:b/>
          <w:bCs/>
          <w:sz w:val="22"/>
          <w:szCs w:val="20"/>
        </w:rPr>
        <w:t>Name</w:t>
      </w:r>
      <w:r>
        <w:rPr>
          <w:sz w:val="22"/>
          <w:szCs w:val="20"/>
        </w:rPr>
        <w:t xml:space="preserve"> field, type </w:t>
      </w:r>
      <w:proofErr w:type="spellStart"/>
      <w:r>
        <w:rPr>
          <w:b/>
          <w:bCs/>
          <w:sz w:val="22"/>
          <w:szCs w:val="20"/>
        </w:rPr>
        <w:t>Woodgrove</w:t>
      </w:r>
      <w:proofErr w:type="spellEnd"/>
      <w:r>
        <w:rPr>
          <w:b/>
          <w:bCs/>
          <w:sz w:val="22"/>
          <w:szCs w:val="20"/>
        </w:rPr>
        <w:t xml:space="preserve"> Bank</w:t>
      </w:r>
      <w:r>
        <w:rPr>
          <w:sz w:val="22"/>
          <w:szCs w:val="20"/>
        </w:rPr>
        <w:t>.</w:t>
      </w:r>
    </w:p>
    <w:p w14:paraId="0816C69F"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Customer group</w:t>
      </w:r>
      <w:r>
        <w:rPr>
          <w:sz w:val="22"/>
          <w:szCs w:val="20"/>
        </w:rPr>
        <w:t xml:space="preserve"> field, select customer group </w:t>
      </w:r>
      <w:r>
        <w:rPr>
          <w:b/>
          <w:bCs/>
          <w:sz w:val="22"/>
          <w:szCs w:val="20"/>
        </w:rPr>
        <w:t>20</w:t>
      </w:r>
      <w:r>
        <w:rPr>
          <w:sz w:val="22"/>
          <w:szCs w:val="20"/>
        </w:rPr>
        <w:t>.</w:t>
      </w:r>
    </w:p>
    <w:p w14:paraId="6CCE63ED"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w:t>
      </w:r>
      <w:r>
        <w:rPr>
          <w:b/>
          <w:bCs/>
          <w:sz w:val="22"/>
          <w:szCs w:val="20"/>
        </w:rPr>
        <w:t>Save</w:t>
      </w:r>
    </w:p>
    <w:p w14:paraId="44DC74B5"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the </w:t>
      </w:r>
      <w:r>
        <w:rPr>
          <w:b/>
          <w:bCs/>
          <w:sz w:val="22"/>
          <w:szCs w:val="20"/>
        </w:rPr>
        <w:t>Credit and collections</w:t>
      </w:r>
      <w:r>
        <w:rPr>
          <w:sz w:val="22"/>
          <w:szCs w:val="20"/>
        </w:rPr>
        <w:t xml:space="preserve"> FastTab.</w:t>
      </w:r>
    </w:p>
    <w:p w14:paraId="58761619"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Credit limit</w:t>
      </w:r>
      <w:r>
        <w:rPr>
          <w:sz w:val="22"/>
          <w:szCs w:val="20"/>
        </w:rPr>
        <w:t xml:space="preserve"> field, enter </w:t>
      </w:r>
      <w:r>
        <w:rPr>
          <w:b/>
          <w:bCs/>
          <w:sz w:val="22"/>
          <w:szCs w:val="20"/>
        </w:rPr>
        <w:t>10000</w:t>
      </w:r>
      <w:r>
        <w:rPr>
          <w:sz w:val="22"/>
          <w:szCs w:val="20"/>
        </w:rPr>
        <w:t>.</w:t>
      </w:r>
    </w:p>
    <w:p w14:paraId="453AAED3"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the </w:t>
      </w:r>
      <w:r>
        <w:rPr>
          <w:b/>
          <w:bCs/>
          <w:sz w:val="22"/>
          <w:szCs w:val="20"/>
        </w:rPr>
        <w:t>Invoice and delivery</w:t>
      </w:r>
      <w:r>
        <w:rPr>
          <w:sz w:val="22"/>
          <w:szCs w:val="20"/>
        </w:rPr>
        <w:t xml:space="preserve"> FastTab.</w:t>
      </w:r>
    </w:p>
    <w:p w14:paraId="7751A426"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Mode of delivery</w:t>
      </w:r>
      <w:r>
        <w:rPr>
          <w:sz w:val="22"/>
          <w:szCs w:val="20"/>
        </w:rPr>
        <w:t xml:space="preserve"> field, select </w:t>
      </w:r>
      <w:r>
        <w:rPr>
          <w:b/>
          <w:bCs/>
          <w:sz w:val="22"/>
          <w:szCs w:val="20"/>
        </w:rPr>
        <w:t>20</w:t>
      </w:r>
      <w:r>
        <w:rPr>
          <w:sz w:val="22"/>
          <w:szCs w:val="20"/>
        </w:rPr>
        <w:t>, Air.</w:t>
      </w:r>
    </w:p>
    <w:p w14:paraId="12133B4C"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Sales tax group</w:t>
      </w:r>
      <w:r>
        <w:rPr>
          <w:sz w:val="22"/>
          <w:szCs w:val="20"/>
        </w:rPr>
        <w:t xml:space="preserve"> field, select </w:t>
      </w:r>
      <w:r>
        <w:rPr>
          <w:b/>
          <w:bCs/>
          <w:sz w:val="22"/>
          <w:szCs w:val="20"/>
        </w:rPr>
        <w:t>CA</w:t>
      </w:r>
      <w:r>
        <w:rPr>
          <w:sz w:val="22"/>
          <w:szCs w:val="20"/>
        </w:rPr>
        <w:t>.</w:t>
      </w:r>
    </w:p>
    <w:p w14:paraId="06D67EE5"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Select the </w:t>
      </w:r>
      <w:r>
        <w:rPr>
          <w:b/>
          <w:bCs/>
          <w:sz w:val="22"/>
          <w:szCs w:val="20"/>
        </w:rPr>
        <w:t>Payment defaults</w:t>
      </w:r>
      <w:r>
        <w:rPr>
          <w:sz w:val="22"/>
          <w:szCs w:val="20"/>
        </w:rPr>
        <w:t xml:space="preserve"> FastTab.</w:t>
      </w:r>
    </w:p>
    <w:p w14:paraId="6DCED814"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w:t>
      </w:r>
      <w:r>
        <w:rPr>
          <w:b/>
          <w:bCs/>
          <w:sz w:val="22"/>
          <w:szCs w:val="20"/>
        </w:rPr>
        <w:t>Terms of payment</w:t>
      </w:r>
      <w:r>
        <w:rPr>
          <w:sz w:val="22"/>
          <w:szCs w:val="20"/>
        </w:rPr>
        <w:t xml:space="preserve"> field, select </w:t>
      </w:r>
      <w:r>
        <w:rPr>
          <w:b/>
          <w:bCs/>
          <w:sz w:val="22"/>
          <w:szCs w:val="20"/>
        </w:rPr>
        <w:t>Net10</w:t>
      </w:r>
      <w:r>
        <w:rPr>
          <w:sz w:val="22"/>
          <w:szCs w:val="20"/>
        </w:rPr>
        <w:t>.</w:t>
      </w:r>
    </w:p>
    <w:p w14:paraId="33445CA5" w14:textId="77777777" w:rsidR="003D3984" w:rsidRDefault="003D3984" w:rsidP="003D3984">
      <w:pPr>
        <w:pStyle w:val="ListParagraph"/>
        <w:widowControl w:val="0"/>
        <w:numPr>
          <w:ilvl w:val="0"/>
          <w:numId w:val="8"/>
        </w:numPr>
        <w:spacing w:after="200" w:line="276" w:lineRule="auto"/>
        <w:rPr>
          <w:sz w:val="22"/>
          <w:szCs w:val="20"/>
        </w:rPr>
      </w:pPr>
      <w:r>
        <w:rPr>
          <w:sz w:val="22"/>
          <w:szCs w:val="20"/>
        </w:rPr>
        <w:t xml:space="preserve">In the Method of payment field, select </w:t>
      </w:r>
      <w:r>
        <w:rPr>
          <w:b/>
          <w:bCs/>
          <w:sz w:val="22"/>
          <w:szCs w:val="20"/>
        </w:rPr>
        <w:t>CHECK</w:t>
      </w:r>
      <w:r>
        <w:rPr>
          <w:sz w:val="22"/>
          <w:szCs w:val="20"/>
        </w:rPr>
        <w:t>.</w:t>
      </w:r>
    </w:p>
    <w:p w14:paraId="60A2F6A3" w14:textId="7BB58E9A" w:rsidR="003D3984" w:rsidRDefault="003D3984" w:rsidP="003D3984">
      <w:pPr>
        <w:pStyle w:val="ListParagraph"/>
        <w:widowControl w:val="0"/>
        <w:numPr>
          <w:ilvl w:val="0"/>
          <w:numId w:val="8"/>
        </w:numPr>
        <w:spacing w:after="200" w:line="276" w:lineRule="auto"/>
        <w:rPr>
          <w:sz w:val="22"/>
          <w:szCs w:val="20"/>
        </w:rPr>
      </w:pPr>
      <w:r>
        <w:rPr>
          <w:sz w:val="22"/>
          <w:szCs w:val="20"/>
        </w:rPr>
        <w:t>Close the form.</w:t>
      </w:r>
    </w:p>
    <w:p w14:paraId="0C6D127B" w14:textId="357B9B30" w:rsidR="003D3984" w:rsidRDefault="003D3984">
      <w:pPr>
        <w:rPr>
          <w:b/>
          <w:bCs/>
        </w:rPr>
      </w:pPr>
    </w:p>
    <w:sectPr w:rsidR="003D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95"/>
    <w:multiLevelType w:val="multilevel"/>
    <w:tmpl w:val="D97E675A"/>
    <w:lvl w:ilvl="0">
      <w:start w:val="1"/>
      <w:numFmt w:val="decimal"/>
      <w:pStyle w:val="MBSNumberedList1"/>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start w:val="1"/>
      <w:numFmt w:val="decimal"/>
      <w:lvlText w:val="%4."/>
      <w:lvlJc w:val="left"/>
      <w:pPr>
        <w:tabs>
          <w:tab w:val="num" w:pos="5760"/>
        </w:tabs>
        <w:ind w:left="5760" w:hanging="360"/>
      </w:pPr>
    </w:lvl>
    <w:lvl w:ilvl="4">
      <w:start w:val="1"/>
      <w:numFmt w:val="lowerLetter"/>
      <w:lvlText w:val="%5."/>
      <w:lvlJc w:val="left"/>
      <w:pPr>
        <w:tabs>
          <w:tab w:val="num" w:pos="6480"/>
        </w:tabs>
        <w:ind w:left="6480" w:hanging="360"/>
      </w:pPr>
    </w:lvl>
    <w:lvl w:ilvl="5">
      <w:start w:val="1"/>
      <w:numFmt w:val="lowerRoman"/>
      <w:lvlText w:val="%6."/>
      <w:lvlJc w:val="right"/>
      <w:pPr>
        <w:tabs>
          <w:tab w:val="num" w:pos="7200"/>
        </w:tabs>
        <w:ind w:left="7200" w:hanging="180"/>
      </w:pPr>
    </w:lvl>
    <w:lvl w:ilvl="6">
      <w:start w:val="1"/>
      <w:numFmt w:val="decimal"/>
      <w:lvlText w:val="%7."/>
      <w:lvlJc w:val="left"/>
      <w:pPr>
        <w:tabs>
          <w:tab w:val="num" w:pos="7920"/>
        </w:tabs>
        <w:ind w:left="7920" w:hanging="360"/>
      </w:pPr>
    </w:lvl>
    <w:lvl w:ilvl="7">
      <w:start w:val="1"/>
      <w:numFmt w:val="lowerLetter"/>
      <w:lvlText w:val="%8."/>
      <w:lvlJc w:val="left"/>
      <w:pPr>
        <w:tabs>
          <w:tab w:val="num" w:pos="8640"/>
        </w:tabs>
        <w:ind w:left="8640" w:hanging="360"/>
      </w:pPr>
    </w:lvl>
    <w:lvl w:ilvl="8">
      <w:start w:val="1"/>
      <w:numFmt w:val="lowerRoman"/>
      <w:lvlText w:val="%9."/>
      <w:lvlJc w:val="right"/>
      <w:pPr>
        <w:tabs>
          <w:tab w:val="num" w:pos="9360"/>
        </w:tabs>
        <w:ind w:left="9360" w:hanging="180"/>
      </w:pPr>
    </w:lvl>
  </w:abstractNum>
  <w:abstractNum w:abstractNumId="1" w15:restartNumberingAfterBreak="0">
    <w:nsid w:val="02E66FB7"/>
    <w:multiLevelType w:val="hybridMultilevel"/>
    <w:tmpl w:val="08AE4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F60172"/>
    <w:multiLevelType w:val="hybridMultilevel"/>
    <w:tmpl w:val="4A5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016A0"/>
    <w:multiLevelType w:val="hybridMultilevel"/>
    <w:tmpl w:val="65CEF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F5DF3"/>
    <w:multiLevelType w:val="hybridMultilevel"/>
    <w:tmpl w:val="E220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E7371"/>
    <w:multiLevelType w:val="hybridMultilevel"/>
    <w:tmpl w:val="2368C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487484"/>
    <w:multiLevelType w:val="hybridMultilevel"/>
    <w:tmpl w:val="8A161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BB5932"/>
    <w:multiLevelType w:val="hybridMultilevel"/>
    <w:tmpl w:val="262C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F24E3D"/>
    <w:multiLevelType w:val="hybridMultilevel"/>
    <w:tmpl w:val="701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3C697C"/>
    <w:multiLevelType w:val="hybridMultilevel"/>
    <w:tmpl w:val="33D83CE0"/>
    <w:lvl w:ilvl="0" w:tplc="0409000F">
      <w:start w:val="1"/>
      <w:numFmt w:val="decimal"/>
      <w:lvlText w:val="%1."/>
      <w:lvlJc w:val="left"/>
      <w:pPr>
        <w:ind w:left="703" w:hanging="360"/>
      </w:pPr>
    </w:lvl>
    <w:lvl w:ilvl="1" w:tplc="04090019">
      <w:start w:val="1"/>
      <w:numFmt w:val="lowerLetter"/>
      <w:lvlText w:val="%2."/>
      <w:lvlJc w:val="left"/>
      <w:pPr>
        <w:ind w:left="1423" w:hanging="360"/>
      </w:pPr>
    </w:lvl>
    <w:lvl w:ilvl="2" w:tplc="0409001B">
      <w:start w:val="1"/>
      <w:numFmt w:val="lowerRoman"/>
      <w:lvlText w:val="%3."/>
      <w:lvlJc w:val="right"/>
      <w:pPr>
        <w:ind w:left="2143" w:hanging="180"/>
      </w:pPr>
    </w:lvl>
    <w:lvl w:ilvl="3" w:tplc="0409000F">
      <w:start w:val="1"/>
      <w:numFmt w:val="decimal"/>
      <w:lvlText w:val="%4."/>
      <w:lvlJc w:val="left"/>
      <w:pPr>
        <w:ind w:left="2863" w:hanging="360"/>
      </w:pPr>
    </w:lvl>
    <w:lvl w:ilvl="4" w:tplc="04090019">
      <w:start w:val="1"/>
      <w:numFmt w:val="lowerLetter"/>
      <w:lvlText w:val="%5."/>
      <w:lvlJc w:val="left"/>
      <w:pPr>
        <w:ind w:left="3583" w:hanging="360"/>
      </w:pPr>
    </w:lvl>
    <w:lvl w:ilvl="5" w:tplc="0409001B">
      <w:start w:val="1"/>
      <w:numFmt w:val="lowerRoman"/>
      <w:lvlText w:val="%6."/>
      <w:lvlJc w:val="right"/>
      <w:pPr>
        <w:ind w:left="4303" w:hanging="180"/>
      </w:pPr>
    </w:lvl>
    <w:lvl w:ilvl="6" w:tplc="0409000F">
      <w:start w:val="1"/>
      <w:numFmt w:val="decimal"/>
      <w:lvlText w:val="%7."/>
      <w:lvlJc w:val="left"/>
      <w:pPr>
        <w:ind w:left="5023" w:hanging="360"/>
      </w:pPr>
    </w:lvl>
    <w:lvl w:ilvl="7" w:tplc="04090019">
      <w:start w:val="1"/>
      <w:numFmt w:val="lowerLetter"/>
      <w:lvlText w:val="%8."/>
      <w:lvlJc w:val="left"/>
      <w:pPr>
        <w:ind w:left="5743" w:hanging="360"/>
      </w:pPr>
    </w:lvl>
    <w:lvl w:ilvl="8" w:tplc="0409001B">
      <w:start w:val="1"/>
      <w:numFmt w:val="lowerRoman"/>
      <w:lvlText w:val="%9."/>
      <w:lvlJc w:val="right"/>
      <w:pPr>
        <w:ind w:left="6463" w:hanging="180"/>
      </w:pPr>
    </w:lvl>
  </w:abstractNum>
  <w:abstractNum w:abstractNumId="10" w15:restartNumberingAfterBreak="0">
    <w:nsid w:val="27E11D42"/>
    <w:multiLevelType w:val="hybridMultilevel"/>
    <w:tmpl w:val="5A68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446253"/>
    <w:multiLevelType w:val="hybridMultilevel"/>
    <w:tmpl w:val="8824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6E76A8"/>
    <w:multiLevelType w:val="hybridMultilevel"/>
    <w:tmpl w:val="CB901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49521E"/>
    <w:multiLevelType w:val="hybridMultilevel"/>
    <w:tmpl w:val="315877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641EFF"/>
    <w:multiLevelType w:val="hybridMultilevel"/>
    <w:tmpl w:val="8C28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27655"/>
    <w:multiLevelType w:val="hybridMultilevel"/>
    <w:tmpl w:val="D8C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9A33E0"/>
    <w:multiLevelType w:val="hybridMultilevel"/>
    <w:tmpl w:val="8904F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341904"/>
    <w:multiLevelType w:val="hybridMultilevel"/>
    <w:tmpl w:val="BD829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A40A19"/>
    <w:multiLevelType w:val="hybridMultilevel"/>
    <w:tmpl w:val="FC82ADB0"/>
    <w:lvl w:ilvl="0" w:tplc="D61ED52A">
      <w:start w:val="1"/>
      <w:numFmt w:val="bullet"/>
      <w:pStyle w:val="JSBody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39C74D36"/>
    <w:multiLevelType w:val="hybridMultilevel"/>
    <w:tmpl w:val="8BC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C41E8D"/>
    <w:multiLevelType w:val="hybridMultilevel"/>
    <w:tmpl w:val="8B4A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7B569A"/>
    <w:multiLevelType w:val="hybridMultilevel"/>
    <w:tmpl w:val="A22AB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7E1AFF"/>
    <w:multiLevelType w:val="hybridMultilevel"/>
    <w:tmpl w:val="D96A652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start w:val="1"/>
      <w:numFmt w:val="decimal"/>
      <w:lvlText w:val="%4."/>
      <w:lvlJc w:val="left"/>
      <w:pPr>
        <w:ind w:left="2890" w:hanging="360"/>
      </w:pPr>
    </w:lvl>
    <w:lvl w:ilvl="4" w:tplc="04090019">
      <w:start w:val="1"/>
      <w:numFmt w:val="lowerLetter"/>
      <w:lvlText w:val="%5."/>
      <w:lvlJc w:val="left"/>
      <w:pPr>
        <w:ind w:left="3610" w:hanging="360"/>
      </w:pPr>
    </w:lvl>
    <w:lvl w:ilvl="5" w:tplc="0409001B">
      <w:start w:val="1"/>
      <w:numFmt w:val="lowerRoman"/>
      <w:lvlText w:val="%6."/>
      <w:lvlJc w:val="right"/>
      <w:pPr>
        <w:ind w:left="4330" w:hanging="180"/>
      </w:pPr>
    </w:lvl>
    <w:lvl w:ilvl="6" w:tplc="0409000F">
      <w:start w:val="1"/>
      <w:numFmt w:val="decimal"/>
      <w:lvlText w:val="%7."/>
      <w:lvlJc w:val="left"/>
      <w:pPr>
        <w:ind w:left="5050" w:hanging="360"/>
      </w:pPr>
    </w:lvl>
    <w:lvl w:ilvl="7" w:tplc="04090019">
      <w:start w:val="1"/>
      <w:numFmt w:val="lowerLetter"/>
      <w:lvlText w:val="%8."/>
      <w:lvlJc w:val="left"/>
      <w:pPr>
        <w:ind w:left="5770" w:hanging="360"/>
      </w:pPr>
    </w:lvl>
    <w:lvl w:ilvl="8" w:tplc="0409001B">
      <w:start w:val="1"/>
      <w:numFmt w:val="lowerRoman"/>
      <w:lvlText w:val="%9."/>
      <w:lvlJc w:val="right"/>
      <w:pPr>
        <w:ind w:left="6490" w:hanging="180"/>
      </w:pPr>
    </w:lvl>
  </w:abstractNum>
  <w:abstractNum w:abstractNumId="23" w15:restartNumberingAfterBreak="0">
    <w:nsid w:val="453D05DC"/>
    <w:multiLevelType w:val="hybridMultilevel"/>
    <w:tmpl w:val="022A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A8748D"/>
    <w:multiLevelType w:val="hybridMultilevel"/>
    <w:tmpl w:val="4B52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B02806"/>
    <w:multiLevelType w:val="hybridMultilevel"/>
    <w:tmpl w:val="357C2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617D76"/>
    <w:multiLevelType w:val="hybridMultilevel"/>
    <w:tmpl w:val="C50E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C61212"/>
    <w:multiLevelType w:val="hybridMultilevel"/>
    <w:tmpl w:val="F3E65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7E030E"/>
    <w:multiLevelType w:val="hybridMultilevel"/>
    <w:tmpl w:val="4E12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F11112"/>
    <w:multiLevelType w:val="hybridMultilevel"/>
    <w:tmpl w:val="3BBC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71A3937"/>
    <w:multiLevelType w:val="hybridMultilevel"/>
    <w:tmpl w:val="486A7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285E55"/>
    <w:multiLevelType w:val="hybridMultilevel"/>
    <w:tmpl w:val="35021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8B44A9F"/>
    <w:multiLevelType w:val="hybridMultilevel"/>
    <w:tmpl w:val="ED1A8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D10C74"/>
    <w:multiLevelType w:val="hybridMultilevel"/>
    <w:tmpl w:val="CFCE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92B0638"/>
    <w:multiLevelType w:val="hybridMultilevel"/>
    <w:tmpl w:val="60E2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6056B0"/>
    <w:multiLevelType w:val="hybridMultilevel"/>
    <w:tmpl w:val="EE78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B2496"/>
    <w:multiLevelType w:val="hybridMultilevel"/>
    <w:tmpl w:val="7DD27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A6111"/>
    <w:multiLevelType w:val="hybridMultilevel"/>
    <w:tmpl w:val="2406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1B1D8C"/>
    <w:multiLevelType w:val="hybridMultilevel"/>
    <w:tmpl w:val="5EC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6921D7F"/>
    <w:multiLevelType w:val="hybridMultilevel"/>
    <w:tmpl w:val="93F8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4"/>
    <w:rsid w:val="00286619"/>
    <w:rsid w:val="003D3984"/>
    <w:rsid w:val="00422F60"/>
    <w:rsid w:val="004777CA"/>
    <w:rsid w:val="005A3FF1"/>
    <w:rsid w:val="00670DF4"/>
    <w:rsid w:val="00730272"/>
    <w:rsid w:val="00745706"/>
    <w:rsid w:val="007E214D"/>
    <w:rsid w:val="00B90834"/>
    <w:rsid w:val="00BF7D4B"/>
    <w:rsid w:val="00C24D34"/>
    <w:rsid w:val="00C47B2A"/>
    <w:rsid w:val="00C51EBA"/>
    <w:rsid w:val="00C52DDC"/>
    <w:rsid w:val="00CE181E"/>
    <w:rsid w:val="00D83037"/>
    <w:rsid w:val="00DC1158"/>
    <w:rsid w:val="00F6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184"/>
  <w15:chartTrackingRefBased/>
  <w15:docId w15:val="{E5A6EA86-B1AC-470B-A155-72E5E32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77C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984"/>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7CA"/>
    <w:rPr>
      <w:rFonts w:ascii="Segoe UI" w:eastAsiaTheme="majorEastAsia" w:hAnsi="Segoe UI" w:cstheme="majorBidi"/>
      <w:color w:val="2F5496" w:themeColor="accent1" w:themeShade="BF"/>
      <w:sz w:val="26"/>
      <w:szCs w:val="2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745706"/>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745706"/>
    <w:pPr>
      <w:spacing w:after="109" w:line="252" w:lineRule="auto"/>
      <w:ind w:left="720" w:hanging="10"/>
      <w:contextualSpacing/>
    </w:pPr>
    <w:rPr>
      <w:rFonts w:ascii="Segoe UI" w:eastAsia="Segoe UI" w:hAnsi="Segoe UI" w:cs="Segoe UI"/>
      <w:color w:val="181717"/>
      <w:sz w:val="24"/>
    </w:rPr>
  </w:style>
  <w:style w:type="character" w:customStyle="1" w:styleId="Heading3Char">
    <w:name w:val="Heading 3 Char"/>
    <w:basedOn w:val="DefaultParagraphFont"/>
    <w:link w:val="Heading3"/>
    <w:uiPriority w:val="9"/>
    <w:semiHidden/>
    <w:rsid w:val="003D3984"/>
    <w:rPr>
      <w:rFonts w:ascii="Segoe UI" w:eastAsiaTheme="majorEastAsia" w:hAnsi="Segoe UI" w:cstheme="majorBidi"/>
      <w:color w:val="1F3763" w:themeColor="accent1" w:themeShade="7F"/>
      <w:sz w:val="24"/>
      <w:szCs w:val="24"/>
    </w:rPr>
  </w:style>
  <w:style w:type="paragraph" w:styleId="NoSpacing">
    <w:name w:val="No Spacing"/>
    <w:uiPriority w:val="1"/>
    <w:qFormat/>
    <w:rsid w:val="00C52DDC"/>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rsid w:val="00D83037"/>
    <w:pPr>
      <w:widowControl w:val="0"/>
      <w:numPr>
        <w:numId w:val="30"/>
      </w:numPr>
      <w:tabs>
        <w:tab w:val="left" w:pos="2880"/>
      </w:tabs>
      <w:spacing w:before="60" w:after="60" w:line="240" w:lineRule="auto"/>
    </w:pPr>
    <w:rPr>
      <w:rFonts w:ascii="Segoe" w:eastAsia="Times New Roman" w:hAnsi="Segoe" w:cs="Times New Roman"/>
      <w:sz w:val="20"/>
    </w:rPr>
  </w:style>
  <w:style w:type="character" w:customStyle="1" w:styleId="jsbodytextChar">
    <w:name w:val="js body text Char"/>
    <w:basedOn w:val="DefaultParagraphFont"/>
    <w:link w:val="jsbodytext"/>
    <w:locked/>
    <w:rsid w:val="00D83037"/>
    <w:rPr>
      <w:rFonts w:ascii="Segoe" w:eastAsia="Times New Roman" w:hAnsi="Segoe" w:cs="Times New Roman"/>
    </w:rPr>
  </w:style>
  <w:style w:type="paragraph" w:customStyle="1" w:styleId="jsbodytext">
    <w:name w:val="js body text"/>
    <w:basedOn w:val="Normal"/>
    <w:link w:val="jsbodytextChar"/>
    <w:qFormat/>
    <w:rsid w:val="00D83037"/>
    <w:pPr>
      <w:spacing w:before="240" w:after="240" w:line="240" w:lineRule="auto"/>
      <w:ind w:left="2160"/>
    </w:pPr>
    <w:rPr>
      <w:rFonts w:ascii="Segoe" w:eastAsia="Times New Roman" w:hAnsi="Segoe" w:cs="Times New Roman"/>
    </w:rPr>
  </w:style>
  <w:style w:type="character" w:customStyle="1" w:styleId="JSBodyBulletChar">
    <w:name w:val="JS Body Bullet Char"/>
    <w:basedOn w:val="jsbodytextChar"/>
    <w:link w:val="JSBodyBullet"/>
    <w:locked/>
    <w:rsid w:val="00D83037"/>
    <w:rPr>
      <w:rFonts w:ascii="Segoe" w:eastAsia="Times New Roman" w:hAnsi="Segoe" w:cs="Times New Roman"/>
    </w:rPr>
  </w:style>
  <w:style w:type="paragraph" w:customStyle="1" w:styleId="JSBodyBullet">
    <w:name w:val="JS Body Bullet"/>
    <w:basedOn w:val="jsbodytext"/>
    <w:link w:val="JSBodyBulletChar"/>
    <w:qFormat/>
    <w:rsid w:val="00D83037"/>
    <w:pPr>
      <w:numPr>
        <w:numId w:val="3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862">
      <w:bodyDiv w:val="1"/>
      <w:marLeft w:val="0"/>
      <w:marRight w:val="0"/>
      <w:marTop w:val="0"/>
      <w:marBottom w:val="0"/>
      <w:divBdr>
        <w:top w:val="none" w:sz="0" w:space="0" w:color="auto"/>
        <w:left w:val="none" w:sz="0" w:space="0" w:color="auto"/>
        <w:bottom w:val="none" w:sz="0" w:space="0" w:color="auto"/>
        <w:right w:val="none" w:sz="0" w:space="0" w:color="auto"/>
      </w:divBdr>
    </w:div>
    <w:div w:id="62460171">
      <w:bodyDiv w:val="1"/>
      <w:marLeft w:val="0"/>
      <w:marRight w:val="0"/>
      <w:marTop w:val="0"/>
      <w:marBottom w:val="0"/>
      <w:divBdr>
        <w:top w:val="none" w:sz="0" w:space="0" w:color="auto"/>
        <w:left w:val="none" w:sz="0" w:space="0" w:color="auto"/>
        <w:bottom w:val="none" w:sz="0" w:space="0" w:color="auto"/>
        <w:right w:val="none" w:sz="0" w:space="0" w:color="auto"/>
      </w:divBdr>
    </w:div>
    <w:div w:id="78184761">
      <w:bodyDiv w:val="1"/>
      <w:marLeft w:val="0"/>
      <w:marRight w:val="0"/>
      <w:marTop w:val="0"/>
      <w:marBottom w:val="0"/>
      <w:divBdr>
        <w:top w:val="none" w:sz="0" w:space="0" w:color="auto"/>
        <w:left w:val="none" w:sz="0" w:space="0" w:color="auto"/>
        <w:bottom w:val="none" w:sz="0" w:space="0" w:color="auto"/>
        <w:right w:val="none" w:sz="0" w:space="0" w:color="auto"/>
      </w:divBdr>
    </w:div>
    <w:div w:id="372729556">
      <w:bodyDiv w:val="1"/>
      <w:marLeft w:val="0"/>
      <w:marRight w:val="0"/>
      <w:marTop w:val="0"/>
      <w:marBottom w:val="0"/>
      <w:divBdr>
        <w:top w:val="none" w:sz="0" w:space="0" w:color="auto"/>
        <w:left w:val="none" w:sz="0" w:space="0" w:color="auto"/>
        <w:bottom w:val="none" w:sz="0" w:space="0" w:color="auto"/>
        <w:right w:val="none" w:sz="0" w:space="0" w:color="auto"/>
      </w:divBdr>
    </w:div>
    <w:div w:id="571358638">
      <w:bodyDiv w:val="1"/>
      <w:marLeft w:val="0"/>
      <w:marRight w:val="0"/>
      <w:marTop w:val="0"/>
      <w:marBottom w:val="0"/>
      <w:divBdr>
        <w:top w:val="none" w:sz="0" w:space="0" w:color="auto"/>
        <w:left w:val="none" w:sz="0" w:space="0" w:color="auto"/>
        <w:bottom w:val="none" w:sz="0" w:space="0" w:color="auto"/>
        <w:right w:val="none" w:sz="0" w:space="0" w:color="auto"/>
      </w:divBdr>
    </w:div>
    <w:div w:id="874776150">
      <w:bodyDiv w:val="1"/>
      <w:marLeft w:val="0"/>
      <w:marRight w:val="0"/>
      <w:marTop w:val="0"/>
      <w:marBottom w:val="0"/>
      <w:divBdr>
        <w:top w:val="none" w:sz="0" w:space="0" w:color="auto"/>
        <w:left w:val="none" w:sz="0" w:space="0" w:color="auto"/>
        <w:bottom w:val="none" w:sz="0" w:space="0" w:color="auto"/>
        <w:right w:val="none" w:sz="0" w:space="0" w:color="auto"/>
      </w:divBdr>
    </w:div>
    <w:div w:id="974872101">
      <w:bodyDiv w:val="1"/>
      <w:marLeft w:val="0"/>
      <w:marRight w:val="0"/>
      <w:marTop w:val="0"/>
      <w:marBottom w:val="0"/>
      <w:divBdr>
        <w:top w:val="none" w:sz="0" w:space="0" w:color="auto"/>
        <w:left w:val="none" w:sz="0" w:space="0" w:color="auto"/>
        <w:bottom w:val="none" w:sz="0" w:space="0" w:color="auto"/>
        <w:right w:val="none" w:sz="0" w:space="0" w:color="auto"/>
      </w:divBdr>
    </w:div>
    <w:div w:id="985671202">
      <w:bodyDiv w:val="1"/>
      <w:marLeft w:val="0"/>
      <w:marRight w:val="0"/>
      <w:marTop w:val="0"/>
      <w:marBottom w:val="0"/>
      <w:divBdr>
        <w:top w:val="none" w:sz="0" w:space="0" w:color="auto"/>
        <w:left w:val="none" w:sz="0" w:space="0" w:color="auto"/>
        <w:bottom w:val="none" w:sz="0" w:space="0" w:color="auto"/>
        <w:right w:val="none" w:sz="0" w:space="0" w:color="auto"/>
      </w:divBdr>
    </w:div>
    <w:div w:id="1111126499">
      <w:bodyDiv w:val="1"/>
      <w:marLeft w:val="0"/>
      <w:marRight w:val="0"/>
      <w:marTop w:val="0"/>
      <w:marBottom w:val="0"/>
      <w:divBdr>
        <w:top w:val="none" w:sz="0" w:space="0" w:color="auto"/>
        <w:left w:val="none" w:sz="0" w:space="0" w:color="auto"/>
        <w:bottom w:val="none" w:sz="0" w:space="0" w:color="auto"/>
        <w:right w:val="none" w:sz="0" w:space="0" w:color="auto"/>
      </w:divBdr>
    </w:div>
    <w:div w:id="1170758414">
      <w:bodyDiv w:val="1"/>
      <w:marLeft w:val="0"/>
      <w:marRight w:val="0"/>
      <w:marTop w:val="0"/>
      <w:marBottom w:val="0"/>
      <w:divBdr>
        <w:top w:val="none" w:sz="0" w:space="0" w:color="auto"/>
        <w:left w:val="none" w:sz="0" w:space="0" w:color="auto"/>
        <w:bottom w:val="none" w:sz="0" w:space="0" w:color="auto"/>
        <w:right w:val="none" w:sz="0" w:space="0" w:color="auto"/>
      </w:divBdr>
    </w:div>
    <w:div w:id="1194879752">
      <w:bodyDiv w:val="1"/>
      <w:marLeft w:val="0"/>
      <w:marRight w:val="0"/>
      <w:marTop w:val="0"/>
      <w:marBottom w:val="0"/>
      <w:divBdr>
        <w:top w:val="none" w:sz="0" w:space="0" w:color="auto"/>
        <w:left w:val="none" w:sz="0" w:space="0" w:color="auto"/>
        <w:bottom w:val="none" w:sz="0" w:space="0" w:color="auto"/>
        <w:right w:val="none" w:sz="0" w:space="0" w:color="auto"/>
      </w:divBdr>
    </w:div>
    <w:div w:id="1288121900">
      <w:bodyDiv w:val="1"/>
      <w:marLeft w:val="0"/>
      <w:marRight w:val="0"/>
      <w:marTop w:val="0"/>
      <w:marBottom w:val="0"/>
      <w:divBdr>
        <w:top w:val="none" w:sz="0" w:space="0" w:color="auto"/>
        <w:left w:val="none" w:sz="0" w:space="0" w:color="auto"/>
        <w:bottom w:val="none" w:sz="0" w:space="0" w:color="auto"/>
        <w:right w:val="none" w:sz="0" w:space="0" w:color="auto"/>
      </w:divBdr>
    </w:div>
    <w:div w:id="1369139596">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
    <w:div w:id="1430084081">
      <w:bodyDiv w:val="1"/>
      <w:marLeft w:val="0"/>
      <w:marRight w:val="0"/>
      <w:marTop w:val="0"/>
      <w:marBottom w:val="0"/>
      <w:divBdr>
        <w:top w:val="none" w:sz="0" w:space="0" w:color="auto"/>
        <w:left w:val="none" w:sz="0" w:space="0" w:color="auto"/>
        <w:bottom w:val="none" w:sz="0" w:space="0" w:color="auto"/>
        <w:right w:val="none" w:sz="0" w:space="0" w:color="auto"/>
      </w:divBdr>
    </w:div>
    <w:div w:id="1444378907">
      <w:bodyDiv w:val="1"/>
      <w:marLeft w:val="0"/>
      <w:marRight w:val="0"/>
      <w:marTop w:val="0"/>
      <w:marBottom w:val="0"/>
      <w:divBdr>
        <w:top w:val="none" w:sz="0" w:space="0" w:color="auto"/>
        <w:left w:val="none" w:sz="0" w:space="0" w:color="auto"/>
        <w:bottom w:val="none" w:sz="0" w:space="0" w:color="auto"/>
        <w:right w:val="none" w:sz="0" w:space="0" w:color="auto"/>
      </w:divBdr>
    </w:div>
    <w:div w:id="1845777860">
      <w:bodyDiv w:val="1"/>
      <w:marLeft w:val="0"/>
      <w:marRight w:val="0"/>
      <w:marTop w:val="0"/>
      <w:marBottom w:val="0"/>
      <w:divBdr>
        <w:top w:val="none" w:sz="0" w:space="0" w:color="auto"/>
        <w:left w:val="none" w:sz="0" w:space="0" w:color="auto"/>
        <w:bottom w:val="none" w:sz="0" w:space="0" w:color="auto"/>
        <w:right w:val="none" w:sz="0" w:space="0" w:color="auto"/>
      </w:divBdr>
    </w:div>
    <w:div w:id="1951349836">
      <w:bodyDiv w:val="1"/>
      <w:marLeft w:val="0"/>
      <w:marRight w:val="0"/>
      <w:marTop w:val="0"/>
      <w:marBottom w:val="0"/>
      <w:divBdr>
        <w:top w:val="none" w:sz="0" w:space="0" w:color="auto"/>
        <w:left w:val="none" w:sz="0" w:space="0" w:color="auto"/>
        <w:bottom w:val="none" w:sz="0" w:space="0" w:color="auto"/>
        <w:right w:val="none" w:sz="0" w:space="0" w:color="auto"/>
      </w:divBdr>
    </w:div>
    <w:div w:id="20840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19</cp:revision>
  <dcterms:created xsi:type="dcterms:W3CDTF">2020-11-10T23:10:00Z</dcterms:created>
  <dcterms:modified xsi:type="dcterms:W3CDTF">2020-11-16T03:03:00Z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2020-11-10T23:10:03Z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3ac724b9-ec2d-4aa2-9e34-1477d36cf186</vt:lpwstr>
  </property>
  <property fmtid="{D5CDD505-2E9C-101B-9397-08002B2CF9AE}" pid="8" name="MSIP_Label_f42aa342-8706-4288-bd11-ebb85995028c_ContentBits">
    <vt:lpwstr>0</vt:lpwstr>
  </property>
</Properties>
</file>