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H100 LLM Inference Optimization</w:t>
        <w:br/>
        <w:t>&amp; Custom Kernel Engineering Report</w:t>
      </w:r>
    </w:p>
    <w:p>
      <w:pPr>
        <w:jc w:val="center"/>
      </w:pPr>
      <w:r>
        <w:rPr>
          <w:sz w:val="24"/>
        </w:rPr>
        <w:t>PyTorch + TensorRT-LLM + Quantization + Profiling + Triton/CUDA</w:t>
      </w:r>
    </w:p>
    <w:p>
      <w:pPr>
        <w:jc w:val="center"/>
      </w:pPr>
      <w:r>
        <w:rPr>
          <w:i/>
          <w:sz w:val="18"/>
        </w:rPr>
        <w:t>Target environment: NVIDIA H100, ~25 GB usable VRAM | Prepared September 2026</w:t>
      </w:r>
    </w:p>
    <w:p>
      <w:pPr>
        <w:pStyle w:val="Heading1"/>
      </w:pPr>
      <w:r>
        <w:t>1. Executive Summary</w:t>
      </w:r>
    </w:p>
    <w:p>
      <w:r>
        <w:t>The recommended architecture is to treat GPU optimization as a measured engineering ladder rather than starting with handwritten CUDA. Keep PyTorch as the development and training framework, move the production inference path toward TensorRT-LLM, use precision formats that the H100 actually executes efficiently, and add custom Triton/CUDA kernels only after profiling proves that an application-specific operation is a bottleneck.</w:t>
      </w:r>
    </w:p>
    <w:p>
      <w:r>
        <w:t>A critical hardware constraint changes the precision plan: H100 is an NVIDIA Hopper GPU, not Blackwell. Native NVFP4 Tensor Core execution is a Blackwell-era capability; therefore NVFP4 should not be treated as the baseline precision target for an H100 deployment. On H100, benchmark BF16/FP16, FP8 and INT8 paths supported by the chosen model/runtime first, with weight-only 4-bit formats considered only where they improve the actual memory/latency trade-off.</w:t>
      </w:r>
    </w:p>
    <w:p>
      <w:r>
        <w:t>For the repository-level security agent, the highest-value custom kernel targets are unlikely to be the transformer GEMMs that NVIDIA already optimizes aggressively. Better candidates are RL trajectory processing, reward/advantage computation, state packing, masking, small fused reductions, and other application-specific memory-bound operations. A custom kernel should enter the stack only after Nsight Systems / Nsight Compute / PyTorch profiling identifies a stable hotspot and a measurable gap.</w:t>
      </w:r>
    </w:p>
    <w:p>
      <w:pPr>
        <w:pStyle w:val="Heading1"/>
      </w:pPr>
      <w:r>
        <w:t>2. Proposed Production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7"/>
              </w:rPr>
              <w:t>Recommended technology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7"/>
              </w:rPr>
              <w:t>Role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Model/training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PyTorch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Train/QAT/fine-tune the security agent model; preserve a clean model interface.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Inference engine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TensorRT-LLM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Compile/deploy optimized engines; use optimized attention, KV-cache management, batching and quantization paths.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Serving/orchestration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NVIDIA Dynamo (optional)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Coordinate model serving and distributed inference; keep separate from kernel-level optimization.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Custom GPU ops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Triton first; CUDA when necessary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Implement only profiled bottlenecks or operations where a specialized fused kernel can reduce memory traffic / launch overhead.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Graph integration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TensorRT plugin / Torch-TensorRT plugin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Integrate custom operations when they need to live inside the optimized inference graph.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Profiling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PyTorch Profiler + Nsight Systems + Nsight Compute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Determine whether bottlenecks are compute, memory, synchronization, launch overhead, KV cache, batching, or CPU orchestration.</w:t>
            </w:r>
          </w:p>
        </w:tc>
      </w:tr>
    </w:tbl>
    <w:p>
      <w:pPr>
        <w:pStyle w:val="Heading1"/>
      </w:pPr>
      <w:r>
        <w:t>3. Precision Strategy for an H100</w:t>
      </w:r>
    </w:p>
    <w:p>
      <w:r>
        <w:t>The precision strategy should be capability-driven and benchmark-driven. Do not select a format only because it is numerically smaller; the relevant metric is end-to-end cost per validated security finding, which includes model generation plus repository tools, static analysis, tests and verification.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2F0D9"/>
            <w:vAlign w:val="center"/>
          </w:tcPr>
          <w:p>
            <w:r/>
            <w:r>
              <w:rPr>
                <w:b/>
                <w:sz w:val="17"/>
              </w:rPr>
              <w:t>Format</w:t>
            </w:r>
          </w:p>
        </w:tc>
        <w:tc>
          <w:tcPr>
            <w:tcW w:type="dxa" w:w="5040"/>
            <w:shd w:fill="E2F0D9"/>
            <w:vAlign w:val="center"/>
          </w:tcPr>
          <w:p>
            <w:r/>
            <w:r>
              <w:rPr>
                <w:b/>
                <w:sz w:val="17"/>
              </w:rPr>
              <w:t>Recommendation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BF16 / FP16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Excellent baseline for accuracy and broad compatibility. Use as the reference point.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FP8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High-priority H100 candidate for inference and potentially QAT-aware deployment. Benchmark model quality and latency against BF16.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INT8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Useful when the specific model/runtime path supports it efficiently. Validate accuracy and dequantization overhead.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INT4 / weight-only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Can reduce weight memory substantially; evaluate whether extra dequantization / kernel overhead offsets the benefit.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NVFP4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Do not assume native H100 Tensor Core execution. Native NVFP4 support is associated with Blackwell; on pre-Blackwell platforms, any emulation/dequantization path must be treated as a different performance regime.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Mixed precision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Potentially useful: keep sensitive operations at a higher precision and use lower precision where QAT/calibration shows acceptable error.</w:t>
            </w:r>
          </w:p>
        </w:tc>
      </w:tr>
    </w:tbl>
    <w:p>
      <w:r>
        <w:t>Memory intuition: a 7B-parameter model has roughly 7 GB of raw weights at 8 bits and roughly 3.5 GB at 4 bits before runtime overhead, KV cache, activation buffers, workspace and allocator fragmentation. The actual deployment footprint depends strongly on context length, batch size, parallelism and runtime implementation.</w:t>
      </w:r>
    </w:p>
    <w:p>
      <w:pPr>
        <w:pStyle w:val="Heading1"/>
      </w:pPr>
      <w:r>
        <w:t>4. Quantization-Aware Training (QAT) Plan</w:t>
      </w:r>
    </w:p>
    <w:p>
      <w:r>
        <w:t>Because the project is security-sensitive, the model should be evaluated for behavior preservation rather than only perplexity. The validation set should include vulnerability identification, localization, evidence quality, tool selection, and abstention behavior.</w:t>
      </w:r>
    </w:p>
    <w:p>
      <w:pPr>
        <w:pStyle w:val="ListNumber"/>
        <w:spacing w:after="40"/>
      </w:pPr>
      <w:r>
        <w:t>Choose an accuracy reference in BF16 or FP16 and freeze a representative security-agent evaluation suite.</w:t>
      </w:r>
    </w:p>
    <w:p>
      <w:pPr>
        <w:pStyle w:val="ListNumber"/>
        <w:spacing w:after="40"/>
      </w:pPr>
      <w:r>
        <w:t>Run calibration / QAT experiments for the target deployment precision.</w:t>
      </w:r>
    </w:p>
    <w:p>
      <w:pPr>
        <w:pStyle w:val="ListNumber"/>
        <w:spacing w:after="40"/>
      </w:pPr>
      <w:r>
        <w:t>Compare exact tool-call distributions, finding precision/recall, evidence correctness and trajectory length before and after quantization.</w:t>
      </w:r>
    </w:p>
    <w:p>
      <w:pPr>
        <w:pStyle w:val="ListNumber"/>
        <w:spacing w:after="40"/>
      </w:pPr>
      <w:r>
        <w:t>Export the accepted model into the inference engine and re-measure end-to-end performance; do not assume training-time speedups translate directly to serving.</w:t>
      </w:r>
    </w:p>
    <w:p>
      <w:pPr>
        <w:pStyle w:val="ListNumber"/>
        <w:spacing w:after="40"/>
      </w:pPr>
      <w:r>
        <w:t>Re-test on long repositories and long contexts because quantization error can interact with accumulated tool/state context.</w:t>
      </w:r>
    </w:p>
    <w:p>
      <w:pPr>
        <w:pStyle w:val="Heading1"/>
      </w:pPr>
      <w:r>
        <w:t>5. TensorRT-LLM: Primary Inference Path</w:t>
      </w:r>
    </w:p>
    <w:p>
      <w:r>
        <w:t>TensorRT-LLM is the preferred production path because it already implements an optimized LLM inference stack instead of requiring the project to recreate attention, KV-cache, batching and quantization infrastructure from scratch. The official documentation exposes quick-start, architecture, runtime APIs, model/layer APIs, quantization APIs, a support matrix and source code.</w:t>
      </w:r>
    </w:p>
    <w:p>
      <w:pPr/>
      <w:r>
        <w:rPr>
          <w:b/>
          <w:sz w:val="18"/>
        </w:rPr>
        <w:t xml:space="preserve">Documentation: </w:t>
      </w:r>
      <w:hyperlink r:id="rId9">
        <w:r>
          <w:rPr>
            <w:color w:val="0563C1"/>
            <w:u w:val="single"/>
          </w:rPr>
          <w:t>https://docs.nvidia.com/tensorrt-llm/</w:t>
        </w:r>
      </w:hyperlink>
    </w:p>
    <w:p>
      <w:pPr/>
      <w:r>
        <w:rPr>
          <w:b/>
          <w:sz w:val="18"/>
        </w:rPr>
        <w:t xml:space="preserve">Quick start: </w:t>
      </w:r>
      <w:hyperlink r:id="rId10">
        <w:r>
          <w:rPr>
            <w:color w:val="0563C1"/>
            <w:u w:val="single"/>
          </w:rPr>
          <w:t>https://nvidia.github.io/TensorRT-LLM/quick-start-guide.html</w:t>
        </w:r>
      </w:hyperlink>
    </w:p>
    <w:p>
      <w:pPr/>
      <w:r>
        <w:rPr>
          <w:b/>
          <w:sz w:val="18"/>
        </w:rPr>
        <w:t xml:space="preserve">Support matrix: </w:t>
      </w:r>
      <w:hyperlink r:id="rId11">
        <w:r>
          <w:rPr>
            <w:color w:val="0563C1"/>
            <w:u w:val="single"/>
          </w:rPr>
          <w:t>https://nvidia.github.io/TensorRT-LLM/reference/support-matrix.html</w:t>
        </w:r>
      </w:hyperlink>
    </w:p>
    <w:p>
      <w:pPr/>
      <w:r>
        <w:rPr>
          <w:b/>
          <w:sz w:val="18"/>
        </w:rPr>
        <w:t xml:space="preserve">Architecture: </w:t>
      </w:r>
      <w:hyperlink r:id="rId12">
        <w:r>
          <w:rPr>
            <w:color w:val="0563C1"/>
            <w:u w:val="single"/>
          </w:rPr>
          <w:t>https://nvidia.github.io/TensorRT-LLM/architecture/overview.html</w:t>
        </w:r>
      </w:hyperlink>
    </w:p>
    <w:p>
      <w:pPr/>
      <w:r>
        <w:rPr>
          <w:b/>
          <w:sz w:val="18"/>
        </w:rPr>
        <w:t xml:space="preserve">Quantization API: </w:t>
      </w:r>
      <w:hyperlink r:id="rId13">
        <w:r>
          <w:rPr>
            <w:color w:val="0563C1"/>
            <w:u w:val="single"/>
          </w:rPr>
          <w:t>https://nvidia.github.io/TensorRT-LLM/python-api/tensorrt_llm.quantization.html</w:t>
        </w:r>
      </w:hyperlink>
    </w:p>
    <w:p>
      <w:pPr/>
      <w:r>
        <w:rPr>
          <w:b/>
          <w:sz w:val="18"/>
        </w:rPr>
        <w:t xml:space="preserve">GitHub source: </w:t>
      </w:r>
      <w:hyperlink r:id="rId14">
        <w:r>
          <w:rPr>
            <w:color w:val="0563C1"/>
            <w:u w:val="single"/>
          </w:rPr>
          <w:t>https://github.com/NVIDIA/TensorRT-LLM</w:t>
        </w:r>
      </w:hyperlink>
    </w:p>
    <w:p>
      <w:r>
        <w:t>Useful source-tree areas include examples/, tensorrt_llm/, cpp/, tests/, triton_backend/, and triton_kernels/. These are valuable reference implementations before writing custom kernels.</w:t>
      </w:r>
    </w:p>
    <w:p>
      <w:pPr>
        <w:pStyle w:val="Heading1"/>
      </w:pPr>
      <w:r>
        <w:t>6. TensorRT and Plugin Integration</w:t>
      </w:r>
    </w:p>
    <w:p>
      <w:r>
        <w:t>TensorRT sits underneath TensorRT-LLM as the optimized engine/runtime layer. Its optimization system performs graph-level fusion and implementation selection. The project should therefore profile the compiled engine before replacing any kernel that TensorRT already emits.</w:t>
      </w:r>
    </w:p>
    <w:p>
      <w:pPr/>
      <w:r>
        <w:rPr>
          <w:b/>
          <w:sz w:val="18"/>
        </w:rPr>
        <w:t xml:space="preserve">TensorRT documentation: </w:t>
      </w:r>
      <w:hyperlink r:id="rId15">
        <w:r>
          <w:rPr>
            <w:color w:val="0563C1"/>
            <w:u w:val="single"/>
          </w:rPr>
          <w:t>https://docs.nvidia.com/deeplearning/tensorrt/latest/</w:t>
        </w:r>
      </w:hyperlink>
    </w:p>
    <w:p>
      <w:pPr/>
      <w:r>
        <w:rPr>
          <w:b/>
          <w:sz w:val="18"/>
        </w:rPr>
        <w:t xml:space="preserve">Performance optimization: </w:t>
      </w:r>
      <w:hyperlink r:id="rId16">
        <w:r>
          <w:rPr>
            <w:color w:val="0563C1"/>
            <w:u w:val="single"/>
          </w:rPr>
          <w:t>https://docs.nvidia.com/deeplearning/tensorrt/latest/performance/optimization.html</w:t>
        </w:r>
      </w:hyperlink>
    </w:p>
    <w:p>
      <w:pPr/>
      <w:r>
        <w:rPr>
          <w:b/>
          <w:sz w:val="18"/>
        </w:rPr>
        <w:t xml:space="preserve">Custom operator / plugin guide: </w:t>
      </w:r>
      <w:hyperlink r:id="rId17">
        <w:r>
          <w:rPr>
            <w:color w:val="0563C1"/>
            <w:u w:val="single"/>
          </w:rPr>
          <w:t>https://docs.nvidia.com/deeplearning/tensorrt/latest/_static/python-api/pluginGuide.html</w:t>
        </w:r>
      </w:hyperlink>
    </w:p>
    <w:p>
      <w:pPr/>
      <w:r>
        <w:rPr>
          <w:b/>
          <w:sz w:val="18"/>
        </w:rPr>
        <w:t xml:space="preserve">Custom layer extension overview: </w:t>
      </w:r>
      <w:hyperlink r:id="rId18">
        <w:r>
          <w:rPr>
            <w:color w:val="0563C1"/>
            <w:u w:val="single"/>
          </w:rPr>
          <w:t>https://docs.nvidia.com/deeplearning/tensorrt/latest/inference-library/extending-custom-layers.html</w:t>
        </w:r>
      </w:hyperlink>
    </w:p>
    <w:p>
      <w:pPr/>
      <w:r>
        <w:rPr>
          <w:b/>
          <w:sz w:val="18"/>
        </w:rPr>
        <w:t xml:space="preserve">TensorRT GitHub: </w:t>
      </w:r>
      <w:hyperlink r:id="rId19">
        <w:r>
          <w:rPr>
            <w:color w:val="0563C1"/>
            <w:u w:val="single"/>
          </w:rPr>
          <w:t>https://github.com/NVIDIA/TensorRT</w:t>
        </w:r>
      </w:hyperlink>
    </w:p>
    <w:p>
      <w:r>
        <w:t>Rule: develop and benchmark a plugin outside the full production graph first; integrate only after correctness and standalone performance are established.</w:t>
      </w:r>
    </w:p>
    <w:p>
      <w:pPr>
        <w:pStyle w:val="Heading1"/>
      </w:pPr>
      <w:r>
        <w:t>7. PyTorch, Torch-TensorRT and Triton</w:t>
      </w:r>
    </w:p>
    <w:p>
      <w:r>
        <w:t>PyTorch remains the right research framework because the RL, reward and agent-state code will change much faster than the serving layer. Torch-TensorRT can bridge PyTorch models into TensorRT deployment, while Triton is the preferred first step for custom kernels because iteration is substantially faster than maintaining handwritten CUDA for every experiment.</w:t>
      </w:r>
    </w:p>
    <w:p>
      <w:pPr/>
      <w:r>
        <w:rPr>
          <w:b/>
          <w:sz w:val="18"/>
        </w:rPr>
        <w:t xml:space="preserve">PyTorch: </w:t>
      </w:r>
      <w:hyperlink r:id="rId20">
        <w:r>
          <w:rPr>
            <w:color w:val="0563C1"/>
            <w:u w:val="single"/>
          </w:rPr>
          <w:t>https://pytorch.org/</w:t>
        </w:r>
      </w:hyperlink>
    </w:p>
    <w:p>
      <w:pPr/>
      <w:r>
        <w:rPr>
          <w:b/>
          <w:sz w:val="18"/>
        </w:rPr>
        <w:t xml:space="preserve">Torch-TensorRT documentation: </w:t>
      </w:r>
      <w:hyperlink r:id="rId21">
        <w:r>
          <w:rPr>
            <w:color w:val="0563C1"/>
            <w:u w:val="single"/>
          </w:rPr>
          <w:t>https://docs.pytorch.org/TensorRT/</w:t>
        </w:r>
      </w:hyperlink>
    </w:p>
    <w:p>
      <w:pPr/>
      <w:r>
        <w:rPr>
          <w:b/>
          <w:sz w:val="18"/>
        </w:rPr>
        <w:t xml:space="preserve">Torch-TensorRT GitHub: </w:t>
      </w:r>
      <w:hyperlink r:id="rId22">
        <w:r>
          <w:rPr>
            <w:color w:val="0563C1"/>
            <w:u w:val="single"/>
          </w:rPr>
          <w:t>https://github.com/pytorch/TensorRT</w:t>
        </w:r>
      </w:hyperlink>
    </w:p>
    <w:p>
      <w:pPr/>
      <w:r>
        <w:rPr>
          <w:b/>
          <w:sz w:val="18"/>
        </w:rPr>
        <w:t xml:space="preserve">User-defined Triton kernels with torch.compile: </w:t>
      </w:r>
      <w:hyperlink r:id="rId23">
        <w:r>
          <w:rPr>
            <w:color w:val="0563C1"/>
            <w:u w:val="single"/>
          </w:rPr>
          <w:t>https://docs.pytorch.org/tutorials/recipes/torch_compile_user_defined_triton_kernel_tutorial.html</w:t>
        </w:r>
      </w:hyperlink>
    </w:p>
    <w:p>
      <w:pPr/>
      <w:r>
        <w:rPr>
          <w:b/>
          <w:sz w:val="18"/>
        </w:rPr>
        <w:t xml:space="preserve">Triton GitHub: </w:t>
      </w:r>
      <w:hyperlink r:id="rId24">
        <w:r>
          <w:rPr>
            <w:color w:val="0563C1"/>
            <w:u w:val="single"/>
          </w:rPr>
          <w:t>https://github.com/triton-lang/triton</w:t>
        </w:r>
      </w:hyperlink>
    </w:p>
    <w:p>
      <w:pPr/>
      <w:r>
        <w:rPr>
          <w:b/>
          <w:sz w:val="18"/>
        </w:rPr>
        <w:t xml:space="preserve">PyTorch extending/custom operators: </w:t>
      </w:r>
      <w:hyperlink r:id="rId25">
        <w:r>
          <w:rPr>
            <w:color w:val="0563C1"/>
            <w:u w:val="single"/>
          </w:rPr>
          <w:t>https://docs.pytorch.org/docs/main/notes/extending.html</w:t>
        </w:r>
      </w:hyperlink>
    </w:p>
    <w:p>
      <w:r>
        <w:t>For this project, the recommended custom-kernel order is: Python/PyTorch prototype -&gt; Triton prototype -&gt; benchmark -&gt; optimize/fuse -&gt; only then migrate to CUDA/C++ when Triton cannot express the needed optimization or the kernel requires lower-level control.</w:t>
      </w:r>
    </w:p>
    <w:p>
      <w:pPr>
        <w:pStyle w:val="Heading1"/>
      </w:pPr>
      <w:r>
        <w:t>8. NVIDIA Dynamo: Serving/Orchestration Layer</w:t>
      </w:r>
    </w:p>
    <w:p>
      <w:r>
        <w:t>Dynamo should be treated as the serving/orchestration layer, not as a replacement for TensorRT-LLM kernels. It becomes useful when the project evolves from one H100 process into a production serving system with multiple workers, routing, batching and distributed execution.</w:t>
      </w:r>
    </w:p>
    <w:p>
      <w:pPr/>
      <w:r>
        <w:rPr>
          <w:b/>
          <w:sz w:val="18"/>
        </w:rPr>
        <w:t xml:space="preserve">NVIDIA Dynamo documentation: </w:t>
      </w:r>
      <w:hyperlink r:id="rId26">
        <w:r>
          <w:rPr>
            <w:color w:val="0563C1"/>
            <w:u w:val="single"/>
          </w:rPr>
          <w:t>https://docs.nvidia.com/dynamo/</w:t>
        </w:r>
      </w:hyperlink>
    </w:p>
    <w:p>
      <w:pPr/>
      <w:r>
        <w:rPr>
          <w:b/>
          <w:sz w:val="18"/>
        </w:rPr>
        <w:t xml:space="preserve">NVIDIA Dynamo GitHub: </w:t>
      </w:r>
      <w:hyperlink r:id="rId27">
        <w:r>
          <w:rPr>
            <w:color w:val="0563C1"/>
            <w:u w:val="single"/>
          </w:rPr>
          <w:t>https://github.com/ai-dynamo/dynamo</w:t>
        </w:r>
      </w:hyperlink>
    </w:p>
    <w:p>
      <w:r>
        <w:t>Keep the optimization boundary clean: TensorRT-LLM/TensorRT handles model execution; Dynamo handles serving/orchestration; custom kernels handle only measured gaps.</w:t>
      </w:r>
    </w:p>
    <w:p>
      <w:pPr>
        <w:pStyle w:val="Heading1"/>
      </w:pPr>
      <w:r>
        <w:t>9. Profiling Methodology</w:t>
      </w:r>
    </w:p>
    <w:p>
      <w:r>
        <w:t>Profiling is the gate that decides whether custom CUDA work is justified. Collect both microbenchmarks and end-to-end agent metrics.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CE4D6"/>
            <w:vAlign w:val="center"/>
          </w:tcPr>
          <w:p>
            <w:r/>
            <w:r>
              <w:rPr>
                <w:b/>
                <w:sz w:val="17"/>
              </w:rPr>
              <w:t>Tool</w:t>
            </w:r>
          </w:p>
        </w:tc>
        <w:tc>
          <w:tcPr>
            <w:tcW w:type="dxa" w:w="5040"/>
            <w:shd w:fill="FCE4D6"/>
            <w:vAlign w:val="center"/>
          </w:tcPr>
          <w:p>
            <w:r/>
            <w:r>
              <w:rPr>
                <w:b/>
                <w:sz w:val="17"/>
              </w:rPr>
              <w:t>Primary question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PyTorch Profiler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Find expensive operators, CPU/GPU synchronization and high-level execution hotspots.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Nsight Systems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Inspect end-to-end timeline: kernel launches, CPU overhead, CUDA streams, synchronization, data movement and service-level behavior.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Nsight Compute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Inspect individual kernels: achieved occupancy, memory throughput, tensor-core activity, instruction mix, cache behavior and roofline position.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TensorRT profiling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Verify what fusions and layer implementations the engine is actually using.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Application telemetry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Measure tokens/sec, time-to-first-token, inter-token latency, tool-call latency and total episode latency.</w:t>
            </w:r>
          </w:p>
        </w:tc>
      </w:tr>
    </w:tbl>
    <w:p>
      <w:r>
        <w:t>For the security-agent workload, total episode latency is approximately: T_episode = T_LLM + T_tool + T_static_analysis + T_tests + T_verification + orchestration overhead. If T_LLM is only a small fraction, a large token-generation optimization may have little effect on overall research throughput.</w:t>
      </w:r>
    </w:p>
    <w:p>
      <w:pPr>
        <w:pStyle w:val="Heading1"/>
      </w:pPr>
      <w:r>
        <w:t>10. Where Custom Kernels Actually Make Sense</w:t>
      </w:r>
    </w:p>
    <w:p>
      <w:r>
        <w:t>Do not rewrite the main transformer GEMMs merely to demonstrate CUDA skill. NVIDIA, TensorRT and TensorRT-LLM already devote substantial engineering to these paths. Instead, target computations that are unique to the repository-security agent.</w:t>
      </w:r>
    </w:p>
    <w:p>
      <w:pPr>
        <w:pStyle w:val="ListBullet"/>
        <w:spacing w:after="40"/>
      </w:pPr>
      <w:r>
        <w:t>RL trajectory processing: Returns, advantages, normalization, masking and packed trajectory transforms over many steps.</w:t>
      </w:r>
    </w:p>
    <w:p>
      <w:pPr>
        <w:pStyle w:val="ListBullet"/>
        <w:spacing w:after="40"/>
      </w:pPr>
      <w:r>
        <w:t>Reward aggregation: Fuse several reward components, masks and reductions when profiling shows launch/memory overhead.</w:t>
      </w:r>
    </w:p>
    <w:p>
      <w:pPr>
        <w:pStyle w:val="ListBullet"/>
        <w:spacing w:after="40"/>
      </w:pPr>
      <w:r>
        <w:t>Security-state packing: Gather visited-file features, call-graph features, tool outcomes and candidate-hypothesis embeddings into a model-ready representation.</w:t>
      </w:r>
    </w:p>
    <w:p>
      <w:pPr>
        <w:pStyle w:val="ListBullet"/>
        <w:spacing w:after="40"/>
      </w:pPr>
      <w:r>
        <w:t>Custom attention or fusion: Only if the agent introduces a non-standard attention pattern over code/tool/graph state that existing kernels do not optimize.</w:t>
      </w:r>
    </w:p>
    <w:p>
      <w:pPr>
        <w:pStyle w:val="ListBullet"/>
        <w:spacing w:after="40"/>
      </w:pPr>
      <w:r>
        <w:t>Specialized quantization/dequantization: Only where the exact model format creates a measured hotspot absent from standard TensorRT-LLM kernels.</w:t>
      </w:r>
    </w:p>
    <w:p>
      <w:pPr>
        <w:pStyle w:val="ListBullet"/>
        <w:spacing w:after="40"/>
      </w:pPr>
      <w:r>
        <w:t>Small-kernel launch overhead: Fuse chains of tiny elementwise/reduction ops that dominate the profile.</w:t>
      </w:r>
    </w:p>
    <w:p>
      <w:r>
        <w:t>A useful decision threshold is not “is the custom kernel faster?” but “does it improve the bottleneck enough to move end-to-end throughput or cost per validated finding?” A 2x faster kernel that consumes 2% of runtime is still mostly irrelevant.</w:t>
      </w:r>
    </w:p>
    <w:p>
      <w:pPr>
        <w:pStyle w:val="Heading1"/>
      </w:pPr>
      <w:r>
        <w:t>11. Benchmark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DCF8"/>
            <w:vAlign w:val="center"/>
          </w:tcPr>
          <w:p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3360"/>
            <w:shd w:fill="EADCF8"/>
            <w:vAlign w:val="center"/>
          </w:tcPr>
          <w:p>
            <w:r/>
            <w:r>
              <w:rPr>
                <w:b/>
                <w:sz w:val="17"/>
              </w:rPr>
              <w:t>Configuration</w:t>
            </w:r>
          </w:p>
        </w:tc>
        <w:tc>
          <w:tcPr>
            <w:tcW w:type="dxa" w:w="3360"/>
            <w:shd w:fill="EADCF8"/>
            <w:vAlign w:val="center"/>
          </w:tcPr>
          <w:p>
            <w:r/>
            <w:r>
              <w:rPr>
                <w:b/>
                <w:sz w:val="17"/>
              </w:rPr>
              <w:t>Question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Reference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PyTorch BF16/FP16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Correctness and baseline latency/throughput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Engine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TensorRT-LLM BF16/FP16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Measure framework/runtime benefit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Precision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TensorRT-LLM FP8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Measure memory, throughput and accuracy delta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Compression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INT8 / INT4 weight-only as supported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Measure footprint vs dequantization overhead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Custom kernel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Triton replacement for one profiled hotspot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Isolate kernel-level improvement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Plugin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TensorRT plugin integrated into engine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Measure graph-level impact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Serving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Dynamo + optimized engine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Measure concurrency and orchestration behavior</w:t>
            </w:r>
          </w:p>
        </w:tc>
      </w:tr>
    </w:tbl>
    <w:p>
      <w:pPr>
        <w:pStyle w:val="Heading1"/>
      </w:pPr>
      <w:r>
        <w:t>12. Metrics for the Repository Security Agent</w:t>
      </w:r>
    </w:p>
    <w:p>
      <w:pPr>
        <w:pStyle w:val="ListBullet"/>
        <w:spacing w:after="40"/>
      </w:pPr>
      <w:r>
        <w:t>End-to-end episode time and GPU-seconds per episode.</w:t>
      </w:r>
    </w:p>
    <w:p>
      <w:pPr>
        <w:pStyle w:val="ListBullet"/>
        <w:spacing w:after="40"/>
      </w:pPr>
      <w:r>
        <w:t>Tokens generated per second and time-to-first-token.</w:t>
      </w:r>
    </w:p>
    <w:p>
      <w:pPr>
        <w:pStyle w:val="ListBullet"/>
        <w:spacing w:after="40"/>
      </w:pPr>
      <w:r>
        <w:t>Tool calls per validated vulnerability finding.</w:t>
      </w:r>
    </w:p>
    <w:p>
      <w:pPr>
        <w:pStyle w:val="ListBullet"/>
        <w:spacing w:after="40"/>
      </w:pPr>
      <w:r>
        <w:t>Precision, recall and F1 on known vulnerable/fixed repository data.</w:t>
      </w:r>
    </w:p>
    <w:p>
      <w:pPr>
        <w:pStyle w:val="ListBullet"/>
        <w:spacing w:after="40"/>
      </w:pPr>
      <w:r>
        <w:t>Localization accuracy: vulnerable file/function/line or relevant code region.</w:t>
      </w:r>
    </w:p>
    <w:p>
      <w:pPr>
        <w:pStyle w:val="ListBullet"/>
        <w:spacing w:after="40"/>
      </w:pPr>
      <w:r>
        <w:t>Evidence correctness: whether the reported source-to-sink/dataflow explanation is supported by the repository.</w:t>
      </w:r>
    </w:p>
    <w:p>
      <w:pPr>
        <w:pStyle w:val="ListBullet"/>
        <w:spacing w:after="40"/>
      </w:pPr>
      <w:r>
        <w:t>False-positive cost and rate of unjustified escalation.</w:t>
      </w:r>
    </w:p>
    <w:p>
      <w:pPr>
        <w:pStyle w:val="ListBullet"/>
        <w:spacing w:after="40"/>
      </w:pPr>
      <w:r>
        <w:t>Abstention quality: whether the agent correctly declines to report when evidence is insufficient.</w:t>
      </w:r>
    </w:p>
    <w:p>
      <w:pPr>
        <w:pStyle w:val="ListBullet"/>
        <w:spacing w:after="40"/>
      </w:pPr>
      <w:r>
        <w:t>Cost per validated finding and cost per correctly localized finding.</w:t>
      </w:r>
    </w:p>
    <w:p>
      <w:pPr>
        <w:pStyle w:val="Heading1"/>
      </w:pPr>
      <w:r>
        <w:t>13. Speculative Decoding, Medusa and EAGLE</w:t>
      </w:r>
    </w:p>
    <w:p>
      <w:r>
        <w:t>Do not hard-code “no speculative decoding” into the architecture, but do not optimize for it before measuring. Medusa/EAGLE-style approaches can reduce generation latency under suitable conditions, but the security-agent workload is tool-heavy. The correct decision follows from the latency decomposition: only prioritize speculative decoding when model generation is a dominant part of total episode time.</w:t>
      </w:r>
    </w:p>
    <w:p>
      <w:pPr/>
      <w:r>
        <w:rPr>
          <w:b/>
          <w:sz w:val="18"/>
        </w:rPr>
        <w:t xml:space="preserve">TensorRT-LLM documentation: </w:t>
      </w:r>
      <w:hyperlink r:id="rId9">
        <w:r>
          <w:rPr>
            <w:color w:val="0563C1"/>
            <w:u w:val="single"/>
          </w:rPr>
          <w:t>https://docs.nvidia.com/tensorrt-llm/</w:t>
        </w:r>
      </w:hyperlink>
    </w:p>
    <w:p>
      <w:r>
        <w:t>Recommended experiment later: compare the same agent trajectory with and without the technique while keeping tool policies, prompts, repository, model weights and verification identical.</w:t>
      </w:r>
    </w:p>
    <w:p>
      <w:pPr>
        <w:pStyle w:val="Heading1"/>
      </w:pPr>
      <w:r>
        <w:t>14. Suggested Codebase Layout</w:t>
      </w:r>
    </w:p>
    <w:p>
      <w:pPr/>
      <w:r>
        <w:rPr>
          <w:rFonts w:ascii="Consolas" w:hAnsi="Consolas"/>
          <w:sz w:val="17"/>
        </w:rPr>
        <w:t>llm-inference-stack/</w:t>
        <w:br/>
        <w:t>├── model/</w:t>
        <w:br/>
        <w:t>│   ├── config/</w:t>
        <w:br/>
        <w:t>│   ├── qat/</w:t>
        <w:br/>
        <w:t>│   ├── quantization/</w:t>
        <w:br/>
        <w:t>│   └── checkpoints/</w:t>
        <w:br/>
        <w:t>├── pytorch/</w:t>
        <w:br/>
        <w:t>│   ├── model.py</w:t>
        <w:br/>
        <w:t>│   ├── training.py</w:t>
        <w:br/>
        <w:t>│   └── profiling.py</w:t>
        <w:br/>
        <w:t>├── tensorrt_llm/</w:t>
        <w:br/>
        <w:t>│   ├── build_engine.py</w:t>
        <w:br/>
        <w:t>│   ├── runtime.py</w:t>
        <w:br/>
        <w:t>│   ├── configs/</w:t>
        <w:br/>
        <w:t>│   └── benchmarks/</w:t>
        <w:br/>
        <w:t>├── custom_kernels/</w:t>
        <w:br/>
        <w:t>│   ├── triton/</w:t>
        <w:br/>
        <w:t>│   ├── cuda/</w:t>
        <w:br/>
        <w:t>│   ├── benchmarks/</w:t>
        <w:br/>
        <w:t>│   └── tests/</w:t>
        <w:br/>
        <w:t>├── plugins/</w:t>
        <w:br/>
        <w:t>│   └── tensorrt/</w:t>
        <w:br/>
        <w:t>├── serving/</w:t>
        <w:br/>
        <w:t>│   └── dynamo/</w:t>
        <w:br/>
        <w:t>├── profiling/</w:t>
        <w:br/>
        <w:t>│   ├── pytorch/</w:t>
        <w:br/>
        <w:t>│   ├── nsight_systems/</w:t>
        <w:br/>
        <w:t>│   └── nsight_compute/</w:t>
        <w:br/>
        <w:t>├── agent/</w:t>
        <w:br/>
        <w:t>│   ├── actor/</w:t>
        <w:br/>
        <w:t>│   ├── critic/</w:t>
        <w:br/>
        <w:t>│   ├── environment/</w:t>
        <w:br/>
        <w:t>│   ├── reward/</w:t>
        <w:br/>
        <w:t>│   └── tools/</w:t>
        <w:br/>
        <w:t>└── evaluation/</w:t>
        <w:br/>
        <w:t xml:space="preserve">    ├── accuracy/</w:t>
        <w:br/>
        <w:t xml:space="preserve">    ├── latency/</w:t>
        <w:br/>
        <w:t xml:space="preserve">    ├── throughput/</w:t>
        <w:br/>
        <w:t xml:space="preserve">    └── ablations/</w:t>
      </w:r>
    </w:p>
    <w:p>
      <w:pPr>
        <w:pStyle w:val="Heading1"/>
      </w:pPr>
      <w:r>
        <w:t>15. Recommended Implementation Order</w:t>
      </w:r>
    </w:p>
    <w:p>
      <w:pPr>
        <w:pStyle w:val="ListNumber"/>
        <w:spacing w:after="40"/>
      </w:pPr>
      <w:r>
        <w:t>Freeze the security-agent model and evaluation suite in BF16/FP16.</w:t>
      </w:r>
    </w:p>
    <w:p>
      <w:pPr>
        <w:pStyle w:val="ListNumber"/>
        <w:spacing w:after="40"/>
      </w:pPr>
      <w:r>
        <w:t>Build a clean PyTorch inference benchmark and capture baseline latency, GPU memory and quality metrics.</w:t>
      </w:r>
    </w:p>
    <w:p>
      <w:pPr>
        <w:pStyle w:val="ListNumber"/>
        <w:spacing w:after="40"/>
      </w:pPr>
      <w:r>
        <w:t>Compile/deploy the model with TensorRT-LLM using a precision supported efficiently on H100.</w:t>
      </w:r>
    </w:p>
    <w:p>
      <w:pPr>
        <w:pStyle w:val="ListNumber"/>
        <w:spacing w:after="40"/>
      </w:pPr>
      <w:r>
        <w:t>Benchmark FP8 and other supported quantization paths; retain the most useful accuracy/latency/memory trade-off.</w:t>
      </w:r>
    </w:p>
    <w:p>
      <w:pPr>
        <w:pStyle w:val="ListNumber"/>
        <w:spacing w:after="40"/>
      </w:pPr>
      <w:r>
        <w:t>Profile the complete repository-agent episode, not only token generation.</w:t>
      </w:r>
    </w:p>
    <w:p>
      <w:pPr>
        <w:pStyle w:val="ListNumber"/>
        <w:spacing w:after="40"/>
      </w:pPr>
      <w:r>
        <w:t>Pick one stable bottleneck with meaningful end-to-end contribution.</w:t>
      </w:r>
    </w:p>
    <w:p>
      <w:pPr>
        <w:pStyle w:val="ListNumber"/>
        <w:spacing w:after="40"/>
      </w:pPr>
      <w:r>
        <w:t>Prototype the replacement operation in Triton and compare against the current implementation.</w:t>
      </w:r>
    </w:p>
    <w:p>
      <w:pPr>
        <w:pStyle w:val="ListNumber"/>
        <w:spacing w:after="40"/>
      </w:pPr>
      <w:r>
        <w:t>If needed, write CUDA/C++ or a TensorRT plugin for the same operation and benchmark again.</w:t>
      </w:r>
    </w:p>
    <w:p>
      <w:pPr>
        <w:pStyle w:val="ListNumber"/>
        <w:spacing w:after="40"/>
      </w:pPr>
      <w:r>
        <w:t>Only then add broader serving/orchestration through Dynamo if concurrency or deployment complexity demands it.</w:t>
      </w:r>
    </w:p>
    <w:p>
      <w:pPr>
        <w:pStyle w:val="ListNumber"/>
        <w:spacing w:after="40"/>
      </w:pPr>
      <w:r>
        <w:t>Re-run security quality tests after every optimization so that throughput gains cannot silently change investigation behavior.</w:t>
      </w:r>
    </w:p>
    <w:p>
      <w:pPr>
        <w:pStyle w:val="Heading1"/>
      </w:pPr>
      <w:r>
        <w:t>16. Documentation and Repository Index</w:t>
      </w:r>
    </w:p>
    <w:p>
      <w:pPr/>
      <w:r>
        <w:rPr>
          <w:b/>
          <w:sz w:val="18"/>
        </w:rPr>
        <w:t xml:space="preserve">NVIDIA TensorRT-LLM docs: </w:t>
      </w:r>
      <w:hyperlink r:id="rId9">
        <w:r>
          <w:rPr>
            <w:color w:val="0563C1"/>
            <w:u w:val="single"/>
          </w:rPr>
          <w:t>https://docs.nvidia.com/tensorrt-llm/</w:t>
        </w:r>
      </w:hyperlink>
    </w:p>
    <w:p>
      <w:pPr/>
      <w:r>
        <w:rPr>
          <w:b/>
          <w:sz w:val="18"/>
        </w:rPr>
        <w:t xml:space="preserve">TensorRT-LLM GitHub: </w:t>
      </w:r>
      <w:hyperlink r:id="rId14">
        <w:r>
          <w:rPr>
            <w:color w:val="0563C1"/>
            <w:u w:val="single"/>
          </w:rPr>
          <w:t>https://github.com/NVIDIA/TensorRT-LLM</w:t>
        </w:r>
      </w:hyperlink>
    </w:p>
    <w:p>
      <w:pPr/>
      <w:r>
        <w:rPr>
          <w:b/>
          <w:sz w:val="18"/>
        </w:rPr>
        <w:t xml:space="preserve">TensorRT-LLM quick start: </w:t>
      </w:r>
      <w:hyperlink r:id="rId10">
        <w:r>
          <w:rPr>
            <w:color w:val="0563C1"/>
            <w:u w:val="single"/>
          </w:rPr>
          <w:t>https://nvidia.github.io/TensorRT-LLM/quick-start-guide.html</w:t>
        </w:r>
      </w:hyperlink>
    </w:p>
    <w:p>
      <w:pPr/>
      <w:r>
        <w:rPr>
          <w:b/>
          <w:sz w:val="18"/>
        </w:rPr>
        <w:t xml:space="preserve">TensorRT-LLM support matrix: </w:t>
      </w:r>
      <w:hyperlink r:id="rId11">
        <w:r>
          <w:rPr>
            <w:color w:val="0563C1"/>
            <w:u w:val="single"/>
          </w:rPr>
          <w:t>https://nvidia.github.io/TensorRT-LLM/reference/support-matrix.html</w:t>
        </w:r>
      </w:hyperlink>
    </w:p>
    <w:p>
      <w:pPr/>
      <w:r>
        <w:rPr>
          <w:b/>
          <w:sz w:val="18"/>
        </w:rPr>
        <w:t xml:space="preserve">TensorRT-LLM architecture: </w:t>
      </w:r>
      <w:hyperlink r:id="rId12">
        <w:r>
          <w:rPr>
            <w:color w:val="0563C1"/>
            <w:u w:val="single"/>
          </w:rPr>
          <w:t>https://nvidia.github.io/TensorRT-LLM/architecture/overview.html</w:t>
        </w:r>
      </w:hyperlink>
    </w:p>
    <w:p>
      <w:pPr/>
      <w:r>
        <w:rPr>
          <w:b/>
          <w:sz w:val="18"/>
        </w:rPr>
        <w:t xml:space="preserve">TensorRT-LLM quantization API: </w:t>
      </w:r>
      <w:hyperlink r:id="rId13">
        <w:r>
          <w:rPr>
            <w:color w:val="0563C1"/>
            <w:u w:val="single"/>
          </w:rPr>
          <w:t>https://nvidia.github.io/TensorRT-LLM/python-api/tensorrt_llm.quantization.html</w:t>
        </w:r>
      </w:hyperlink>
    </w:p>
    <w:p>
      <w:pPr/>
      <w:r>
        <w:rPr>
          <w:b/>
          <w:sz w:val="18"/>
        </w:rPr>
        <w:t xml:space="preserve">NVIDIA TensorRT docs: </w:t>
      </w:r>
      <w:hyperlink r:id="rId15">
        <w:r>
          <w:rPr>
            <w:color w:val="0563C1"/>
            <w:u w:val="single"/>
          </w:rPr>
          <w:t>https://docs.nvidia.com/deeplearning/tensorrt/latest/</w:t>
        </w:r>
      </w:hyperlink>
    </w:p>
    <w:p>
      <w:pPr/>
      <w:r>
        <w:rPr>
          <w:b/>
          <w:sz w:val="18"/>
        </w:rPr>
        <w:t xml:space="preserve">TensorRT GitHub: </w:t>
      </w:r>
      <w:hyperlink r:id="rId19">
        <w:r>
          <w:rPr>
            <w:color w:val="0563C1"/>
            <w:u w:val="single"/>
          </w:rPr>
          <w:t>https://github.com/NVIDIA/TensorRT</w:t>
        </w:r>
      </w:hyperlink>
    </w:p>
    <w:p>
      <w:pPr/>
      <w:r>
        <w:rPr>
          <w:b/>
          <w:sz w:val="18"/>
        </w:rPr>
        <w:t xml:space="preserve">TensorRT performance optimization: </w:t>
      </w:r>
      <w:hyperlink r:id="rId16">
        <w:r>
          <w:rPr>
            <w:color w:val="0563C1"/>
            <w:u w:val="single"/>
          </w:rPr>
          <w:t>https://docs.nvidia.com/deeplearning/tensorrt/latest/performance/optimization.html</w:t>
        </w:r>
      </w:hyperlink>
    </w:p>
    <w:p>
      <w:pPr/>
      <w:r>
        <w:rPr>
          <w:b/>
          <w:sz w:val="18"/>
        </w:rPr>
        <w:t xml:space="preserve">TensorRT custom plugins: </w:t>
      </w:r>
      <w:hyperlink r:id="rId17">
        <w:r>
          <w:rPr>
            <w:color w:val="0563C1"/>
            <w:u w:val="single"/>
          </w:rPr>
          <w:t>https://docs.nvidia.com/deeplearning/tensorrt/latest/_static/python-api/pluginGuide.html</w:t>
        </w:r>
      </w:hyperlink>
    </w:p>
    <w:p>
      <w:pPr/>
      <w:r>
        <w:rPr>
          <w:b/>
          <w:sz w:val="18"/>
        </w:rPr>
        <w:t xml:space="preserve">PyTorch docs: </w:t>
      </w:r>
      <w:hyperlink r:id="rId20">
        <w:r>
          <w:rPr>
            <w:color w:val="0563C1"/>
            <w:u w:val="single"/>
          </w:rPr>
          <w:t>https://pytorch.org/</w:t>
        </w:r>
      </w:hyperlink>
    </w:p>
    <w:p>
      <w:pPr/>
      <w:r>
        <w:rPr>
          <w:b/>
          <w:sz w:val="18"/>
        </w:rPr>
        <w:t xml:space="preserve">Torch-TensorRT docs: </w:t>
      </w:r>
      <w:hyperlink r:id="rId21">
        <w:r>
          <w:rPr>
            <w:color w:val="0563C1"/>
            <w:u w:val="single"/>
          </w:rPr>
          <w:t>https://docs.pytorch.org/TensorRT/</w:t>
        </w:r>
      </w:hyperlink>
    </w:p>
    <w:p>
      <w:pPr/>
      <w:r>
        <w:rPr>
          <w:b/>
          <w:sz w:val="18"/>
        </w:rPr>
        <w:t xml:space="preserve">Torch-TensorRT GitHub: </w:t>
      </w:r>
      <w:hyperlink r:id="rId22">
        <w:r>
          <w:rPr>
            <w:color w:val="0563C1"/>
            <w:u w:val="single"/>
          </w:rPr>
          <w:t>https://github.com/pytorch/TensorRT</w:t>
        </w:r>
      </w:hyperlink>
    </w:p>
    <w:p>
      <w:pPr/>
      <w:r>
        <w:rPr>
          <w:b/>
          <w:sz w:val="18"/>
        </w:rPr>
        <w:t xml:space="preserve">PyTorch custom Triton kernel tutorial: </w:t>
      </w:r>
      <w:hyperlink r:id="rId23">
        <w:r>
          <w:rPr>
            <w:color w:val="0563C1"/>
            <w:u w:val="single"/>
          </w:rPr>
          <w:t>https://docs.pytorch.org/tutorials/recipes/torch_compile_user_defined_triton_kernel_tutorial.html</w:t>
        </w:r>
      </w:hyperlink>
    </w:p>
    <w:p>
      <w:pPr/>
      <w:r>
        <w:rPr>
          <w:b/>
          <w:sz w:val="18"/>
        </w:rPr>
        <w:t xml:space="preserve">PyTorch extensibility / custom operators: </w:t>
      </w:r>
      <w:hyperlink r:id="rId25">
        <w:r>
          <w:rPr>
            <w:color w:val="0563C1"/>
            <w:u w:val="single"/>
          </w:rPr>
          <w:t>https://docs.pytorch.org/docs/main/notes/extending.html</w:t>
        </w:r>
      </w:hyperlink>
    </w:p>
    <w:p>
      <w:pPr/>
      <w:r>
        <w:rPr>
          <w:b/>
          <w:sz w:val="18"/>
        </w:rPr>
        <w:t xml:space="preserve">Triton GitHub: </w:t>
      </w:r>
      <w:hyperlink r:id="rId24">
        <w:r>
          <w:rPr>
            <w:color w:val="0563C1"/>
            <w:u w:val="single"/>
          </w:rPr>
          <w:t>https://github.com/triton-lang/triton</w:t>
        </w:r>
      </w:hyperlink>
    </w:p>
    <w:p>
      <w:pPr/>
      <w:r>
        <w:rPr>
          <w:b/>
          <w:sz w:val="18"/>
        </w:rPr>
        <w:t xml:space="preserve">NVIDIA Dynamo docs: </w:t>
      </w:r>
      <w:hyperlink r:id="rId26">
        <w:r>
          <w:rPr>
            <w:color w:val="0563C1"/>
            <w:u w:val="single"/>
          </w:rPr>
          <w:t>https://docs.nvidia.com/dynamo/</w:t>
        </w:r>
      </w:hyperlink>
    </w:p>
    <w:p>
      <w:pPr/>
      <w:r>
        <w:rPr>
          <w:b/>
          <w:sz w:val="18"/>
        </w:rPr>
        <w:t xml:space="preserve">NVIDIA Dynamo GitHub: </w:t>
      </w:r>
      <w:hyperlink r:id="rId27">
        <w:r>
          <w:rPr>
            <w:color w:val="0563C1"/>
            <w:u w:val="single"/>
          </w:rPr>
          <w:t>https://github.com/ai-dynamo/dynamo</w:t>
        </w:r>
      </w:hyperlink>
    </w:p>
    <w:p>
      <w:pPr/>
      <w:r>
        <w:rPr>
          <w:b/>
          <w:sz w:val="18"/>
        </w:rPr>
        <w:t xml:space="preserve">NVIDIA Nsight Systems: </w:t>
      </w:r>
      <w:hyperlink r:id="rId28">
        <w:r>
          <w:rPr>
            <w:color w:val="0563C1"/>
            <w:u w:val="single"/>
          </w:rPr>
          <w:t>https://docs.nvidia.com/nsight-systems/</w:t>
        </w:r>
      </w:hyperlink>
    </w:p>
    <w:p>
      <w:pPr/>
      <w:r>
        <w:rPr>
          <w:b/>
          <w:sz w:val="18"/>
        </w:rPr>
        <w:t xml:space="preserve">NVIDIA Nsight Compute: </w:t>
      </w:r>
      <w:hyperlink r:id="rId29">
        <w:r>
          <w:rPr>
            <w:color w:val="0563C1"/>
            <w:u w:val="single"/>
          </w:rPr>
          <w:t>https://developer.nvidia.com/nsight-compute</w:t>
        </w:r>
      </w:hyperlink>
    </w:p>
    <w:p>
      <w:pPr/>
      <w:r>
        <w:rPr>
          <w:b/>
          <w:sz w:val="18"/>
        </w:rPr>
        <w:t xml:space="preserve">NVIDIA CUDA Toolkit: </w:t>
      </w:r>
      <w:hyperlink r:id="rId30">
        <w:r>
          <w:rPr>
            <w:color w:val="0563C1"/>
            <w:u w:val="single"/>
          </w:rPr>
          <w:t>https://developer.nvidia.com/cuda-toolkit</w:t>
        </w:r>
      </w:hyperlink>
    </w:p>
    <w:p>
      <w:pPr/>
      <w:r>
        <w:rPr>
          <w:b/>
          <w:sz w:val="18"/>
        </w:rPr>
        <w:t xml:space="preserve">NVIDIA CUDA C++ Programming Guide: </w:t>
      </w:r>
      <w:hyperlink r:id="rId31">
        <w:r>
          <w:rPr>
            <w:color w:val="0563C1"/>
            <w:u w:val="single"/>
          </w:rPr>
          <w:t>https://docs.nvidia.com/cuda/cuda-c-programming-guide/</w:t>
        </w:r>
      </w:hyperlink>
    </w:p>
    <w:p>
      <w:pPr/>
      <w:r>
        <w:rPr>
          <w:b/>
          <w:sz w:val="18"/>
        </w:rPr>
        <w:t xml:space="preserve">NVIDIA cuBLAS: </w:t>
      </w:r>
      <w:hyperlink r:id="rId32">
        <w:r>
          <w:rPr>
            <w:color w:val="0563C1"/>
            <w:u w:val="single"/>
          </w:rPr>
          <w:t>https://docs.nvidia.com/cuda/cublas/</w:t>
        </w:r>
      </w:hyperlink>
    </w:p>
    <w:p>
      <w:pPr/>
      <w:r>
        <w:rPr>
          <w:b/>
          <w:sz w:val="18"/>
        </w:rPr>
        <w:t xml:space="preserve">NVIDIA cuDNN: </w:t>
      </w:r>
      <w:hyperlink r:id="rId33">
        <w:r>
          <w:rPr>
            <w:color w:val="0563C1"/>
            <w:u w:val="single"/>
          </w:rPr>
          <w:t>https://developer.nvidia.com/cudnn</w:t>
        </w:r>
      </w:hyperlink>
    </w:p>
    <w:p>
      <w:pPr/>
      <w:r>
        <w:rPr>
          <w:b/>
          <w:sz w:val="18"/>
        </w:rPr>
        <w:t xml:space="preserve">NVIDIA NCCL: </w:t>
      </w:r>
      <w:hyperlink r:id="rId34">
        <w:r>
          <w:rPr>
            <w:color w:val="0563C1"/>
            <w:u w:val="single"/>
          </w:rPr>
          <w:t>https://developer.nvidia.com/nccl</w:t>
        </w:r>
      </w:hyperlink>
    </w:p>
    <w:p>
      <w:pPr/>
      <w:r>
        <w:rPr>
          <w:b/>
          <w:sz w:val="18"/>
        </w:rPr>
        <w:t xml:space="preserve">vLLM GitHub (useful comparison/reference): </w:t>
      </w:r>
      <w:hyperlink r:id="rId35">
        <w:r>
          <w:rPr>
            <w:color w:val="0563C1"/>
            <w:u w:val="single"/>
          </w:rPr>
          <w:t>https://github.com/vllm-project/vllm</w:t>
        </w:r>
      </w:hyperlink>
    </w:p>
    <w:p>
      <w:pPr/>
      <w:r>
        <w:rPr>
          <w:b/>
          <w:sz w:val="18"/>
        </w:rPr>
        <w:t xml:space="preserve">vLLM docs: </w:t>
      </w:r>
      <w:hyperlink r:id="rId36">
        <w:r>
          <w:rPr>
            <w:color w:val="0563C1"/>
            <w:u w:val="single"/>
          </w:rPr>
          <w:t>https://docs.vllm.ai/</w:t>
        </w:r>
      </w:hyperlink>
    </w:p>
    <w:p>
      <w:pPr>
        <w:pStyle w:val="Heading1"/>
      </w:pPr>
      <w:r>
        <w:t>17. Engineering Conclusions</w:t>
      </w:r>
    </w:p>
    <w:p>
      <w:pPr>
        <w:pStyle w:val="ListBullet"/>
        <w:spacing w:after="40"/>
      </w:pPr>
      <w:r>
        <w:t>Treat vendor kernels as the default and custom kernels as exceptions that must earn their place through profiling.</w:t>
      </w:r>
    </w:p>
    <w:p>
      <w:pPr>
        <w:pStyle w:val="ListBullet"/>
        <w:spacing w:after="40"/>
      </w:pPr>
      <w:r>
        <w:t>Use H100-native precision capabilities as the baseline. Do not design the H100 stack around native NVFP4 assumptions.</w:t>
      </w:r>
    </w:p>
    <w:p>
      <w:pPr>
        <w:pStyle w:val="ListBullet"/>
        <w:spacing w:after="40"/>
      </w:pPr>
      <w:r>
        <w:t>Keep model optimization and RL/security research modular so changes in inference runtime do not force changes to the agent environment or reward design.</w:t>
      </w:r>
    </w:p>
    <w:p>
      <w:pPr>
        <w:pStyle w:val="ListBullet"/>
        <w:spacing w:after="40"/>
      </w:pPr>
      <w:r>
        <w:t>Make every optimization reproducible with a benchmark script and a quality regression suite.</w:t>
      </w:r>
    </w:p>
    <w:p>
      <w:pPr>
        <w:pStyle w:val="ListBullet"/>
        <w:spacing w:after="40"/>
      </w:pPr>
      <w:r>
        <w:t>Optimize for the project objective: faster, cheaper, more reliable validated vulnerability investigations—not merely higher tokens/sec.</w:t>
      </w:r>
    </w:p>
    <w:p>
      <w:r>
        <w:t>Source note: live research for this report used Firecrawl against current NVIDIA/TensorRT-LLM material and GitHub source trees. Firecrawl rate limits prevented fetching every secondary documentation endpoint in the same pass; the remaining official URLs are included as direct documentation references for follow-up use.</w:t>
      </w:r>
    </w:p>
    <w:sectPr w:rsidR="00FC693F" w:rsidRPr="0006063C" w:rsidSect="00034616">
      <w:footerReference w:type="default" r:id="rId37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H100 LLM Inference Optimization Report |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nvidia.com/tensorrt-llm/" TargetMode="External"/><Relationship Id="rId10" Type="http://schemas.openxmlformats.org/officeDocument/2006/relationships/hyperlink" Target="https://nvidia.github.io/TensorRT-LLM/quick-start-guide.html" TargetMode="External"/><Relationship Id="rId11" Type="http://schemas.openxmlformats.org/officeDocument/2006/relationships/hyperlink" Target="https://nvidia.github.io/TensorRT-LLM/reference/support-matrix.html" TargetMode="External"/><Relationship Id="rId12" Type="http://schemas.openxmlformats.org/officeDocument/2006/relationships/hyperlink" Target="https://nvidia.github.io/TensorRT-LLM/architecture/overview.html" TargetMode="External"/><Relationship Id="rId13" Type="http://schemas.openxmlformats.org/officeDocument/2006/relationships/hyperlink" Target="https://nvidia.github.io/TensorRT-LLM/python-api/tensorrt_llm.quantization.html" TargetMode="External"/><Relationship Id="rId14" Type="http://schemas.openxmlformats.org/officeDocument/2006/relationships/hyperlink" Target="https://github.com/NVIDIA/TensorRT-LLM" TargetMode="External"/><Relationship Id="rId15" Type="http://schemas.openxmlformats.org/officeDocument/2006/relationships/hyperlink" Target="https://docs.nvidia.com/deeplearning/tensorrt/latest/" TargetMode="External"/><Relationship Id="rId16" Type="http://schemas.openxmlformats.org/officeDocument/2006/relationships/hyperlink" Target="https://docs.nvidia.com/deeplearning/tensorrt/latest/performance/optimization.html" TargetMode="External"/><Relationship Id="rId17" Type="http://schemas.openxmlformats.org/officeDocument/2006/relationships/hyperlink" Target="https://docs.nvidia.com/deeplearning/tensorrt/latest/_static/python-api/pluginGuide.html" TargetMode="External"/><Relationship Id="rId18" Type="http://schemas.openxmlformats.org/officeDocument/2006/relationships/hyperlink" Target="https://docs.nvidia.com/deeplearning/tensorrt/latest/inference-library/extending-custom-layers.html" TargetMode="External"/><Relationship Id="rId19" Type="http://schemas.openxmlformats.org/officeDocument/2006/relationships/hyperlink" Target="https://github.com/NVIDIA/TensorRT" TargetMode="External"/><Relationship Id="rId20" Type="http://schemas.openxmlformats.org/officeDocument/2006/relationships/hyperlink" Target="https://pytorch.org/" TargetMode="External"/><Relationship Id="rId21" Type="http://schemas.openxmlformats.org/officeDocument/2006/relationships/hyperlink" Target="https://docs.pytorch.org/TensorRT/" TargetMode="External"/><Relationship Id="rId22" Type="http://schemas.openxmlformats.org/officeDocument/2006/relationships/hyperlink" Target="https://github.com/pytorch/TensorRT" TargetMode="External"/><Relationship Id="rId23" Type="http://schemas.openxmlformats.org/officeDocument/2006/relationships/hyperlink" Target="https://docs.pytorch.org/tutorials/recipes/torch_compile_user_defined_triton_kernel_tutorial.html" TargetMode="External"/><Relationship Id="rId24" Type="http://schemas.openxmlformats.org/officeDocument/2006/relationships/hyperlink" Target="https://github.com/triton-lang/triton" TargetMode="External"/><Relationship Id="rId25" Type="http://schemas.openxmlformats.org/officeDocument/2006/relationships/hyperlink" Target="https://docs.pytorch.org/docs/main/notes/extending.html" TargetMode="External"/><Relationship Id="rId26" Type="http://schemas.openxmlformats.org/officeDocument/2006/relationships/hyperlink" Target="https://docs.nvidia.com/dynamo/" TargetMode="External"/><Relationship Id="rId27" Type="http://schemas.openxmlformats.org/officeDocument/2006/relationships/hyperlink" Target="https://github.com/ai-dynamo/dynamo" TargetMode="External"/><Relationship Id="rId28" Type="http://schemas.openxmlformats.org/officeDocument/2006/relationships/hyperlink" Target="https://docs.nvidia.com/nsight-systems/" TargetMode="External"/><Relationship Id="rId29" Type="http://schemas.openxmlformats.org/officeDocument/2006/relationships/hyperlink" Target="https://developer.nvidia.com/nsight-compute" TargetMode="External"/><Relationship Id="rId30" Type="http://schemas.openxmlformats.org/officeDocument/2006/relationships/hyperlink" Target="https://developer.nvidia.com/cuda-toolkit" TargetMode="External"/><Relationship Id="rId31" Type="http://schemas.openxmlformats.org/officeDocument/2006/relationships/hyperlink" Target="https://docs.nvidia.com/cuda/cuda-c-programming-guide/" TargetMode="External"/><Relationship Id="rId32" Type="http://schemas.openxmlformats.org/officeDocument/2006/relationships/hyperlink" Target="https://docs.nvidia.com/cuda/cublas/" TargetMode="External"/><Relationship Id="rId33" Type="http://schemas.openxmlformats.org/officeDocument/2006/relationships/hyperlink" Target="https://developer.nvidia.com/cudnn" TargetMode="External"/><Relationship Id="rId34" Type="http://schemas.openxmlformats.org/officeDocument/2006/relationships/hyperlink" Target="https://developer.nvidia.com/nccl" TargetMode="External"/><Relationship Id="rId35" Type="http://schemas.openxmlformats.org/officeDocument/2006/relationships/hyperlink" Target="https://github.com/vllm-project/vllm" TargetMode="External"/><Relationship Id="rId36" Type="http://schemas.openxmlformats.org/officeDocument/2006/relationships/hyperlink" Target="https://docs.vllm.ai/" TargetMode="External"/><Relationship Id="rId3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H100 LLM Inference Optimization and Custom Kernel Engineering Report</dc:title>
  <dc:subject>PyTorch, TensorRT-LLM, quantization, profiling, Triton/CUDA kernels, Dynamo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