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E. Machine Learning — Model Results &amp; Comparison</w:t>
      </w:r>
    </w:p>
    <w:p>
      <w:pPr>
        <w:spacing w:after="140" w:line="276"/>
      </w:pPr>
      <w:r>
        <w:t xml:space="preserve">This section reports the final performance of the Trashium pricing models, compares the candidate algorithms, and justifies the model chosen for production. All numbers below are measured on a held-out </w:t>
      </w:r>
      <w:r>
        <w:rPr>
          <w:i/>
          <w:iCs/>
        </w:rPr>
        <w:t xml:space="preserve">future</w:t>
      </w:r>
      <w:r>
        <w:t xml:space="preserve"> test set of 14,600 records (an 80/20 chronological split of 73,100 rows: train on the past, test on the future), so they reflect genuine forecasting performance rather than memorisation.</w:t>
      </w:r>
    </w:p>
    <w:p>
      <w:pPr>
        <w:pStyle w:val="Heading2"/>
      </w:pPr>
      <w:r>
        <w:t xml:space="preserve">1. What the model predicts (and why the metric set differs)</w:t>
      </w:r>
    </w:p>
    <w:p>
      <w:pPr>
        <w:spacing w:after="140" w:line="276"/>
      </w:pPr>
      <w:r>
        <w:t xml:space="preserve">Trashium's pricing model solves a </w:t>
      </w:r>
      <w:r>
        <w:rPr>
          <w:b/>
          <w:bCs/>
        </w:rPr>
        <w:t xml:space="preserve">regression</w:t>
      </w:r>
      <w:r>
        <w:t xml:space="preserve"> problem: it predicts a </w:t>
      </w:r>
      <w:r>
        <w:rPr>
          <w:i/>
          <w:iCs/>
        </w:rPr>
        <w:t xml:space="preserve">continuous</w:t>
      </w:r>
      <w:r>
        <w:t xml:space="preserve"> quantity — the scrap market value in ₹ per kg — which ranges from about ₹8/kg (cardboard) to ₹1,200/kg (catalytic converters). It does not sort records into a fixed set of classes.</w:t>
      </w:r>
    </w:p>
    <w:p>
      <w:pPr>
        <w:spacing w:after="140" w:line="276"/>
      </w:pPr>
      <w:r>
        <w:t xml:space="preserve">Accuracy, Precision, Recall, F1 and a Confusion Matrix are </w:t>
      </w:r>
      <w:r>
        <w:rPr>
          <w:b/>
          <w:bCs/>
        </w:rPr>
        <w:t xml:space="preserve">classification</w:t>
      </w:r>
      <w:r>
        <w:t xml:space="preserve"> metrics: they require discrete class labels and count exact right/wrong matches. They do not natively apply to a continuous price — a predicted ₹49.90 against an actual ₹50.00 is neither strictly “correct” nor a meaningful “misclassification.” The correct evaluation metrics for regression are therefore: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MAE</w:t>
      </w:r>
      <w:r>
        <w:t xml:space="preserve"> — Mean Absolute Error (average ₹ error, same units as price).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RMSE</w:t>
      </w:r>
      <w:r>
        <w:t xml:space="preserve"> — Root Mean Squared Error (penalises large misses more heavily).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R²</w:t>
      </w:r>
      <w:r>
        <w:t xml:space="preserve"> — proportion of price variance the model explains (1.0 = perfect).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MAPE</w:t>
      </w:r>
      <w:r>
        <w:t xml:space="preserve"> — Mean Absolute Percentage Error, the </w:t>
      </w:r>
      <w:r>
        <w:rPr>
          <w:b/>
          <w:bCs/>
        </w:rPr>
        <w:t xml:space="preserve">selection metric</w:t>
      </w:r>
      <w:r>
        <w:t xml:space="preserve">, because a fair payout is about getting the price right in </w:t>
      </w:r>
      <w:r>
        <w:rPr>
          <w:i/>
          <w:iCs/>
        </w:rPr>
        <w:t xml:space="preserve">percentage</w:t>
      </w:r>
      <w:r>
        <w:t xml:space="preserve"> terms across a 150× price range.</w:t>
      </w:r>
    </w:p>
    <w:p>
      <w:pPr>
        <w:spacing w:after="140" w:line="276"/>
      </w:pPr>
      <w:r>
        <w:t xml:space="preserve">To also give the familiar classification view your review asked for, we add two bridges (Section 3): an </w:t>
      </w:r>
      <w:r>
        <w:rPr>
          <w:b/>
          <w:bCs/>
        </w:rPr>
        <w:t xml:space="preserve">accuracy-within-tolerance</w:t>
      </w:r>
      <w:r>
        <w:t xml:space="preserve"> score, and a </w:t>
      </w:r>
      <w:r>
        <w:rPr>
          <w:b/>
          <w:bCs/>
        </w:rPr>
        <w:t xml:space="preserve">price-band confusion matrix</w:t>
      </w:r>
      <w:r>
        <w:t xml:space="preserve"> that buckets prices into four bands and reports Accuracy / Precision / Recall / F1 on those bands.</w:t>
      </w:r>
    </w:p>
    <w:p>
      <w:pPr>
        <w:pStyle w:val="Heading2"/>
      </w:pPr>
      <w:r>
        <w:t xml:space="preserve">2. Model Results — regression metrics</w:t>
      </w:r>
    </w:p>
    <w:p>
      <w:pPr>
        <w:spacing w:after="140" w:line="276"/>
      </w:pPr>
      <w:r>
        <w:t xml:space="preserve">Three models were trained on identical price-setting features (material, region, market demand, quality-defect risk and calendar features), all predicting log-market-value so percentage effects are modelled correctly and every prediction stays positive.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500"/>
        <w:gridCol w:w="1500"/>
        <w:gridCol w:w="1500"/>
        <w:gridCol w:w="18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MAE (₹/kg)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RMSE (₹/kg)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MAPE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Linear Regression  — PRODUCTION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9.73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0.9988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6.11%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Random Forest (400 trees) — challenger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0.9923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9.72%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Moving-Average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0.9947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8.21%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1. Regression performance on the 14,600-row future test set. Lower MAE/RMSE/MAPE is better; higher R² is better. Linear Regression wins on every error metric.</w:t>
      </w:r>
    </w:p>
    <w:p>
      <w:pPr>
        <w:spacing w:after="140" w:line="276"/>
      </w:pPr>
      <w:r>
        <w:t xml:space="preserve">Linear Regression is the strongest model on every metric: it is ₹7/kg more accurate than the Random Forest on average (MAE) and roughly </w:t>
      </w:r>
      <w:r>
        <w:rPr>
          <w:b/>
          <w:bCs/>
        </w:rPr>
        <w:t xml:space="preserve">37% lower MAPE</w:t>
      </w:r>
      <w:r>
        <w:t xml:space="preserve"> (6.11% vs 9.72%). An R² of 0.9988 means it explains 99.88% of the price variation on unseen future data.</w:t>
      </w:r>
    </w:p>
    <w:p>
      <w:pPr>
        <w:pStyle w:val="Heading2"/>
      </w:pPr>
      <w:r>
        <w:t xml:space="preserve">3. Classification-style view (tolerance accuracy + confusion matrix)</w:t>
      </w:r>
    </w:p>
    <w:p>
      <w:pPr>
        <w:pStyle w:val="Heading3"/>
      </w:pPr>
      <w:r>
        <w:t xml:space="preserve">3.1  Accuracy within a price tolerance</w:t>
      </w:r>
    </w:p>
    <w:p>
      <w:pPr>
        <w:spacing w:after="140" w:line="276"/>
      </w:pPr>
      <w:r>
        <w:t xml:space="preserve">Here a prediction counts as “correct” if it lands within ±5%, ±10% or ±15% of the true price — the regression analogue of accuracy.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Within ±5%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Within ±10%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Within ±15%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52.1%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78.7%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93.1%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Random Forest (400)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29.3%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60.8%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79.0%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Moving-Average baseline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67.4%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84.2%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2. Share of test predictions falling within each price tolerance. Linear Regression is correct within ±10% for 79% of pickups and within ±15% for 93%.</w:t>
      </w:r>
    </w:p>
    <w:p>
      <w:pPr>
        <w:pStyle w:val="Heading3"/>
      </w:pPr>
      <w:r>
        <w:t xml:space="preserve">3.2  Price-band confusion matrix (Accuracy / Precision / Recall / F1)</w:t>
      </w:r>
    </w:p>
    <w:p>
      <w:pPr>
        <w:spacing w:after="140" w:line="276"/>
      </w:pPr>
      <w:r>
        <w:t xml:space="preserve">To produce a true confusion matrix, continuous prices are bucketed into four business bands using training-set quartiles: </w:t>
      </w:r>
      <w:r>
        <w:rPr>
          <w:b/>
          <w:bCs/>
        </w:rPr>
        <w:t xml:space="preserve">Budget</w:t>
      </w:r>
      <w:r>
        <w:t xml:space="preserve"> (&lt; ₹28.85/kg), </w:t>
      </w:r>
      <w:r>
        <w:rPr>
          <w:b/>
          <w:bCs/>
        </w:rPr>
        <w:t xml:space="preserve">Standard</w:t>
      </w:r>
      <w:r>
        <w:t xml:space="preserve"> (₹28.85–65.27), </w:t>
      </w:r>
      <w:r>
        <w:rPr>
          <w:b/>
          <w:bCs/>
        </w:rPr>
        <w:t xml:space="preserve">Valuable</w:t>
      </w:r>
      <w:r>
        <w:t xml:space="preserve"> (₹65.27–135.89) and </w:t>
      </w:r>
      <w:r>
        <w:rPr>
          <w:b/>
          <w:bCs/>
        </w:rPr>
        <w:t xml:space="preserve">Premium</w:t>
      </w:r>
      <w:r>
        <w:t xml:space="preserve"> (&gt; ₹135.89). The model's predicted price is assigned to a band and compared with the true band.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500"/>
        <w:gridCol w:w="1500"/>
        <w:gridCol w:w="1500"/>
        <w:gridCol w:w="2400"/>
      </w:tblGrid>
      <w:tr>
        <w:trPr>
          <w:tblHeader/>
        </w:trP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Price band (LR)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3,627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3,448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Valuable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3,740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3,785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Overall accuracy = 88.7%   ·   Macro-F1 = 0.886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3. Linear-Regression classification metrics on the four price bands. Overall band accuracy 88.7%; the Random Forest scores 85.9% accuracy / 0.861 macro-F1 on the same bands.</w:t>
      </w:r>
    </w:p>
    <w:p>
      <w:pPr>
        <w:spacing w:after="140" w:line="276"/>
      </w:pPr>
      <w:r>
        <w:t xml:space="preserve">Almost all confusion is between </w:t>
      </w:r>
      <w:r>
        <w:rPr>
          <w:i/>
          <w:iCs/>
        </w:rPr>
        <w:t xml:space="preserve">adjacent</w:t>
      </w:r>
      <w:r>
        <w:t xml:space="preserve"> bands (e.g. Standard vs Valuable near the ₹65 boundary); the model never confuses Budget with Premium — exactly the behaviour a pricing engine needs.</w:t>
      </w:r>
    </w:p>
    <w:p>
      <w:pPr>
        <w:spacing w:after="60" w:before="80"/>
        <w:jc w:val="center"/>
      </w:pPr>
      <w:r>
        <w:drawing>
          <wp:inline distT="0" distB="0" distL="0" distR="0">
            <wp:extent cx="3429000" cy="3076575"/>
            <wp:effectExtent t="0" r="0" b="0" l="0"/>
            <wp:docPr id="1" name="g5_confusion.png" descr="g5_confusion.png" title="g5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Confusion matrix (Linear Regression). Strong diagonal; errors only spill into neighbouring price bands.</w:t>
      </w:r>
    </w:p>
    <w:p>
      <w:pPr>
        <w:pStyle w:val="Heading2"/>
        <w:pageBreakBefore/>
      </w:pPr>
      <w:r>
        <w:t xml:space="preserve">4. Comparison Graphs</w:t>
      </w:r>
    </w:p>
    <w:p>
      <w:pPr>
        <w:spacing w:after="140" w:line="276"/>
      </w:pPr>
      <w:r>
        <w:t xml:space="preserve">The charts below compare the models on the selection metric, the full error profile, explained variance, and tolerance accuracy.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552700"/>
            <wp:effectExtent t="0" r="0" b="0" l="0"/>
            <wp:docPr id="1" name="g1_mape.png" descr="g1_mape.png" title="g1_ma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MAPE — the model-selection metric. Linear Regression (6.11%) is chosen.</w:t>
      </w:r>
    </w:p>
    <w:p>
      <w:pPr>
        <w:spacing w:after="60" w:before="80"/>
        <w:jc w:val="center"/>
      </w:pPr>
      <w:r>
        <w:drawing>
          <wp:inline distT="0" distB="0" distL="0" distR="0">
            <wp:extent cx="4476750" cy="2457450"/>
            <wp:effectExtent t="0" r="0" b="0" l="0"/>
            <wp:docPr id="1" name="g2_error_metrics.png" descr="g2_error_metrics.png" title="g2_error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3. MAE, RMSE and MAPE side by side — Linear Regression leads on all three.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552700"/>
            <wp:effectExtent t="0" r="0" b="0" l="0"/>
            <wp:docPr id="1" name="g3_r2.png" descr="g3_r2.png" title="g3_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4. R² (explained variance). All models score high; LR is highest at 0.9988.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514600"/>
            <wp:effectExtent t="0" r="0" b="0" l="0"/>
            <wp:docPr id="1" name="g4_tolerance.png" descr="g4_tolerance.png" title="g4_toler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5. Accuracy at ±5/10/15% tolerance — LR dominates the Random Forest at every band.</w:t>
      </w:r>
    </w:p>
    <w:p>
      <w:pPr>
        <w:spacing w:after="60" w:before="8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g6_pred_vs_actual.png" descr="g6_pred_vs_actual.png" title="g6_pred_vs_ac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6. Predicted vs actual price (LR). Points hug the diagonal across the full ₹ range.</w:t>
      </w:r>
    </w:p>
    <w:p>
      <w:pPr>
        <w:pStyle w:val="Heading2"/>
        <w:pageBreakBefore/>
      </w:pPr>
      <w:r>
        <w:t xml:space="preserve">5. Why Linear Regression is the selected model</w:t>
      </w:r>
    </w:p>
    <w:p>
      <w:pPr>
        <w:spacing w:after="140" w:line="276"/>
      </w:pPr>
      <w:r>
        <w:t xml:space="preserve">Linear Regression is the </w:t>
      </w:r>
      <w:r>
        <w:rPr>
          <w:b/>
          <w:bCs/>
        </w:rPr>
        <w:t xml:space="preserve">production</w:t>
      </w:r>
      <w:r>
        <w:t xml:space="preserve"> predictor; the Random Forest is retained as a </w:t>
      </w:r>
      <w:r>
        <w:rPr>
          <w:b/>
          <w:bCs/>
        </w:rPr>
        <w:t xml:space="preserve">challenger / monitor</w:t>
      </w:r>
      <w:r>
        <w:t xml:space="preserve">; the Moving Average acts as a </w:t>
      </w:r>
      <w:r>
        <w:rPr>
          <w:b/>
          <w:bCs/>
        </w:rPr>
        <w:t xml:space="preserve">trend guardrail and cold-start fallback</w:t>
      </w:r>
      <w:r>
        <w:t xml:space="preserve">. The selection is justified on six grounds: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Best accuracy on every metric. </w:t>
      </w:r>
      <w:r>
        <w:t xml:space="preserve">Lowest MAE, RMSE and MAPE and highest tolerance accuracy on unseen future data (Tables 1–2). The decision is evidence-based, not assumed.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The price structure is intrinsically log-linear. </w:t>
      </w:r>
      <w:r>
        <w:t xml:space="preserve">Market value is driven by material type with demand and quality risk acting as roughly fixed percentage multipliers (High risk ≈ −18%, High demand ≈ +7%). On a log target these effects are additive, which is exactly what a linear model represents perfectly — so the simplest model fits the true data-generating process. A Random Forest must approximate that smooth relationship with piecewise-constant splits, which is why it is slightly less accurate here.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Interpretability &amp; auditability. </w:t>
      </w:r>
      <w:r>
        <w:t xml:space="preserve">Every coefficient is a readable ₹ effect, so a payout can be explained to a household or auditor (“copper pays more because…”). A 400-tree ensemble is a black box — unsuitable when the output is real money owed to users.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Speed, size and cost. </w:t>
      </w:r>
      <w:r>
        <w:t xml:space="preserve">LR is a few kilobytes and predicts in microseconds, ideal for on-request quoting and nightly batch publishing to Supabase. The 400-tree forest is orders of magnitude larger and slower for no accuracy gain.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Stability &amp; low overfitting risk. </w:t>
      </w:r>
      <w:r>
        <w:t xml:space="preserve">The tiny gap between train and future-test performance shows LR generalises; it has almost no hyper-parameters to tune, so it will not drift as nightly data updates.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Leakage-safe by design. </w:t>
      </w:r>
      <w:r>
        <w:t xml:space="preserve">The model deliberately excludes transaction variables (quantity, distance, logistics). An earlier version that included them scored a fake R² ≈ 0.999 by re-deriving the payout formula. Predicting market value and applying the business formula downstream keeps the evaluation honest — the reported 6.11% MAPE is real.</w:t>
      </w:r>
    </w:p>
    <w:p>
      <w:pPr>
        <w:pStyle w:val="Heading3"/>
      </w:pPr>
      <w:r>
        <w:t xml:space="preserve">Role of the Random Forest (400-tree ensemble)</w:t>
      </w:r>
    </w:p>
    <w:p>
      <w:pPr>
        <w:spacing w:after="140" w:line="276"/>
      </w:pPr>
      <w:r>
        <w:t xml:space="preserve">Per the review guidance, the Random Forest ensemble was sized to </w:t>
      </w:r>
      <w:r>
        <w:rPr>
          <w:b/>
          <w:bCs/>
        </w:rPr>
        <w:t xml:space="preserve">400 trees</w:t>
      </w:r>
      <w:r>
        <w:t xml:space="preserve"> (within the recommended 350–500 range; configured in </w:t>
      </w:r>
      <w:r>
        <w:rPr>
          <w:rFonts w:ascii="Courier New" w:cs="Courier New" w:eastAsia="Courier New" w:hAnsi="Courier New"/>
        </w:rPr>
        <w:t xml:space="preserve">train_models.py</w:t>
      </w:r>
      <w:r>
        <w:t xml:space="preserve">). It is kept as a </w:t>
      </w:r>
      <w:r>
        <w:rPr>
          <w:b/>
          <w:bCs/>
        </w:rPr>
        <w:t xml:space="preserve">challenger and drift monitor</w:t>
      </w:r>
      <w:r>
        <w:t xml:space="preserve">: if future data ever becomes non-linear, the forest would begin to out-perform LR, and the gap between them is tracked as an early-warning signal. Increasing trees from 120 to 400 changed MAPE only marginally (9.80% → 9.72%), which confirms the forest has converged and that its residual gap to LR is structural, not a tuning artefact — further strengthening the case for the linear model.</w:t>
      </w:r>
    </w:p>
    <w:p>
      <w:pPr>
        <w:pStyle w:val="Heading2"/>
      </w:pPr>
      <w:r>
        <w:t xml:space="preserve">6. Future scope — Ridge and Lasso regression</w:t>
      </w:r>
    </w:p>
    <w:p>
      <w:pPr>
        <w:spacing w:after="140" w:line="276"/>
      </w:pPr>
      <w:r>
        <w:t xml:space="preserve">Ridge and Lasso (regularised linear regression) are earmarked as </w:t>
      </w:r>
      <w:r>
        <w:rPr>
          <w:b/>
          <w:bCs/>
        </w:rPr>
        <w:t xml:space="preserve">future work</w:t>
      </w:r>
      <w:r>
        <w:t xml:space="preserve"> rather than the current production model, for principled reasons: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Regularisation targets overfitting we do not currently have. </w:t>
      </w:r>
      <w:r>
        <w:t xml:space="preserve">Ridge/Lasso shrink coefficients to combat high variance. With only a handful of clean, well-conditioned predictors and a near-perfect, stable test R², plain LR is not overfitting — so there is little error for regularisation to remove today.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They become valuable as the feature set grows. </w:t>
      </w:r>
      <w:r>
        <w:t xml:space="preserve">When we add many correlated features (per-material seasonality, weather, commodity indices, finer-grained geography), Lasso's automatic feature selection and Ridge's handling of multicollinearity will improve robustness — so they are the natural next step, not a discarded option.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They preserve interpretability. </w:t>
      </w:r>
      <w:r>
        <w:t xml:space="preserve">Both stay linear, so the audit and explainability advantages carry over — a low-risk upgrade path from the current model with a single tuning parameter (α) selected by cross-validation.</w:t>
      </w:r>
    </w:p>
    <w:p>
      <w:pPr>
        <w:spacing w:after="140" w:line="276"/>
      </w:pPr>
      <w:r>
        <w:t xml:space="preserve">In short, the current LR is the right model for today's data, and Ridge/Lasso are the right models to adopt as the data widens — hence their placement in future scope.</w:t>
      </w:r>
    </w:p>
    <w:p>
      <w:pPr>
        <w:pBdr>
          <w:top w:val="single" w:color="4a7c59" w:sz="6" w:space="6"/>
        </w:pBdr>
        <w:spacing w:before="200"/>
      </w:pPr>
      <w:r>
        <w:rPr>
          <w:b/>
          <w:bCs/>
          <w:sz w:val="18"/>
          <w:szCs w:val="18"/>
        </w:rPr>
        <w:t xml:space="preserve">Reproduce: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cd ml &amp;&amp; python train_models.py  (RF n_estimators=400)  →  artifacts/metrics.json, results_metrics.json, report_graphs/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3a2e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4a7c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a2e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1493df0c05767c86e60ff04521e3d36d12e4d4.png"/><Relationship Id="rId8" Type="http://schemas.openxmlformats.org/officeDocument/2006/relationships/image" Target="media/ff23017c9e46cd1e74f5bd32cacee2cf65fe8992.png"/><Relationship Id="rId9" Type="http://schemas.openxmlformats.org/officeDocument/2006/relationships/image" Target="media/7ed638ef0d2eb525843c204844834e956d63e6d1.png"/><Relationship Id="rId10" Type="http://schemas.openxmlformats.org/officeDocument/2006/relationships/image" Target="media/6207b016aea3c7e2009ac61f33b47a9619bf30a8.png"/><Relationship Id="rId11" Type="http://schemas.openxmlformats.org/officeDocument/2006/relationships/image" Target="media/6cb653cf4c92050a3de15eca54046d667ae58ef1.png"/><Relationship Id="rId12" Type="http://schemas.openxmlformats.org/officeDocument/2006/relationships/image" Target="media/c807a390963f1f65dda2e5f95c8600c1c50f229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2026-07-07T15:49:20.216Z</dcterms:created>
  <dcterms:modified xsi:type="dcterms:W3CDTF">2026-07-07T15:49:20.217Z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