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Requirements Table</w:t>
      </w:r>
    </w:p>
    <w:p>
      <w:r>
        <w:rPr>
          <w:i/>
          <w:iCs/>
          <w:sz w:val="20"/>
          <w:szCs w:val="20"/>
        </w:rPr>
        <w:t xml:space="preserve">Problem Statement #51 — Virtual Technical Conference Platform  |  Actors: Conference Author, Track Chair, Reviewer, Attendee</w:t>
      </w:r>
    </w:p>
    <w:p/>
    <w:tbl>
      <w:tblPr>
        <w:tblW w:type="dxa" w:w="1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4200"/>
        <w:gridCol w:w="1000"/>
        <w:gridCol w:w="3800"/>
        <w:gridCol w:w="3100"/>
      </w:tblGrid>
      <w:tr>
        <w:trPr>
          <w:tblHeader/>
        </w:trPr>
        <w:tc>
          <w:tcPr>
            <w:tcW w:type="dxa" w:w="9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 ID</w:t>
            </w:r>
          </w:p>
        </w:tc>
        <w:tc>
          <w:tcPr>
            <w:tcW w:type="dxa" w:w="13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2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0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8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31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18"/>
                <w:szCs w:val="18"/>
              </w:rPr>
              <w:t xml:space="preserve">FR-001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anonymize submitted manuscripts (strip author headers and metadata) before assigning them to reviewer pools for double-blind review.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Reviewer sees anonymized paper. Fail: Author identity visible to peer reviewer.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Preserves double-blind integrity, which is the core trust guarantee of the review process.</w:t>
            </w:r>
          </w:p>
        </w:tc>
      </w:tr>
      <w:tr>
        <w:tc>
          <w:tcPr>
            <w:tcW w:type="dxa" w:w="900"/>
            <w:shd w:fill="F2F6FA" w:val="clear"/>
          </w:tcPr>
          <w:p>
            <w:r>
              <w:rPr>
                <w:b/>
                <w:bCs/>
                <w:sz w:val="18"/>
                <w:szCs w:val="18"/>
              </w:rPr>
              <w:t xml:space="preserve">FR-002</w:t>
            </w:r>
          </w:p>
        </w:tc>
        <w:tc>
          <w:tcPr>
            <w:tcW w:type="dxa" w:w="1300"/>
            <w:shd w:fill="F2F6FA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4200"/>
            <w:shd w:fill="F2F6FA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a Track Chair to assign an anonymized manuscript to a pool of reviewers, excluding any reviewer who has declared a conflict of interest (COI) with that manuscript.</w:t>
            </w:r>
          </w:p>
        </w:tc>
        <w:tc>
          <w:tcPr>
            <w:tcW w:type="dxa" w:w="1000"/>
            <w:shd w:fill="F2F6FA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800"/>
            <w:shd w:fill="F2F6FA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Manuscript is assigned only to reviewers without a declared COI, and COI-flagged reviewers cannot access the paper. Fail: A reviewer with a declared COI is assigned to or can view the manuscript.</w:t>
            </w:r>
          </w:p>
        </w:tc>
        <w:tc>
          <w:tcPr>
            <w:tcW w:type="dxa" w:w="3100"/>
            <w:shd w:fill="F2F6FA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Prevents biased or compromised reviews and protects the fairness of the selection process.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18"/>
                <w:szCs w:val="18"/>
              </w:rPr>
              <w:t xml:space="preserve">FR-003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an assigned Reviewer to submit a numeric score and written comments for a manuscript before the review deadline.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Score (within the valid range) and comments are saved with a timestamp before the deadline and are visible to the Track Chair. Fail: A review is accepted after the deadline or is missing a required score.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Ensures every accepted paper receives timely, structured, and complete review data for decision-making.</w:t>
            </w:r>
          </w:p>
        </w:tc>
      </w:tr>
      <w:tr>
        <w:tc>
          <w:tcPr>
            <w:tcW w:type="dxa" w:w="900"/>
            <w:shd w:fill="F2F6FA" w:val="clear"/>
          </w:tcPr>
          <w:p>
            <w:r>
              <w:rPr>
                <w:b/>
                <w:bCs/>
                <w:sz w:val="18"/>
                <w:szCs w:val="18"/>
              </w:rPr>
              <w:t xml:space="preserve">FR-004</w:t>
            </w:r>
          </w:p>
        </w:tc>
        <w:tc>
          <w:tcPr>
            <w:tcW w:type="dxa" w:w="1300"/>
            <w:shd w:fill="F2F6FA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4200"/>
            <w:shd w:fill="F2F6FA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an Attendee to submit a question to the live Q&amp;A queue of the session they are currently viewing, displaying it to all session participants in real time.</w:t>
            </w:r>
          </w:p>
        </w:tc>
        <w:tc>
          <w:tcPr>
            <w:tcW w:type="dxa" w:w="1000"/>
            <w:shd w:fill="F2F6FA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800"/>
            <w:shd w:fill="F2F6FA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A submitted question appears in every participant's queue within 2 seconds. Fail: The question is delayed beyond 2 seconds or is not shown to other participants.</w:t>
            </w:r>
          </w:p>
        </w:tc>
        <w:tc>
          <w:tcPr>
            <w:tcW w:type="dxa" w:w="3100"/>
            <w:shd w:fill="F2F6FA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Enables real-time audience engagement, a core feature of the live-session experience.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18"/>
                <w:szCs w:val="18"/>
              </w:rPr>
              <w:t xml:space="preserve">FR-005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Attendees to upvote any question in the Q&amp;A queue, automatically re-sorting the queue in descending order of vote count in real time.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The queue re-orders for all participants within 2 seconds of an upvote. Fail: The vote count fails to update or the displayed order becomes stale/incorrect.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Surfaces the most relevant audience questions so session moderators can prioritize them.</w:t>
            </w:r>
          </w:p>
        </w:tc>
      </w:tr>
      <w:tr>
        <w:tc>
          <w:tcPr>
            <w:tcW w:type="dxa" w:w="900"/>
            <w:shd w:fill="F2F6FA" w:val="clear"/>
          </w:tcPr>
          <w:p>
            <w:r>
              <w:rPr>
                <w:b/>
                <w:bCs/>
                <w:sz w:val="18"/>
                <w:szCs w:val="18"/>
              </w:rPr>
              <w:t xml:space="preserve">NFR-001</w:t>
            </w:r>
          </w:p>
        </w:tc>
        <w:tc>
          <w:tcPr>
            <w:tcW w:type="dxa" w:w="1300"/>
            <w:shd w:fill="F2F6FA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Nonfunctional (Performance &amp; Security)</w:t>
            </w:r>
          </w:p>
        </w:tc>
        <w:tc>
          <w:tcPr>
            <w:tcW w:type="dxa" w:w="4200"/>
            <w:shd w:fill="F2F6FA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multi-track schedule generator shall resolve session room capacities and speaker availability constraints in under 10 seconds.</w:t>
            </w:r>
          </w:p>
        </w:tc>
        <w:tc>
          <w:tcPr>
            <w:tcW w:type="dxa" w:w="1000"/>
            <w:shd w:fill="F2F6FA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800"/>
            <w:shd w:fill="F2F6FA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Benchmarking tests confirm target latency and security standards under simulated peak load.</w:t>
            </w:r>
          </w:p>
        </w:tc>
        <w:tc>
          <w:tcPr>
            <w:tcW w:type="dxa" w:w="3100"/>
            <w:shd w:fill="F2F6FA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slow or insecure scheduler would block Track Chairs from publishing schedules during high-traffic conference periods.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18"/>
                <w:szCs w:val="18"/>
              </w:rPr>
              <w:t xml:space="preserve">NFR-002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Nonfunctional (Security &amp; Confidentiality)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ensure that no reviewer-facing interface, API response, or log entry exposes an author's identity or affiliation before the review decision is finalized.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A security audit / penetration test confirms author-identifying fields are absent from every reviewer-accessible endpoint and UI prior to the decision. Fail: Any reviewer-facing surface reveals author identity before the decision.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Double-blind confidentiality is the core trust guarantee of the platform; any leak undermines the entire review process.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2026-08-27T08:04:15.656Z</dcterms:created>
  <dcterms:modified xsi:type="dcterms:W3CDTF">2026-08-27T08:04:15.669Z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