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keepNext w:val="0"/>
        <w:widowControl/>
      </w:pPr>
      <w:r>
        <w:t>Guion metodológico del video de avance 3</w:t>
      </w:r>
    </w:p>
    <w:p>
      <w:pPr>
        <w:pStyle w:val="Subttulo"/>
        <w:keepNext w:val="0"/>
        <w:widowControl/>
      </w:pPr>
      <w:r>
        <w:t>Estimación multicontaminante de la calidad del aire en Chile</w:t>
      </w:r>
    </w:p>
    <w:p>
      <w:pPr>
        <w:keepNext w:val="0"/>
        <w:widowControl/>
        <w:spacing w:after="140"/>
      </w:pPr>
      <w:r>
        <w:rPr>
          <w:sz w:val="18"/>
        </w:rPr>
        <w:t>Guion de locución para siete diapositivas. Duración objetivo: 4 minutos y 50 segundos. Los títulos y tiempos son referencias de ensayo y no se leen en voz alta.</w:t>
      </w:r>
    </w:p>
    <w:p>
      <w:pPr>
        <w:pStyle w:val="Ttulo2"/>
        <w:keepNext/>
        <w:widowControl/>
        <w:spacing w:before="160"/>
      </w:pPr>
      <w:r>
        <w:t>D1 Estimación multi-contaminante de la calidad del aire en Chile</w:t>
      </w:r>
    </w:p>
    <w:p>
      <w:pPr>
        <w:keepNext/>
        <w:widowControl/>
        <w:spacing w:after="80"/>
      </w:pPr>
      <w:r>
        <w:rPr>
          <w:sz w:val="18"/>
        </w:rPr>
        <w:t>0:00 a 0:15 · Presentación</w:t>
      </w:r>
    </w:p>
    <w:p>
      <w:pPr>
        <w:keepNext w:val="0"/>
        <w:widowControl/>
        <w:spacing w:after="100"/>
      </w:pPr>
      <w:r>
        <w:t>Hola, somos el Equipo 2. En este avance presentamos los objetivos, la arquitectura del pipeline y la metodología para integrar fuentes, comparar diez modelos y evaluar su generalización territorial y temporal.</w:t>
      </w:r>
    </w:p>
    <w:p>
      <w:pPr>
        <w:pStyle w:val="Ttulo2"/>
        <w:keepNext/>
        <w:widowControl/>
        <w:spacing w:before="160"/>
      </w:pPr>
      <w:r>
        <w:t>D2 Objetivos Fijados para la Semana</w:t>
      </w:r>
    </w:p>
    <w:p>
      <w:pPr>
        <w:keepNext/>
        <w:widowControl/>
        <w:spacing w:after="80"/>
      </w:pPr>
      <w:r>
        <w:rPr>
          <w:sz w:val="18"/>
        </w:rPr>
        <w:t>0:15 a 0:45 · Objetivos</w:t>
      </w:r>
    </w:p>
    <w:p>
      <w:pPr>
        <w:keepNext w:val="0"/>
        <w:widowControl/>
        <w:spacing w:after="100"/>
      </w:pPr>
      <w:r>
        <w:t>Fijamos tres objetivos: consolidar las fuentes y su integración reproducible; formular modelos de concentración por celda y hora; y establecer una evaluación independiente en el espacio y el tiempo.</w:t>
      </w:r>
    </w:p>
    <w:p>
      <w:pPr>
        <w:keepNext w:val="0"/>
        <w:widowControl/>
        <w:spacing w:after="100"/>
      </w:pPr>
      <w:r>
        <w:t>El alcance general comprende PM₂.₅, PM₁₀, NO₂, O₃, SO₂ y CO. El desarrollo metodológico actual detalla PM₂.₅ y NO₂, con ajustes separados para cada contaminante.</w:t>
      </w:r>
    </w:p>
    <w:p>
      <w:pPr>
        <w:pStyle w:val="Ttulo2"/>
        <w:keepNext/>
        <w:widowControl/>
        <w:spacing w:before="160"/>
      </w:pPr>
      <w:r>
        <w:t>D3 Arquitectura del Pipeline y Consolidación de Datos</w:t>
      </w:r>
    </w:p>
    <w:p>
      <w:pPr>
        <w:keepNext/>
        <w:widowControl/>
        <w:spacing w:after="80"/>
      </w:pPr>
      <w:r>
        <w:rPr>
          <w:sz w:val="18"/>
        </w:rPr>
        <w:t>0:45 a 1:30 · Integración de fuentes</w:t>
      </w:r>
    </w:p>
    <w:p>
      <w:pPr>
        <w:keepNext w:val="0"/>
        <w:widowControl/>
        <w:spacing w:after="100"/>
      </w:pPr>
      <w:r>
        <w:t>El pipeline parte de lectores específicos para cada fuente. SINCA aporta las concentraciones de referencia; MAIAC, TROPOMI y ACAG, información satelital y de exposición; ERA5-Land, ERA5, MERRA-2, CAMS y GEOS-CF, variables meteorológicas y atmosféricas. Se añaden cobertura del suelo, población y calendario.</w:t>
      </w:r>
    </w:p>
    <w:p>
      <w:pPr>
        <w:keepNext w:val="0"/>
        <w:widowControl/>
        <w:spacing w:after="100"/>
      </w:pPr>
      <w:r>
        <w:t>Tras revisar calidad, unidades y convenciones horarias, vinculamos cada celda con el píxel nativo válido más cercano y alineamos las observaciones en UTC, respetando su frecuencia. Construimos un panel por contaminante para ajustar y validar los modelos. La etapa territorial contempla superficies horarias. El esquema muestra cómo cada transformación alimenta la etapa siguiente. Los datos originales se conservan separados de los derivados, con trazabilidad en el documento ejecutable.</w:t>
      </w:r>
    </w:p>
    <w:p>
      <w:pPr>
        <w:pStyle w:val="Ttulo2"/>
        <w:keepNext/>
        <w:widowControl/>
        <w:spacing w:before="160"/>
      </w:pPr>
      <w:r>
        <w:t>D4 Propuesta Metodológica y Modelamiento Químico-Atmosférico</w:t>
      </w:r>
    </w:p>
    <w:p>
      <w:pPr>
        <w:keepNext/>
        <w:widowControl/>
        <w:spacing w:after="80"/>
      </w:pPr>
      <w:r>
        <w:rPr>
          <w:sz w:val="18"/>
        </w:rPr>
        <w:t>1:30 a 2:05 · Diseño de estimación</w:t>
      </w:r>
    </w:p>
    <w:p>
      <w:pPr>
        <w:keepNext w:val="0"/>
        <w:widowControl/>
        <w:spacing w:after="100"/>
      </w:pPr>
      <w:r>
        <w:t>El diseño calibra y valida modelos de exposición. La unidad combina una celda de cero coma cero un grados, aproximadamente un kilómetro, con una hora UTC. Cada estación recibe los mismos predictores de su celda que utilizará el producto territorial.</w:t>
      </w:r>
    </w:p>
    <w:p>
      <w:pPr>
        <w:keepNext w:val="0"/>
        <w:widowControl/>
        <w:spacing w:after="100"/>
      </w:pPr>
      <w:r>
        <w:t>El contexto físico y químico orienta la selección de variables. Las columnas satelitales ayudan a estimar la concentración superficial mediante modelos estadísticos. La agregación a comunas requiere definir una regla explícita.</w:t>
      </w:r>
    </w:p>
    <w:p>
      <w:r>
        <w:br w:type="page"/>
      </w:r>
    </w:p>
    <w:p>
      <w:pPr>
        <w:pStyle w:val="Ttulo1"/>
        <w:keepNext w:val="0"/>
        <w:widowControl/>
      </w:pPr>
      <w:r>
        <w:t>Guion de locución continuación</w:t>
      </w:r>
    </w:p>
    <w:p>
      <w:pPr>
        <w:pStyle w:val="Ttulo2"/>
        <w:keepNext/>
        <w:widowControl/>
        <w:spacing w:before="160"/>
      </w:pPr>
      <w:r>
        <w:t>D5 Comparación de Modelos de Estimación</w:t>
      </w:r>
    </w:p>
    <w:p>
      <w:pPr>
        <w:keepNext/>
        <w:widowControl/>
        <w:spacing w:after="80"/>
      </w:pPr>
      <w:r>
        <w:rPr>
          <w:sz w:val="18"/>
        </w:rPr>
        <w:t>2:05 a 3:10 · Diez modelos</w:t>
      </w:r>
    </w:p>
    <w:p>
      <w:pPr>
        <w:keepNext w:val="0"/>
        <w:widowControl/>
        <w:spacing w:after="100"/>
      </w:pPr>
      <w:r>
        <w:t>Comparamos diez alternativas. LightGBM y Random Forest representan relaciones mediante árboles; la red neuronal multicapa aprende relaciones no lineales; y el proceso gaussiano modela similitudes mediante un núcleo.</w:t>
      </w:r>
    </w:p>
    <w:p>
      <w:pPr>
        <w:keepNext w:val="0"/>
        <w:widowControl/>
        <w:spacing w:after="100"/>
      </w:pPr>
      <w:r>
        <w:t>El modelo lineal mixto combina efectos fijos y aleatorios por hora local. GWR estima coeficientes locales; la regresión con kriging incorpora dependencia espacial en los residuos; y la interpolación de estaciones vecinas funciona como línea base.</w:t>
      </w:r>
    </w:p>
    <w:p>
      <w:pPr>
        <w:keepNext w:val="0"/>
        <w:widowControl/>
        <w:spacing w:after="100"/>
      </w:pPr>
      <w:r>
        <w:t>LightGBM para alertas estima el percentil ochenta y se orienta a detectar excedencias. El ensamble por apilado combina LightGBM, Random Forest y la red neuronal mediante regresión ridge.</w:t>
      </w:r>
    </w:p>
    <w:p>
      <w:pPr>
        <w:keepNext w:val="0"/>
        <w:widowControl/>
        <w:spacing w:after="100"/>
      </w:pPr>
      <w:r>
        <w:t>LightGBM es el motor actual del producto territorial. La comparación debe considerar el objetivo de cada modelo, su tamaño de entrenamiento y su costo computacional.</w:t>
      </w:r>
    </w:p>
    <w:p>
      <w:pPr>
        <w:pStyle w:val="Ttulo2"/>
        <w:keepNext/>
        <w:widowControl/>
        <w:spacing w:before="160"/>
      </w:pPr>
      <w:r>
        <w:t>D6 Dificultades Surgidas durante la Semana y Soluciones Adoptadas</w:t>
      </w:r>
    </w:p>
    <w:p>
      <w:pPr>
        <w:keepNext/>
        <w:widowControl/>
        <w:spacing w:after="80"/>
      </w:pPr>
      <w:r>
        <w:rPr>
          <w:sz w:val="18"/>
        </w:rPr>
        <w:t>3:10 a 4:15 · Control de sesgos</w:t>
      </w:r>
    </w:p>
    <w:p>
      <w:pPr>
        <w:keepNext w:val="0"/>
        <w:widowControl/>
        <w:spacing w:after="100"/>
      </w:pPr>
      <w:r>
        <w:t>La dependencia espacial y temporal exige reservar grupos completos. LOSO excluye un sitio, agrupando las estaciones de una misma celda; LRO reserva una región; y LPO, un bloque de cuatro años. En LOSO y LRO, las estaciones excluidas tampoco participan en los predictores de vecindario. LPO evalúa transferencia entre períodos históricos.</w:t>
      </w:r>
    </w:p>
    <w:p>
      <w:pPr>
        <w:keepNext w:val="0"/>
        <w:widowControl/>
        <w:spacing w:after="100"/>
      </w:pPr>
      <w:r>
        <w:t>Las fuentes tienen frecuencias y faltantes distintos. LightGBM admite ausencias; los modelos que requieren imputación o estandarización las ajustan dentro del entrenamiento de cada partición.</w:t>
      </w:r>
    </w:p>
    <w:p>
      <w:pPr>
        <w:keepNext w:val="0"/>
        <w:widowControl/>
        <w:spacing w:after="100"/>
      </w:pPr>
      <w:r>
        <w:t>Evaluamos pares de las mismas horas mediante RMSE, MAE, sesgo y R², en escalas horaria, diaria, mensual y anual. Los tamaños de entrenamiento difieren entre modelos. Para el apilado, queda pendiente una validación anidada que preserve la independencia del grupo evaluado.</w:t>
      </w:r>
    </w:p>
    <w:p>
      <w:pPr>
        <w:pStyle w:val="Ttulo2"/>
        <w:keepNext/>
        <w:widowControl/>
        <w:spacing w:before="160"/>
      </w:pPr>
      <w:r>
        <w:t>D7 Objetivos de la Próxima Semana y Repositorio</w:t>
      </w:r>
    </w:p>
    <w:p>
      <w:pPr>
        <w:keepNext/>
        <w:widowControl/>
        <w:spacing w:after="80"/>
      </w:pPr>
      <w:r>
        <w:rPr>
          <w:sz w:val="18"/>
        </w:rPr>
        <w:t>4:15 a 4:50 · Continuidad del trabajo</w:t>
      </w:r>
    </w:p>
    <w:p>
      <w:pPr>
        <w:keepNext w:val="0"/>
        <w:widowControl/>
        <w:spacing w:after="100"/>
      </w:pPr>
      <w:r>
        <w:t>Los próximos objetivos son formalizar la agregación comunal, acordar la métrica principal y completar una comparación equitativa, separando la selección de modelos de la evaluación final. También precisaremos la incorporación de los demás contaminantes y la disponibilidad temporal de sus predictores.</w:t>
      </w:r>
    </w:p>
    <w:p>
      <w:pPr>
        <w:keepNext w:val="0"/>
        <w:widowControl/>
        <w:spacing w:after="100"/>
      </w:pPr>
      <w:r>
        <w:t>El repositorio y el documento ejecutable permiten revisar las decisiones y reproducir el flujo. Esto respalda la documentación metodológica y la preparación de la defensa. Muchas gracias.</w:t>
      </w:r>
    </w:p>
    <w:p>
      <w:pPr>
        <w:pStyle w:val="Ttulo2"/>
        <w:keepNext/>
        <w:widowControl/>
      </w:pPr>
      <w:r>
        <w:t>Referencia de preparación</w:t>
      </w:r>
    </w:p>
    <w:p>
      <w:pPr>
        <w:keepNext w:val="0"/>
        <w:widowControl/>
        <w:spacing w:after="80"/>
      </w:pPr>
      <w:r>
        <w:rPr>
          <w:sz w:val="18"/>
        </w:rPr>
        <w:t>Metodología del informe modelo_1km_horario.html, sección 4, y estructura del PowerPoint original AFG1_Video3_Avance_Equipo2. Presentación centrada en métodos, sin cifras de desempeño.</w:t>
      </w:r>
    </w:p>
    <w:sectPr w:rsidR="00000000" w:rsidRPr="00FD785E" w:rsidSect="00034616">
      <w:headerReference w:type="default" r:id="rId8"/>
      <w:footerReference w:type="default" r:id="rId9"/>
      <w:pgSz w:w="12240" w:h="15840"/>
      <w:pgMar w:top="1037" w:right="1224" w:bottom="1037" w:left="122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Guion metodológico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AFG1   Equipo 2   Video de avance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506795">
    <w:abstractNumId w:val="8"/>
  </w:num>
  <w:num w:numId="2" w16cid:durableId="1276013871">
    <w:abstractNumId w:val="6"/>
  </w:num>
  <w:num w:numId="3" w16cid:durableId="270669091">
    <w:abstractNumId w:val="5"/>
  </w:num>
  <w:num w:numId="4" w16cid:durableId="1356346226">
    <w:abstractNumId w:val="4"/>
  </w:num>
  <w:num w:numId="5" w16cid:durableId="700278456">
    <w:abstractNumId w:val="7"/>
  </w:num>
  <w:num w:numId="6" w16cid:durableId="1588609229">
    <w:abstractNumId w:val="3"/>
  </w:num>
  <w:num w:numId="7" w16cid:durableId="1141119433">
    <w:abstractNumId w:val="2"/>
  </w:num>
  <w:num w:numId="8" w16cid:durableId="953251749">
    <w:abstractNumId w:val="1"/>
  </w:num>
  <w:num w:numId="9" w16cid:durableId="253514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F7E"/>
    <w:rsid w:val="005E1A74"/>
    <w:rsid w:val="00AA1D8D"/>
    <w:rsid w:val="00B47730"/>
    <w:rsid w:val="00CB0664"/>
    <w:rsid w:val="00FC693F"/>
    <w:rsid w:val="00FD78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4F76D"/>
  <w14:defaultImageDpi w14:val="300"/>
  <w15:docId w15:val="{9C2D831F-2E6B-4D05-A006-94238E36F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2"/>
    </w:rPr>
  </w:style>
  <w:style w:type="paragraph" w:styleId="Ttulo1">
    <w:name w:val="heading 1"/>
    <w:basedOn w:val="Normal"/>
    <w:next w:val="Normal"/>
    <w:link w:val="Ttulo1Car"/>
    <w:uiPriority w:val="9"/>
    <w:qFormat/>
    <w:rsid w:val="00FC693F"/>
    <w:pPr>
      <w:keepNext/>
      <w:keepLines/>
      <w:spacing w:before="200" w:after="80" w:line="259" w:lineRule="auto"/>
      <w:outlineLvl w:val="0"/>
    </w:pPr>
    <w:rPr>
      <w:rFonts w:asciiTheme="majorHAnsi" w:eastAsiaTheme="majorEastAsia" w:hAnsiTheme="majorHAnsi" w:cstheme="majorBidi" w:ascii="Arial" w:hAnsi="Arial"/>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80" w:line="259" w:lineRule="auto"/>
      <w:outlineLvl w:val="1"/>
    </w:pPr>
    <w:rPr>
      <w:rFonts w:asciiTheme="majorHAnsi" w:eastAsiaTheme="majorEastAsia" w:hAnsiTheme="majorHAnsi" w:cstheme="majorBidi" w:ascii="Arial" w:hAnsi="Arial"/>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80" w:line="259" w:lineRule="auto"/>
      <w:outlineLvl w:val="2"/>
    </w:pPr>
    <w:rPr>
      <w:rFonts w:asciiTheme="majorHAnsi" w:eastAsiaTheme="majorEastAsia" w:hAnsiTheme="majorHAnsi" w:cstheme="majorBidi" w:ascii="Arial" w:hAnsi="Arial"/>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20" w:line="259"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00" w:line="259" w:lineRule="auto"/>
    </w:pPr>
    <w:rPr>
      <w:rFonts w:asciiTheme="majorHAnsi" w:eastAsiaTheme="majorEastAsia" w:hAnsiTheme="majorHAnsi" w:cstheme="majorBidi" w:ascii="Arial" w:hAnsi="Arial"/>
      <w:i/>
      <w:iCs/>
      <w:color w:val="00000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yperlink" Target="https://github.com/AmaruSimonAgueroJimenez/Air-Pollution" TargetMode="External"/><Relationship Id="rId11" Type="http://schemas.openxmlformats.org/officeDocument/2006/relationships/hyperlink" Target="file:///Users/amaruagueroj/Library/CloudStorage/GoogleDrive-amaruaguero2004%40gmail.com/Mi%20unidad/Asesorias/Air-Pollution/docs/modelo_1km_horario.html#sec-metodologia" TargetMode="External"/><Relationship Id="rId12" Type="http://schemas.openxmlformats.org/officeDocument/2006/relationships/hyperlink" Target="file:///Users/amaruagueroj/Library/CloudStorage/GoogleDrive-amaruaguero2004%40gmail.com/Mi%20unidad/Asesorias/Air-Pollution/doc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496</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metodológico del video de avance 3</dc:title>
  <dc:subject>Guion de siete diapositivas con objetivos arquitectura y diez modelos</dc:subject>
  <dc:creator>Equipo 2</dc:creator>
  <cp:keywords>AFG1, metodología, guion, calidad del aire, modelos</cp:keywords>
  <dc:description/>
  <cp:lastModifiedBy>Avila Roberto</cp:lastModifiedBy>
  <cp:revision>3</cp:revision>
  <dcterms:created xsi:type="dcterms:W3CDTF">2013-12-23T23:15:00Z</dcterms:created>
  <dcterms:modified xsi:type="dcterms:W3CDTF">2026-09-20T12:36:00Z</dcterms:modified>
  <cp:category/>
</cp:coreProperties>
</file>