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68FB" w14:textId="1F21F5B4" w:rsidR="00917F02" w:rsidRDefault="00917F02">
      <w:pPr>
        <w:rPr>
          <w:b/>
          <w:bCs/>
        </w:rPr>
      </w:pPr>
      <w:r w:rsidRPr="00917F02">
        <w:rPr>
          <w:b/>
          <w:bCs/>
        </w:rPr>
        <w:t>Asset Safety and Client Money Policy</w:t>
      </w:r>
    </w:p>
    <w:p w14:paraId="372F90B0" w14:textId="3AA7836D" w:rsidR="00917F02" w:rsidRPr="00917F02" w:rsidRDefault="00917F02" w:rsidP="00917F02">
      <w:r w:rsidRPr="00917F02">
        <w:rPr>
          <w:b/>
          <w:bCs/>
        </w:rPr>
        <w:t>1. Legal Title and Asset Segregation</w:t>
      </w:r>
    </w:p>
    <w:p w14:paraId="36CE8236" w14:textId="77777777" w:rsidR="00917F02" w:rsidRPr="00917F02" w:rsidRDefault="00917F02" w:rsidP="00917F02">
      <w:pPr>
        <w:numPr>
          <w:ilvl w:val="0"/>
          <w:numId w:val="1"/>
        </w:numPr>
      </w:pPr>
      <w:r w:rsidRPr="00917F02">
        <w:rPr>
          <w:b/>
          <w:bCs/>
        </w:rPr>
        <w:t>Omnibus vs. Segregated:</w:t>
      </w:r>
      <w:r w:rsidRPr="00917F02">
        <w:t> Clearing Europe S.A. supports both Omnibus Client Accounts and Individually Segregated Accounts (ISA).</w:t>
      </w:r>
    </w:p>
    <w:p w14:paraId="2B661607" w14:textId="77777777" w:rsidR="00917F02" w:rsidRPr="00917F02" w:rsidRDefault="00917F02" w:rsidP="00917F02">
      <w:pPr>
        <w:numPr>
          <w:ilvl w:val="0"/>
          <w:numId w:val="1"/>
        </w:numPr>
      </w:pPr>
      <w:r w:rsidRPr="00917F02">
        <w:rPr>
          <w:b/>
          <w:bCs/>
        </w:rPr>
        <w:t>Strict Segregation:</w:t>
      </w:r>
      <w:r w:rsidRPr="00917F02">
        <w:t> Proprietary holdings of Clearing Europe S.A. are strictly segregated from clients' holdings in our books and records. Furthermore, client money (cash) is segregated and identified separately from our proprietary money and from the money of any subsidiary.</w:t>
      </w:r>
    </w:p>
    <w:p w14:paraId="0667DE2B" w14:textId="77777777" w:rsidR="00917F02" w:rsidRPr="00917F02" w:rsidRDefault="00917F02" w:rsidP="00917F02">
      <w:pPr>
        <w:numPr>
          <w:ilvl w:val="0"/>
          <w:numId w:val="1"/>
        </w:numPr>
      </w:pPr>
      <w:r w:rsidRPr="00917F02">
        <w:rPr>
          <w:b/>
          <w:bCs/>
        </w:rPr>
        <w:t>Legal Recognition:</w:t>
      </w:r>
      <w:r w:rsidRPr="00917F02">
        <w:t> In our jurisdiction, legal title to securities is recorded in the name of "Clearing Europe S.A. - Client Account" or via our designated nominee company, "Clearing Nominees Ltd."</w:t>
      </w:r>
    </w:p>
    <w:p w14:paraId="59C2C002" w14:textId="4769C6D0" w:rsidR="00917F02" w:rsidRPr="00917F02" w:rsidRDefault="00917F02" w:rsidP="00917F02">
      <w:r w:rsidRPr="00917F02">
        <w:rPr>
          <w:b/>
          <w:bCs/>
        </w:rPr>
        <w:t>2. Insolvency Protection</w:t>
      </w:r>
    </w:p>
    <w:p w14:paraId="1F4CE2E5" w14:textId="77777777" w:rsidR="00917F02" w:rsidRPr="00917F02" w:rsidRDefault="00917F02" w:rsidP="00917F02">
      <w:pPr>
        <w:numPr>
          <w:ilvl w:val="0"/>
          <w:numId w:val="2"/>
        </w:numPr>
      </w:pPr>
      <w:r w:rsidRPr="00917F02">
        <w:rPr>
          <w:b/>
          <w:bCs/>
        </w:rPr>
        <w:t>Ring-Fencing:</w:t>
      </w:r>
      <w:r w:rsidRPr="00917F02">
        <w:t> Under the Luxembourg Law of 1 August 2001 on the circulation of securities, assets and client money held in custody by us are legally ring-fenced. In the event of our insolvency or bankruptcy, these assets do not form part of our general insolvency estate and are protected from the claims of our general creditors.</w:t>
      </w:r>
    </w:p>
    <w:p w14:paraId="63A940AF" w14:textId="77777777" w:rsidR="00917F02" w:rsidRPr="00917F02" w:rsidRDefault="00917F02" w:rsidP="00917F02">
      <w:pPr>
        <w:numPr>
          <w:ilvl w:val="0"/>
          <w:numId w:val="2"/>
        </w:numPr>
      </w:pPr>
      <w:r w:rsidRPr="00917F02">
        <w:rPr>
          <w:b/>
          <w:bCs/>
        </w:rPr>
        <w:t>Pari Passu:</w:t>
      </w:r>
      <w:r w:rsidRPr="00917F02">
        <w:t> In the event of insolvency, a client's claim to the deposit held with us will rank pari passu with all other unsecured client claims, but strictly senior to proprietary creditors regarding segregated client pools.</w:t>
      </w:r>
    </w:p>
    <w:p w14:paraId="6F235D14" w14:textId="64521C43" w:rsidR="00917F02" w:rsidRPr="00917F02" w:rsidRDefault="00917F02" w:rsidP="00917F02">
      <w:r w:rsidRPr="00917F02">
        <w:rPr>
          <w:b/>
          <w:bCs/>
        </w:rPr>
        <w:t>3. Central Securities Depository (CSD) Risk</w:t>
      </w:r>
    </w:p>
    <w:p w14:paraId="3AB6AA7F" w14:textId="77777777" w:rsidR="00917F02" w:rsidRPr="00917F02" w:rsidRDefault="00917F02" w:rsidP="00917F02">
      <w:pPr>
        <w:numPr>
          <w:ilvl w:val="0"/>
          <w:numId w:val="3"/>
        </w:numPr>
      </w:pPr>
      <w:r w:rsidRPr="00917F02">
        <w:t>Client assets held at local CSDs are held in an account entitled "Clients" and are strictly segregated from Clearing's proprietary holdings at the CSD level.</w:t>
      </w:r>
    </w:p>
    <w:p w14:paraId="0CB7A913" w14:textId="77777777" w:rsidR="00917F02" w:rsidRPr="00917F02" w:rsidRDefault="00917F02" w:rsidP="00917F02">
      <w:pPr>
        <w:numPr>
          <w:ilvl w:val="0"/>
          <w:numId w:val="3"/>
        </w:numPr>
      </w:pPr>
      <w:r w:rsidRPr="00917F02">
        <w:rPr>
          <w:b/>
          <w:bCs/>
        </w:rPr>
        <w:t>Right of Lien:</w:t>
      </w:r>
      <w:r w:rsidRPr="00917F02">
        <w:t> CSDs generally do not have any right of lien, retention, or sale over client assets held in safe custody, except for statutory liens applied solely to cover settlement exposures directly related to the specific client's transactions.</w:t>
      </w:r>
    </w:p>
    <w:p w14:paraId="7CDDF6B2" w14:textId="77777777" w:rsidR="00917F02" w:rsidRPr="00917F02" w:rsidRDefault="00917F02" w:rsidP="00917F02">
      <w:pPr>
        <w:numPr>
          <w:ilvl w:val="0"/>
          <w:numId w:val="3"/>
        </w:numPr>
      </w:pPr>
      <w:r w:rsidRPr="00917F02">
        <w:rPr>
          <w:b/>
          <w:bCs/>
        </w:rPr>
        <w:t>CSD Due Diligence:</w:t>
      </w:r>
      <w:r w:rsidRPr="00917F02">
        <w:t> We perform a formal operational due diligence review of all CSDs we participate in on an annual basis.</w:t>
      </w:r>
    </w:p>
    <w:p w14:paraId="6A4DFEBA" w14:textId="3D132CCD" w:rsidR="00917F02" w:rsidRPr="00917F02" w:rsidRDefault="00917F02" w:rsidP="00917F02">
      <w:r w:rsidRPr="00917F02">
        <w:rPr>
          <w:b/>
          <w:bCs/>
        </w:rPr>
        <w:t>4. Reconciliation Frequency</w:t>
      </w:r>
    </w:p>
    <w:p w14:paraId="4D320D58" w14:textId="77777777" w:rsidR="00917F02" w:rsidRPr="00917F02" w:rsidRDefault="00917F02" w:rsidP="00917F02">
      <w:pPr>
        <w:numPr>
          <w:ilvl w:val="0"/>
          <w:numId w:val="4"/>
        </w:numPr>
      </w:pPr>
      <w:r w:rsidRPr="00917F02">
        <w:rPr>
          <w:b/>
          <w:bCs/>
        </w:rPr>
        <w:t>Securities Balances with CSD:</w:t>
      </w:r>
      <w:r w:rsidRPr="00917F02">
        <w:t> Reconciled Daily (Fully automated).</w:t>
      </w:r>
    </w:p>
    <w:p w14:paraId="1436D8C4" w14:textId="77777777" w:rsidR="00917F02" w:rsidRPr="00917F02" w:rsidRDefault="00917F02" w:rsidP="00917F02">
      <w:pPr>
        <w:numPr>
          <w:ilvl w:val="0"/>
          <w:numId w:val="4"/>
        </w:numPr>
      </w:pPr>
      <w:r w:rsidRPr="00917F02">
        <w:rPr>
          <w:b/>
          <w:bCs/>
        </w:rPr>
        <w:t>Cash Balances with Central Bank:</w:t>
      </w:r>
      <w:r w:rsidRPr="00917F02">
        <w:t> Reconciled Intraday and Daily (Fully automated).</w:t>
      </w:r>
    </w:p>
    <w:p w14:paraId="17268AFB" w14:textId="77777777" w:rsidR="00917F02" w:rsidRPr="00917F02" w:rsidRDefault="00917F02" w:rsidP="00917F02">
      <w:pPr>
        <w:numPr>
          <w:ilvl w:val="0"/>
          <w:numId w:val="4"/>
        </w:numPr>
      </w:pPr>
      <w:r w:rsidRPr="00917F02">
        <w:rPr>
          <w:b/>
          <w:bCs/>
        </w:rPr>
        <w:lastRenderedPageBreak/>
        <w:t>Delegated Sub-custodians (Securities &amp; Cash):</w:t>
      </w:r>
      <w:r w:rsidRPr="00917F02">
        <w:t> Reconciled Daily (Fully automated). Breaks and aged discrepancies are tracked via standardized KPIs.</w:t>
      </w:r>
    </w:p>
    <w:p w14:paraId="01C68B99" w14:textId="77777777" w:rsidR="00917F02" w:rsidRDefault="00917F02"/>
    <w:sectPr w:rsidR="00917F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A23"/>
    <w:multiLevelType w:val="multilevel"/>
    <w:tmpl w:val="A6D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B62BF"/>
    <w:multiLevelType w:val="multilevel"/>
    <w:tmpl w:val="E47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F3277"/>
    <w:multiLevelType w:val="multilevel"/>
    <w:tmpl w:val="7D2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E6D71"/>
    <w:multiLevelType w:val="multilevel"/>
    <w:tmpl w:val="BEA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03734">
    <w:abstractNumId w:val="1"/>
  </w:num>
  <w:num w:numId="2" w16cid:durableId="1126117220">
    <w:abstractNumId w:val="3"/>
  </w:num>
  <w:num w:numId="3" w16cid:durableId="19936933">
    <w:abstractNumId w:val="2"/>
  </w:num>
  <w:num w:numId="4" w16cid:durableId="1814177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02"/>
    <w:rsid w:val="001242FA"/>
    <w:rsid w:val="00917F02"/>
    <w:rsid w:val="009441C8"/>
    <w:rsid w:val="00D53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4150"/>
  <w15:chartTrackingRefBased/>
  <w15:docId w15:val="{F1A93973-98A8-4A50-B116-2D83BBD7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17F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17F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17F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17F0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17F0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17F0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17F0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17F0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17F0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0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17F0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17F0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17F0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17F0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17F0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17F02"/>
    <w:rPr>
      <w:rFonts w:cstheme="majorBidi"/>
      <w:b/>
      <w:bCs/>
      <w:color w:val="595959" w:themeColor="text1" w:themeTint="A6"/>
    </w:rPr>
  </w:style>
  <w:style w:type="character" w:customStyle="1" w:styleId="Heading8Char">
    <w:name w:val="Heading 8 Char"/>
    <w:basedOn w:val="DefaultParagraphFont"/>
    <w:link w:val="Heading8"/>
    <w:uiPriority w:val="9"/>
    <w:semiHidden/>
    <w:rsid w:val="00917F02"/>
    <w:rPr>
      <w:rFonts w:cstheme="majorBidi"/>
      <w:color w:val="595959" w:themeColor="text1" w:themeTint="A6"/>
    </w:rPr>
  </w:style>
  <w:style w:type="character" w:customStyle="1" w:styleId="Heading9Char">
    <w:name w:val="Heading 9 Char"/>
    <w:basedOn w:val="DefaultParagraphFont"/>
    <w:link w:val="Heading9"/>
    <w:uiPriority w:val="9"/>
    <w:semiHidden/>
    <w:rsid w:val="00917F02"/>
    <w:rPr>
      <w:rFonts w:eastAsiaTheme="majorEastAsia" w:cstheme="majorBidi"/>
      <w:color w:val="595959" w:themeColor="text1" w:themeTint="A6"/>
    </w:rPr>
  </w:style>
  <w:style w:type="paragraph" w:styleId="Title">
    <w:name w:val="Title"/>
    <w:basedOn w:val="Normal"/>
    <w:next w:val="Normal"/>
    <w:link w:val="TitleChar"/>
    <w:uiPriority w:val="10"/>
    <w:qFormat/>
    <w:rsid w:val="00917F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0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17F02"/>
    <w:pPr>
      <w:spacing w:before="160"/>
      <w:jc w:val="center"/>
    </w:pPr>
    <w:rPr>
      <w:i/>
      <w:iCs/>
      <w:color w:val="404040" w:themeColor="text1" w:themeTint="BF"/>
    </w:rPr>
  </w:style>
  <w:style w:type="character" w:customStyle="1" w:styleId="QuoteChar">
    <w:name w:val="Quote Char"/>
    <w:basedOn w:val="DefaultParagraphFont"/>
    <w:link w:val="Quote"/>
    <w:uiPriority w:val="29"/>
    <w:rsid w:val="00917F02"/>
    <w:rPr>
      <w:i/>
      <w:iCs/>
      <w:color w:val="404040" w:themeColor="text1" w:themeTint="BF"/>
    </w:rPr>
  </w:style>
  <w:style w:type="paragraph" w:styleId="ListParagraph">
    <w:name w:val="List Paragraph"/>
    <w:basedOn w:val="Normal"/>
    <w:uiPriority w:val="34"/>
    <w:qFormat/>
    <w:rsid w:val="00917F02"/>
    <w:pPr>
      <w:ind w:left="720"/>
      <w:contextualSpacing/>
    </w:pPr>
  </w:style>
  <w:style w:type="character" w:styleId="IntenseEmphasis">
    <w:name w:val="Intense Emphasis"/>
    <w:basedOn w:val="DefaultParagraphFont"/>
    <w:uiPriority w:val="21"/>
    <w:qFormat/>
    <w:rsid w:val="00917F02"/>
    <w:rPr>
      <w:i/>
      <w:iCs/>
      <w:color w:val="0F4761" w:themeColor="accent1" w:themeShade="BF"/>
    </w:rPr>
  </w:style>
  <w:style w:type="paragraph" w:styleId="IntenseQuote">
    <w:name w:val="Intense Quote"/>
    <w:basedOn w:val="Normal"/>
    <w:next w:val="Normal"/>
    <w:link w:val="IntenseQuoteChar"/>
    <w:uiPriority w:val="30"/>
    <w:qFormat/>
    <w:rsid w:val="00917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F02"/>
    <w:rPr>
      <w:i/>
      <w:iCs/>
      <w:color w:val="0F4761" w:themeColor="accent1" w:themeShade="BF"/>
    </w:rPr>
  </w:style>
  <w:style w:type="character" w:styleId="IntenseReference">
    <w:name w:val="Intense Reference"/>
    <w:basedOn w:val="DefaultParagraphFont"/>
    <w:uiPriority w:val="32"/>
    <w:qFormat/>
    <w:rsid w:val="00917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He</dc:creator>
  <cp:keywords/>
  <dc:description/>
  <cp:lastModifiedBy>Liu He</cp:lastModifiedBy>
  <cp:revision>2</cp:revision>
  <dcterms:created xsi:type="dcterms:W3CDTF">2026-03-26T11:54:00Z</dcterms:created>
  <dcterms:modified xsi:type="dcterms:W3CDTF">2026-05-21T02:56:00Z</dcterms:modified>
</cp:coreProperties>
</file>