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320D" w14:textId="034D5FF4" w:rsidR="007F513B" w:rsidRDefault="007F513B">
      <w:pPr>
        <w:rPr>
          <w:b/>
          <w:bCs/>
        </w:rPr>
      </w:pPr>
      <w:r w:rsidRPr="007F513B">
        <w:rPr>
          <w:b/>
          <w:bCs/>
        </w:rPr>
        <w:t>Clearing Europe S.A. - Corporate Factsheet and Regulatory Disclosures</w:t>
      </w:r>
    </w:p>
    <w:p w14:paraId="3961F14C" w14:textId="77777777" w:rsidR="007F513B" w:rsidRDefault="007F513B">
      <w:pPr>
        <w:rPr>
          <w:b/>
          <w:bCs/>
        </w:rPr>
      </w:pPr>
    </w:p>
    <w:p w14:paraId="17C979DC" w14:textId="30454A4B" w:rsidR="007F513B" w:rsidRPr="007F513B" w:rsidRDefault="007F513B" w:rsidP="007F513B">
      <w:r w:rsidRPr="007F513B">
        <w:rPr>
          <w:b/>
          <w:bCs/>
        </w:rPr>
        <w:t>1. Corporate Information</w:t>
      </w:r>
    </w:p>
    <w:p w14:paraId="275498E8" w14:textId="77777777" w:rsidR="007F513B" w:rsidRPr="007F513B" w:rsidRDefault="007F513B" w:rsidP="007F513B">
      <w:pPr>
        <w:numPr>
          <w:ilvl w:val="0"/>
          <w:numId w:val="1"/>
        </w:numPr>
      </w:pPr>
      <w:r w:rsidRPr="007F513B">
        <w:rPr>
          <w:b/>
          <w:bCs/>
        </w:rPr>
        <w:t>Legal Entity Name:</w:t>
      </w:r>
      <w:r w:rsidRPr="007F513B">
        <w:t> Clearing Europe S.A.</w:t>
      </w:r>
    </w:p>
    <w:p w14:paraId="737AC7A8" w14:textId="77777777" w:rsidR="007F513B" w:rsidRPr="007F513B" w:rsidRDefault="007F513B" w:rsidP="007F513B">
      <w:pPr>
        <w:numPr>
          <w:ilvl w:val="0"/>
          <w:numId w:val="1"/>
        </w:numPr>
      </w:pPr>
      <w:r w:rsidRPr="007F513B">
        <w:rPr>
          <w:b/>
          <w:bCs/>
        </w:rPr>
        <w:t>Legal &amp; Head Office Address:</w:t>
      </w:r>
      <w:r w:rsidRPr="007F513B">
        <w:t> 42 Avenue John F. Kennedy, L-1855 Luxembourg, Grand Duchy of Luxembourg.</w:t>
      </w:r>
    </w:p>
    <w:p w14:paraId="484A6DE5" w14:textId="77777777" w:rsidR="007F513B" w:rsidRPr="007F513B" w:rsidRDefault="007F513B" w:rsidP="007F513B">
      <w:pPr>
        <w:numPr>
          <w:ilvl w:val="0"/>
          <w:numId w:val="1"/>
        </w:numPr>
      </w:pPr>
      <w:r w:rsidRPr="007F513B">
        <w:rPr>
          <w:b/>
          <w:bCs/>
        </w:rPr>
        <w:t>Company Type:</w:t>
      </w:r>
      <w:r w:rsidRPr="007F513B">
        <w:t> Systemically Important Financial Institution (SIFI) / International Central Securities Depository (ICSD).</w:t>
      </w:r>
    </w:p>
    <w:p w14:paraId="6A66B963" w14:textId="77777777" w:rsidR="007F513B" w:rsidRPr="007F513B" w:rsidRDefault="007F513B" w:rsidP="007F513B">
      <w:pPr>
        <w:numPr>
          <w:ilvl w:val="0"/>
          <w:numId w:val="1"/>
        </w:numPr>
      </w:pPr>
      <w:r w:rsidRPr="007F513B">
        <w:rPr>
          <w:b/>
          <w:bCs/>
        </w:rPr>
        <w:t>Ownership Structure:</w:t>
      </w:r>
      <w:r w:rsidRPr="007F513B">
        <w:t> Clearing Europe S.A. is a wholly-owned (100%) subsidiary of Clearing Group AG, headquartered in Frankfurt, Germany. There have been no changes to the ownership structure in the last 12 months.</w:t>
      </w:r>
    </w:p>
    <w:p w14:paraId="01E30AF2" w14:textId="568D5053" w:rsidR="007F513B" w:rsidRPr="007F513B" w:rsidRDefault="007F513B" w:rsidP="007F513B">
      <w:r w:rsidRPr="007F513B">
        <w:rPr>
          <w:b/>
          <w:bCs/>
        </w:rPr>
        <w:t>2. Regulatory Environment</w:t>
      </w:r>
    </w:p>
    <w:p w14:paraId="7E27A2AD" w14:textId="77777777" w:rsidR="007F513B" w:rsidRPr="007F513B" w:rsidRDefault="007F513B" w:rsidP="007F513B">
      <w:pPr>
        <w:numPr>
          <w:ilvl w:val="0"/>
          <w:numId w:val="2"/>
        </w:numPr>
      </w:pPr>
      <w:r w:rsidRPr="007F513B">
        <w:rPr>
          <w:b/>
          <w:bCs/>
        </w:rPr>
        <w:t>Primary Regulators:</w:t>
      </w:r>
      <w:r w:rsidRPr="007F513B">
        <w:t> Commission de Surveillance du Secteur Financier (CSSF) for custody and client money, and the European Central Bank (ECB) for banking activities.</w:t>
      </w:r>
    </w:p>
    <w:p w14:paraId="5198D2F7" w14:textId="064F57D3" w:rsidR="007F513B" w:rsidRPr="007F513B" w:rsidRDefault="007F513B" w:rsidP="007F513B">
      <w:pPr>
        <w:numPr>
          <w:ilvl w:val="0"/>
          <w:numId w:val="2"/>
        </w:numPr>
      </w:pPr>
      <w:r w:rsidRPr="007F513B">
        <w:rPr>
          <w:b/>
          <w:bCs/>
        </w:rPr>
        <w:t>US SEC Eligibility:</w:t>
      </w:r>
      <w:r w:rsidRPr="007F513B">
        <w:t> Clearing Europe S.A. qualifies as an "Eligible Foreign Custodian" under Rule 17f-5 of the US Investment Company Act 1940.</w:t>
      </w:r>
    </w:p>
    <w:p w14:paraId="6EE231E8" w14:textId="2CE8DAB2" w:rsidR="007F513B" w:rsidRPr="007F513B" w:rsidRDefault="007F513B" w:rsidP="007F513B">
      <w:pPr>
        <w:numPr>
          <w:ilvl w:val="0"/>
          <w:numId w:val="2"/>
        </w:numPr>
      </w:pPr>
      <w:r w:rsidRPr="007F513B">
        <w:rPr>
          <w:b/>
          <w:bCs/>
        </w:rPr>
        <w:t>UK FCA Status:</w:t>
      </w:r>
      <w:r w:rsidRPr="007F513B">
        <w:t> We act as an "approved bank" supervised by a relevant Home State regulator within the EEA.</w:t>
      </w:r>
    </w:p>
    <w:p w14:paraId="76A18BDC" w14:textId="7C1ABC79" w:rsidR="007F513B" w:rsidRPr="007F513B" w:rsidRDefault="007F513B" w:rsidP="007F513B">
      <w:pPr>
        <w:numPr>
          <w:ilvl w:val="0"/>
          <w:numId w:val="2"/>
        </w:numPr>
      </w:pPr>
      <w:r w:rsidRPr="007F513B">
        <w:rPr>
          <w:b/>
          <w:bCs/>
        </w:rPr>
        <w:t>Basel III Compliance:</w:t>
      </w:r>
      <w:r w:rsidRPr="007F513B">
        <w:t> Fully implemented. Our estimated Capital Adequacy Ratio is 22.4%, significantly exceeding local CSSF regulatory requirements. Risk Weighted Assets (RWA) are calculated using the Advanced Internal Ratings-Based (A-IRB) approach.</w:t>
      </w:r>
    </w:p>
    <w:p w14:paraId="2E7F7D6B" w14:textId="28BD57AF" w:rsidR="007F513B" w:rsidRPr="007F513B" w:rsidRDefault="007F513B" w:rsidP="007F513B">
      <w:pPr>
        <w:numPr>
          <w:ilvl w:val="0"/>
          <w:numId w:val="2"/>
        </w:numPr>
      </w:pPr>
      <w:r w:rsidRPr="007F513B">
        <w:rPr>
          <w:b/>
          <w:bCs/>
        </w:rPr>
        <w:t>Credit Ratings:</w:t>
      </w:r>
      <w:r w:rsidRPr="007F513B">
        <w:t> S&amp;P: AA+ | Moody's: Aa1 | Fitch: AA+.</w:t>
      </w:r>
    </w:p>
    <w:p w14:paraId="6BFB4D82" w14:textId="02D99371" w:rsidR="007F513B" w:rsidRPr="007F513B" w:rsidRDefault="007F513B" w:rsidP="007F513B">
      <w:r w:rsidRPr="007F513B">
        <w:rPr>
          <w:b/>
          <w:bCs/>
        </w:rPr>
        <w:t>3. Operational Statistics &amp; Human Resources</w:t>
      </w:r>
    </w:p>
    <w:p w14:paraId="22D953B0" w14:textId="77777777" w:rsidR="007F513B" w:rsidRPr="007F513B" w:rsidRDefault="007F513B" w:rsidP="007F513B">
      <w:pPr>
        <w:numPr>
          <w:ilvl w:val="0"/>
          <w:numId w:val="3"/>
        </w:numPr>
      </w:pPr>
      <w:r w:rsidRPr="007F513B">
        <w:rPr>
          <w:b/>
          <w:bCs/>
        </w:rPr>
        <w:t>Assets Under Custody (AUC):</w:t>
      </w:r>
      <w:r w:rsidRPr="007F513B">
        <w:t> € 16.8 Trillion overall. Foreign clients account for € 12.2 Trillion, while domestic (EU) clients account for € 4.6 Trillion.</w:t>
      </w:r>
    </w:p>
    <w:p w14:paraId="066C4A4D" w14:textId="77777777" w:rsidR="007F513B" w:rsidRPr="007F513B" w:rsidRDefault="007F513B" w:rsidP="007F513B">
      <w:pPr>
        <w:numPr>
          <w:ilvl w:val="0"/>
          <w:numId w:val="3"/>
        </w:numPr>
      </w:pPr>
      <w:r w:rsidRPr="007F513B">
        <w:rPr>
          <w:b/>
          <w:bCs/>
        </w:rPr>
        <w:t>Global Headcount:</w:t>
      </w:r>
      <w:r w:rsidRPr="007F513B">
        <w:t> 3,450 total employees globally.</w:t>
      </w:r>
    </w:p>
    <w:p w14:paraId="036B2AC4" w14:textId="77777777" w:rsidR="007F513B" w:rsidRPr="007F513B" w:rsidRDefault="007F513B" w:rsidP="007F513B">
      <w:pPr>
        <w:numPr>
          <w:ilvl w:val="0"/>
          <w:numId w:val="3"/>
        </w:numPr>
      </w:pPr>
      <w:r w:rsidRPr="007F513B">
        <w:rPr>
          <w:b/>
          <w:bCs/>
        </w:rPr>
        <w:t>Custody Operations Headcount:</w:t>
      </w:r>
      <w:r w:rsidRPr="007F513B">
        <w:t> 1,280 employees (Management: 120, Operations: 850, Client Services/RM: 310).</w:t>
      </w:r>
    </w:p>
    <w:p w14:paraId="41545CEC" w14:textId="77777777" w:rsidR="007F513B" w:rsidRPr="007F513B" w:rsidRDefault="007F513B" w:rsidP="007F513B">
      <w:pPr>
        <w:numPr>
          <w:ilvl w:val="0"/>
          <w:numId w:val="3"/>
        </w:numPr>
      </w:pPr>
      <w:r w:rsidRPr="007F513B">
        <w:rPr>
          <w:b/>
          <w:bCs/>
        </w:rPr>
        <w:t>Staff Turnover:</w:t>
      </w:r>
      <w:r w:rsidRPr="007F513B">
        <w:t xml:space="preserve"> The staff turnover rate for the custody and client money </w:t>
      </w:r>
      <w:r w:rsidRPr="007F513B">
        <w:lastRenderedPageBreak/>
        <w:t>business in the past 12 months was 3.8% (falling into the 0-5% bracket).</w:t>
      </w:r>
    </w:p>
    <w:p w14:paraId="5C7D9AA8" w14:textId="77777777" w:rsidR="007F513B" w:rsidRPr="007F513B" w:rsidRDefault="007F513B" w:rsidP="007F513B">
      <w:r w:rsidRPr="007F513B">
        <w:rPr>
          <w:b/>
          <w:bCs/>
        </w:rPr>
        <w:t>4. Insurance Cover (AFME 1.5.1)</w:t>
      </w:r>
      <w:r w:rsidRPr="007F513B">
        <w:br/>
        <w:t>Clearing Europe S.A. maintains comprehensive global insurance policies reviewed annually by an independent risk committee. Coverage includes:</w:t>
      </w:r>
    </w:p>
    <w:p w14:paraId="59A2FF76" w14:textId="77777777" w:rsidR="007F513B" w:rsidRPr="007F513B" w:rsidRDefault="007F513B" w:rsidP="007F513B">
      <w:pPr>
        <w:numPr>
          <w:ilvl w:val="0"/>
          <w:numId w:val="4"/>
        </w:numPr>
      </w:pPr>
      <w:r w:rsidRPr="007F513B">
        <w:t>Professional Liability (Errors &amp; Omissions): € 500 Million aggregate limit.</w:t>
      </w:r>
    </w:p>
    <w:p w14:paraId="5D2F494D" w14:textId="77777777" w:rsidR="007F513B" w:rsidRPr="007F513B" w:rsidRDefault="007F513B" w:rsidP="007F513B">
      <w:pPr>
        <w:numPr>
          <w:ilvl w:val="0"/>
          <w:numId w:val="4"/>
        </w:numPr>
      </w:pPr>
      <w:r w:rsidRPr="007F513B">
        <w:t>Crime Insurance (Financial Institution Bond covering dishonest acts): € 250 Million.</w:t>
      </w:r>
    </w:p>
    <w:p w14:paraId="7A1BFD57" w14:textId="77777777" w:rsidR="007F513B" w:rsidRPr="007F513B" w:rsidRDefault="007F513B" w:rsidP="007F513B">
      <w:pPr>
        <w:numPr>
          <w:ilvl w:val="0"/>
          <w:numId w:val="4"/>
        </w:numPr>
      </w:pPr>
      <w:r w:rsidRPr="007F513B">
        <w:t>Enterprise Privacy Liability (Cyber Insurance): € 100 Million.</w:t>
      </w:r>
    </w:p>
    <w:p w14:paraId="6AB94384" w14:textId="77777777" w:rsidR="007F513B" w:rsidRDefault="007F513B"/>
    <w:sectPr w:rsidR="007F5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67D9"/>
    <w:multiLevelType w:val="multilevel"/>
    <w:tmpl w:val="9D0A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73FC4"/>
    <w:multiLevelType w:val="multilevel"/>
    <w:tmpl w:val="0CF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94F6F"/>
    <w:multiLevelType w:val="multilevel"/>
    <w:tmpl w:val="3A7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94D78"/>
    <w:multiLevelType w:val="multilevel"/>
    <w:tmpl w:val="578E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196055">
    <w:abstractNumId w:val="1"/>
  </w:num>
  <w:num w:numId="2" w16cid:durableId="124666201">
    <w:abstractNumId w:val="0"/>
  </w:num>
  <w:num w:numId="3" w16cid:durableId="1189950065">
    <w:abstractNumId w:val="2"/>
  </w:num>
  <w:num w:numId="4" w16cid:durableId="325519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3B"/>
    <w:rsid w:val="007F513B"/>
    <w:rsid w:val="009441C8"/>
    <w:rsid w:val="00C14F5E"/>
    <w:rsid w:val="00E8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374F"/>
  <w15:chartTrackingRefBased/>
  <w15:docId w15:val="{3008AD4A-9212-4CE3-B54B-E56EF6E0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F51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3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3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3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3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3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3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F51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He</dc:creator>
  <cp:keywords/>
  <dc:description/>
  <cp:lastModifiedBy>Liu He</cp:lastModifiedBy>
  <cp:revision>2</cp:revision>
  <dcterms:created xsi:type="dcterms:W3CDTF">2026-03-26T11:52:00Z</dcterms:created>
  <dcterms:modified xsi:type="dcterms:W3CDTF">2026-05-21T02:57:00Z</dcterms:modified>
</cp:coreProperties>
</file>