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36C4" w14:textId="0D9A7D75" w:rsidR="0039526F" w:rsidRDefault="0039526F">
      <w:pPr>
        <w:rPr>
          <w:b/>
          <w:bCs/>
        </w:rPr>
      </w:pPr>
      <w:r w:rsidRPr="0039526F">
        <w:rPr>
          <w:b/>
          <w:bCs/>
        </w:rPr>
        <w:t>Financial Crime &amp; Compliance Policy</w:t>
      </w:r>
    </w:p>
    <w:p w14:paraId="0B5EB06A" w14:textId="0EFA8D14" w:rsidR="0039526F" w:rsidRPr="0039526F" w:rsidRDefault="0039526F" w:rsidP="0039526F">
      <w:r w:rsidRPr="0039526F">
        <w:rPr>
          <w:b/>
          <w:bCs/>
        </w:rPr>
        <w:t>1. Policy Governance</w:t>
      </w:r>
    </w:p>
    <w:p w14:paraId="4AA280F7" w14:textId="77777777" w:rsidR="0039526F" w:rsidRPr="0039526F" w:rsidRDefault="0039526F" w:rsidP="0039526F">
      <w:pPr>
        <w:numPr>
          <w:ilvl w:val="0"/>
          <w:numId w:val="1"/>
        </w:numPr>
      </w:pPr>
      <w:r w:rsidRPr="0039526F">
        <w:t>Clearing Europe S.A. maintains strict policies for Anti-Money Laundering (AML), Counter-Terrorism Financing (CTF), Anti-Bribery and Corruption (ABC), Know Your Client (KYC), and Sanctions.</w:t>
      </w:r>
    </w:p>
    <w:p w14:paraId="573A4EE2" w14:textId="77777777" w:rsidR="0039526F" w:rsidRPr="0039526F" w:rsidRDefault="0039526F" w:rsidP="0039526F">
      <w:pPr>
        <w:numPr>
          <w:ilvl w:val="0"/>
          <w:numId w:val="1"/>
        </w:numPr>
      </w:pPr>
      <w:r w:rsidRPr="0039526F">
        <w:t>These policies are subject to an </w:t>
      </w:r>
      <w:r w:rsidRPr="0039526F">
        <w:rPr>
          <w:b/>
          <w:bCs/>
        </w:rPr>
        <w:t>annual internal review</w:t>
      </w:r>
      <w:r w:rsidRPr="0039526F">
        <w:t> by the Chief Compliance Officer and an </w:t>
      </w:r>
      <w:r w:rsidRPr="0039526F">
        <w:rPr>
          <w:b/>
          <w:bCs/>
        </w:rPr>
        <w:t>annual external review</w:t>
      </w:r>
      <w:r w:rsidRPr="0039526F">
        <w:t> by our regulators (CSSF).</w:t>
      </w:r>
    </w:p>
    <w:p w14:paraId="72F1150E" w14:textId="77777777" w:rsidR="0039526F" w:rsidRPr="0039526F" w:rsidRDefault="0039526F" w:rsidP="0039526F">
      <w:pPr>
        <w:numPr>
          <w:ilvl w:val="0"/>
          <w:numId w:val="1"/>
        </w:numPr>
      </w:pPr>
      <w:r w:rsidRPr="0039526F">
        <w:t>We are an active respondent to the </w:t>
      </w:r>
      <w:r w:rsidRPr="0039526F">
        <w:rPr>
          <w:b/>
          <w:bCs/>
        </w:rPr>
        <w:t>Wolfsberg Group Questionnaire on AML</w:t>
      </w:r>
      <w:r w:rsidRPr="0039526F">
        <w:t>.</w:t>
      </w:r>
    </w:p>
    <w:p w14:paraId="25C1BBF0" w14:textId="70621382" w:rsidR="0039526F" w:rsidRPr="0039526F" w:rsidRDefault="0039526F" w:rsidP="0039526F">
      <w:r w:rsidRPr="0039526F">
        <w:rPr>
          <w:b/>
          <w:bCs/>
        </w:rPr>
        <w:t>2. Sanctions Screening and KYC</w:t>
      </w:r>
    </w:p>
    <w:p w14:paraId="1453B7CA" w14:textId="77777777" w:rsidR="0039526F" w:rsidRPr="0039526F" w:rsidRDefault="0039526F" w:rsidP="0039526F">
      <w:pPr>
        <w:numPr>
          <w:ilvl w:val="0"/>
          <w:numId w:val="2"/>
        </w:numPr>
      </w:pPr>
      <w:r w:rsidRPr="0039526F">
        <w:rPr>
          <w:b/>
          <w:bCs/>
        </w:rPr>
        <w:t>Sanctions:</w:t>
      </w:r>
      <w:r w:rsidRPr="0039526F">
        <w:t> We perform automated, real-time sanction screening against the OFAC, UN, EU, and UK sanctions lists at the time of client onboarding and for every individual cash and securities transaction.</w:t>
      </w:r>
    </w:p>
    <w:p w14:paraId="6ABE6C70" w14:textId="77777777" w:rsidR="0039526F" w:rsidRPr="0039526F" w:rsidRDefault="0039526F" w:rsidP="0039526F">
      <w:pPr>
        <w:numPr>
          <w:ilvl w:val="0"/>
          <w:numId w:val="2"/>
        </w:numPr>
      </w:pPr>
      <w:r w:rsidRPr="0039526F">
        <w:rPr>
          <w:b/>
          <w:bCs/>
        </w:rPr>
        <w:t>KYC Approach:</w:t>
      </w:r>
      <w:r w:rsidRPr="0039526F">
        <w:t> We adopt a strictly </w:t>
      </w:r>
      <w:r w:rsidRPr="0039526F">
        <w:rPr>
          <w:b/>
          <w:bCs/>
        </w:rPr>
        <w:t>risk-based approach</w:t>
      </w:r>
      <w:r w:rsidRPr="0039526F">
        <w:t> for KYC assessments. Clients classified as High-Risk or PEPs (Politically Exposed Persons) undergo Enhanced Due Diligence (EDD) and are reviewed annually. Standard-risk clients are reviewed every 3 years.</w:t>
      </w:r>
    </w:p>
    <w:p w14:paraId="2652FD66" w14:textId="7D9355EA" w:rsidR="0039526F" w:rsidRPr="0039526F" w:rsidRDefault="0039526F" w:rsidP="0039526F">
      <w:pPr>
        <w:numPr>
          <w:ilvl w:val="0"/>
          <w:numId w:val="2"/>
        </w:numPr>
      </w:pPr>
      <w:r w:rsidRPr="0039526F">
        <w:rPr>
          <w:b/>
          <w:bCs/>
        </w:rPr>
        <w:t>Prohibited Relationships:</w:t>
      </w:r>
      <w:r w:rsidRPr="0039526F">
        <w:t> Our systems are hard-coded to automatically reject the setup of accounts or processing of transactions for: Embargoed jurisdictions, Anonymous account holders, and Shell banks.</w:t>
      </w:r>
    </w:p>
    <w:p w14:paraId="58CFFD6E" w14:textId="1853DD3C" w:rsidR="0039526F" w:rsidRPr="0039526F" w:rsidRDefault="0039526F" w:rsidP="0039526F">
      <w:r w:rsidRPr="0039526F">
        <w:rPr>
          <w:b/>
          <w:bCs/>
        </w:rPr>
        <w:t>3. Record Retention</w:t>
      </w:r>
    </w:p>
    <w:p w14:paraId="3E3A5AD3" w14:textId="77777777" w:rsidR="0039526F" w:rsidRPr="0039526F" w:rsidRDefault="0039526F" w:rsidP="0039526F">
      <w:pPr>
        <w:numPr>
          <w:ilvl w:val="0"/>
          <w:numId w:val="3"/>
        </w:numPr>
      </w:pPr>
      <w:r w:rsidRPr="0039526F">
        <w:t>We adhere to a strict record retention policy. All KYC documentation, transaction records, and communication logs are securely retained for a minimum period of </w:t>
      </w:r>
      <w:r w:rsidRPr="0039526F">
        <w:rPr>
          <w:b/>
          <w:bCs/>
        </w:rPr>
        <w:t>10 years</w:t>
      </w:r>
      <w:r w:rsidRPr="0039526F">
        <w:t> following the termination of the client relationship, exceeding the standard 5-year regulatory requirement.</w:t>
      </w:r>
    </w:p>
    <w:p w14:paraId="7FF5F402" w14:textId="77777777" w:rsidR="0039526F" w:rsidRPr="0039526F" w:rsidRDefault="0039526F"/>
    <w:sectPr w:rsidR="0039526F" w:rsidRPr="003952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4575E"/>
    <w:multiLevelType w:val="multilevel"/>
    <w:tmpl w:val="ED2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E24BE"/>
    <w:multiLevelType w:val="multilevel"/>
    <w:tmpl w:val="78D4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B3699C"/>
    <w:multiLevelType w:val="multilevel"/>
    <w:tmpl w:val="906A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73842">
    <w:abstractNumId w:val="0"/>
  </w:num>
  <w:num w:numId="2" w16cid:durableId="292060337">
    <w:abstractNumId w:val="1"/>
  </w:num>
  <w:num w:numId="3" w16cid:durableId="1187906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26F"/>
    <w:rsid w:val="00267034"/>
    <w:rsid w:val="0039526F"/>
    <w:rsid w:val="009441C8"/>
    <w:rsid w:val="00BE1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67BEF"/>
  <w15:chartTrackingRefBased/>
  <w15:docId w15:val="{F87CC133-DECE-48D3-8F07-155C97974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952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2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2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2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2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2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2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2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2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26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26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26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26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26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26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952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2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2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2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He</dc:creator>
  <cp:keywords/>
  <dc:description/>
  <cp:lastModifiedBy>Liu He</cp:lastModifiedBy>
  <cp:revision>2</cp:revision>
  <dcterms:created xsi:type="dcterms:W3CDTF">2026-03-26T11:56:00Z</dcterms:created>
  <dcterms:modified xsi:type="dcterms:W3CDTF">2026-05-21T02:58:00Z</dcterms:modified>
</cp:coreProperties>
</file>