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C6E6" w14:textId="5D92E2D9" w:rsidR="006D3E6E" w:rsidRDefault="006D3E6E">
      <w:pPr>
        <w:rPr>
          <w:b/>
          <w:bCs/>
        </w:rPr>
      </w:pPr>
      <w:r w:rsidRPr="006D3E6E">
        <w:rPr>
          <w:b/>
          <w:bCs/>
        </w:rPr>
        <w:t> Network Management &amp; Sub-Custodian Due Diligence</w:t>
      </w:r>
    </w:p>
    <w:p w14:paraId="527E8345" w14:textId="105A1FAE" w:rsidR="006D3E6E" w:rsidRPr="006D3E6E" w:rsidRDefault="006D3E6E" w:rsidP="006D3E6E">
      <w:r w:rsidRPr="006D3E6E">
        <w:rPr>
          <w:b/>
          <w:bCs/>
        </w:rPr>
        <w:t>1. Sourcing and Selection Criteria</w:t>
      </w:r>
    </w:p>
    <w:p w14:paraId="5A7EE0EE" w14:textId="77777777" w:rsidR="006D3E6E" w:rsidRPr="006D3E6E" w:rsidRDefault="006D3E6E" w:rsidP="006D3E6E">
      <w:pPr>
        <w:numPr>
          <w:ilvl w:val="0"/>
          <w:numId w:val="1"/>
        </w:numPr>
      </w:pPr>
      <w:r w:rsidRPr="006D3E6E">
        <w:t>We operate a dedicated Network Management department responsible for the assessment, selection, and ongoing monitoring of our sub-custodian network.</w:t>
      </w:r>
    </w:p>
    <w:p w14:paraId="5087F5C2" w14:textId="77777777" w:rsidR="006D3E6E" w:rsidRPr="006D3E6E" w:rsidRDefault="006D3E6E" w:rsidP="006D3E6E">
      <w:pPr>
        <w:numPr>
          <w:ilvl w:val="0"/>
          <w:numId w:val="1"/>
        </w:numPr>
      </w:pPr>
      <w:r w:rsidRPr="006D3E6E">
        <w:t>Selection criteria include: Financial strength and creditworthiness (minimum A- rating), operational capability, IT resilience, local market reputation, and regulatory standing.</w:t>
      </w:r>
    </w:p>
    <w:p w14:paraId="0AEBF184" w14:textId="77777777" w:rsidR="006D3E6E" w:rsidRPr="006D3E6E" w:rsidRDefault="006D3E6E" w:rsidP="006D3E6E">
      <w:pPr>
        <w:numPr>
          <w:ilvl w:val="0"/>
          <w:numId w:val="1"/>
        </w:numPr>
      </w:pPr>
      <w:r w:rsidRPr="006D3E6E">
        <w:rPr>
          <w:b/>
          <w:bCs/>
        </w:rPr>
        <w:t>On-site Visits:</w:t>
      </w:r>
      <w:r w:rsidRPr="006D3E6E">
        <w:t> We undertake mandatory on-site visits to the prospective sub-custodian's premises prior to appointment to assess physical security, vault operations (if applicable), and operational workflows.</w:t>
      </w:r>
    </w:p>
    <w:p w14:paraId="189D06DC" w14:textId="6C7E20B0" w:rsidR="006D3E6E" w:rsidRPr="006D3E6E" w:rsidRDefault="006D3E6E" w:rsidP="006D3E6E">
      <w:r w:rsidRPr="006D3E6E">
        <w:rPr>
          <w:b/>
          <w:bCs/>
        </w:rPr>
        <w:t xml:space="preserve">2. Periodic Due Diligence Review </w:t>
      </w:r>
    </w:p>
    <w:p w14:paraId="5B1CD859" w14:textId="77777777" w:rsidR="006D3E6E" w:rsidRPr="006D3E6E" w:rsidRDefault="006D3E6E" w:rsidP="006D3E6E">
      <w:pPr>
        <w:numPr>
          <w:ilvl w:val="0"/>
          <w:numId w:val="2"/>
        </w:numPr>
      </w:pPr>
      <w:r w:rsidRPr="006D3E6E">
        <w:t>We conduct an </w:t>
      </w:r>
      <w:r w:rsidRPr="006D3E6E">
        <w:rPr>
          <w:b/>
          <w:bCs/>
        </w:rPr>
        <w:t>annual due diligence review</w:t>
      </w:r>
      <w:r w:rsidRPr="006D3E6E">
        <w:t> of all appointed sub-custodians.</w:t>
      </w:r>
    </w:p>
    <w:p w14:paraId="7CA4B189" w14:textId="77777777" w:rsidR="006D3E6E" w:rsidRPr="006D3E6E" w:rsidRDefault="006D3E6E" w:rsidP="006D3E6E">
      <w:pPr>
        <w:numPr>
          <w:ilvl w:val="0"/>
          <w:numId w:val="2"/>
        </w:numPr>
      </w:pPr>
      <w:r w:rsidRPr="006D3E6E">
        <w:t>This annual review process utilizes the standardized </w:t>
      </w:r>
      <w:r w:rsidRPr="006D3E6E">
        <w:rPr>
          <w:b/>
          <w:bCs/>
        </w:rPr>
        <w:t>AFME Due Diligence Questionnaire</w:t>
      </w:r>
      <w:r w:rsidRPr="006D3E6E">
        <w:t> as the baseline assessment tool.</w:t>
      </w:r>
    </w:p>
    <w:p w14:paraId="553BC17D" w14:textId="77777777" w:rsidR="006D3E6E" w:rsidRPr="006D3E6E" w:rsidRDefault="006D3E6E" w:rsidP="006D3E6E">
      <w:pPr>
        <w:numPr>
          <w:ilvl w:val="0"/>
          <w:numId w:val="2"/>
        </w:numPr>
      </w:pPr>
      <w:r w:rsidRPr="006D3E6E">
        <w:t>An out-of-cycle due diligence review will be triggered immediately in the event of: A sovereign downgrade of the market, a significant operational failure by the sub-custodian, or a material change in their ownership structure.</w:t>
      </w:r>
    </w:p>
    <w:p w14:paraId="707AC7D3" w14:textId="0C61320A" w:rsidR="006D3E6E" w:rsidRPr="006D3E6E" w:rsidRDefault="006D3E6E" w:rsidP="006D3E6E">
      <w:r w:rsidRPr="006D3E6E">
        <w:rPr>
          <w:b/>
          <w:bCs/>
        </w:rPr>
        <w:t>3. Contingency Planning</w:t>
      </w:r>
    </w:p>
    <w:p w14:paraId="3150EDAD" w14:textId="77777777" w:rsidR="006D3E6E" w:rsidRPr="006D3E6E" w:rsidRDefault="006D3E6E" w:rsidP="006D3E6E">
      <w:pPr>
        <w:numPr>
          <w:ilvl w:val="0"/>
          <w:numId w:val="3"/>
        </w:numPr>
      </w:pPr>
      <w:r w:rsidRPr="006D3E6E">
        <w:t>For major markets (e.g., US, UK, Japan), we maintain active contingency sub-custodian relationships. We can realign settlement instructions to a contingency sub-custodian within 48 hours in the event of a primary provider default.</w:t>
      </w:r>
    </w:p>
    <w:p w14:paraId="06F06EEB" w14:textId="77777777" w:rsidR="006D3E6E" w:rsidRPr="006D3E6E" w:rsidRDefault="006D3E6E"/>
    <w:sectPr w:rsidR="006D3E6E" w:rsidRPr="006D3E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2AC5"/>
    <w:multiLevelType w:val="multilevel"/>
    <w:tmpl w:val="F2B6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D76E9"/>
    <w:multiLevelType w:val="multilevel"/>
    <w:tmpl w:val="1B4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A5865"/>
    <w:multiLevelType w:val="multilevel"/>
    <w:tmpl w:val="BC2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513336">
    <w:abstractNumId w:val="0"/>
  </w:num>
  <w:num w:numId="2" w16cid:durableId="130293232">
    <w:abstractNumId w:val="2"/>
  </w:num>
  <w:num w:numId="3" w16cid:durableId="1224096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6E"/>
    <w:rsid w:val="006D3E6E"/>
    <w:rsid w:val="009441C8"/>
    <w:rsid w:val="00A50843"/>
    <w:rsid w:val="00C4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F24A9"/>
  <w15:chartTrackingRefBased/>
  <w15:docId w15:val="{A7E3947F-6051-42DC-A463-220D9B1B0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D3E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E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E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E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E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E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E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E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E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E6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E6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E6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E6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E6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E6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D3E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E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E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He</dc:creator>
  <cp:keywords/>
  <dc:description/>
  <cp:lastModifiedBy>Liu He</cp:lastModifiedBy>
  <cp:revision>2</cp:revision>
  <dcterms:created xsi:type="dcterms:W3CDTF">2026-03-26T11:57:00Z</dcterms:created>
  <dcterms:modified xsi:type="dcterms:W3CDTF">2026-05-21T02:59:00Z</dcterms:modified>
</cp:coreProperties>
</file>