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 w:line="240" w:lineRule="auto"/>
        <w:jc w:val="center"/>
      </w:pPr>
      <w:r>
        <w:rPr>
          <w:rFonts w:ascii="Inter" w:hAnsi="Inter" w:eastAsia="Noto Sans CJK SC" w:cs="Inter"/>
          <w:b/>
          <w:i w:val="0"/>
          <w:color w:val="2F3A37"/>
          <w:sz w:val="46"/>
        </w:rPr>
        <w:t>未来人研究所</w:t>
      </w:r>
    </w:p>
    <w:p>
      <w:pPr>
        <w:spacing w:before="0" w:after="40" w:line="240" w:lineRule="auto"/>
        <w:jc w:val="center"/>
      </w:pPr>
      <w:r>
        <w:rPr>
          <w:rFonts w:ascii="Inter" w:hAnsi="Inter" w:eastAsia="Noto Sans CJK SC" w:cs="Inter"/>
          <w:b/>
          <w:i w:val="0"/>
          <w:color w:val="6E7F78"/>
          <w:sz w:val="27"/>
        </w:rPr>
        <w:t>ENTIA FUTURA INSTITUT</w:t>
      </w:r>
    </w:p>
    <w:p>
      <w:pPr>
        <w:spacing w:before="0" w:after="480" w:line="240" w:lineRule="auto"/>
        <w:jc w:val="center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The Institute for Future Beings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8352"/>
            <w:shd w:fill="EEF1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D6DBD8"/>
              <w:left w:val="single" w:sz="6" w:color="D6DBD8"/>
              <w:bottom w:val="single" w:sz="6" w:color="D6DBD8"/>
              <w:right w:val="single" w:sz="6" w:color="D6DBD8"/>
            </w:tcBorders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6"/>
              </w:rPr>
              <w:t>未来我们将如何存在？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eastAsia="Noto Sans CJK SC" w:cs="Inter"/>
                <w:b w:val="0"/>
                <w:i/>
                <w:color w:val="7B827F"/>
                <w:sz w:val="18"/>
              </w:rPr>
              <w:t>How shall we exist in the future?</w:t>
            </w:r>
          </w:p>
        </w:tc>
      </w:tr>
    </w:tbl>
    <w:p/>
    <w:p>
      <w:pPr>
        <w:spacing w:before="160" w:after="160" w:line="336" w:lineRule="auto"/>
        <w:jc w:val="center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一个以高等研究为基础，同时面向研究转化、未来项目与现实协作的独立研究机构。</w:t>
      </w:r>
    </w:p>
    <w:p>
      <w:pPr>
        <w:spacing w:before="0" w:after="1400" w:line="293" w:lineRule="auto"/>
        <w:jc w:val="center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An independent institute grounded in advanced research, committed to research in practice, future ventures, and real-world collaboration.</w:t>
      </w:r>
    </w:p>
    <w:p>
      <w:pPr>
        <w:spacing w:before="0" w:after="0" w:line="240" w:lineRule="auto"/>
        <w:jc w:val="center"/>
      </w:pPr>
      <w:r>
        <w:rPr>
          <w:rFonts w:ascii="Inter" w:hAnsi="Inter" w:eastAsia="Noto Sans CJK SC" w:cs="Inter"/>
          <w:b/>
          <w:i w:val="0"/>
          <w:color w:val="6E7F78"/>
          <w:sz w:val="18"/>
        </w:rPr>
        <w:t>机构简介册</w:t>
      </w:r>
    </w:p>
    <w:p>
      <w:pPr>
        <w:spacing w:before="0" w:after="0" w:line="240" w:lineRule="auto"/>
        <w:jc w:val="center"/>
      </w:pPr>
      <w:r>
        <w:rPr>
          <w:rFonts w:ascii="Inter" w:hAnsi="Inter" w:eastAsia="Noto Sans CJK SC" w:cs="Inter"/>
          <w:b w:val="0"/>
          <w:i w:val="0"/>
          <w:color w:val="7B827F"/>
          <w:sz w:val="17"/>
        </w:rPr>
        <w:t>Institutional Booklet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34" w:bottom="964" w:left="1134" w:header="720" w:footer="720" w:gutter="0"/>
          <w:cols w:space="720"/>
          <w:docGrid w:linePitch="360"/>
        </w:sectPr>
      </w:pPr>
    </w:p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00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目录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Contents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这本小册子简要概述未来人研究所的机构定位、研究方向、项目机制与合作路径，适合用于初次会面、项目交流与机构介绍。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This booklet offers a concise overview of the institute’s positioning, research agenda, program structures, and pathways for collaboration.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01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机构概览  |  Institute Overview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02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使命、愿景与价值观  |  Mission, Vision, Values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03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研究方向  |  Research Areas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04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项目机制  |  Programs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05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研究转化  |  Research in Practice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06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未来项目  |  Future Ventures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07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合作方式  |  Collaboration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08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加入我们  |  Join Us</w:t>
            </w:r>
          </w:p>
        </w:tc>
      </w:tr>
      <w:tr>
        <w:tc>
          <w:tcPr>
            <w:tcW w:type="dxa" w:w="1008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6E7F78"/>
                <w:sz w:val="21"/>
              </w:rPr>
              <w:t>09</w:t>
            </w:r>
          </w:p>
        </w:tc>
        <w:tc>
          <w:tcPr>
            <w:tcW w:type="dxa" w:w="8352"/>
            <w:tcMar>
              <w:top w:w="100" w:type="dxa"/>
              <w:start w:w="60" w:type="dxa"/>
              <w:bottom w:w="100" w:type="dxa"/>
              <w:end w:w="6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21"/>
              </w:rPr>
              <w:t>联系与使用方式  |  Contact &amp; Use Cases</w:t>
            </w:r>
          </w:p>
        </w:tc>
      </w:tr>
    </w:tbl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01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机构概览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Institute Overview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未来人研究所（ENTIA FUTURA INSTITUT）是一个围绕“未来我们将如何存在？”这一核心问题展开工作的独立研究机构。它既不是传统学院，也不是普通咨询公司、内容平台或松散社群，而是试图在大学之外，建立一种新的研究所形态。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Entia Futura Institut is an independent institute organized around one core question: How shall we exist in the future? It is neither a conventional academic department nor a consulting firm, media platform, or loose social community, but an attempt to build a new institutional form beyond the university.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我们以高等研究为基础，同时强调研究向现实问题、合作机制与未来项目的持续转化。也就是说，研究不应只停留在论文与观点层面，而应进入组织实践、空间场景、地方协作、社群机制与社会实验之中。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Grounded in advanced research, the institute is equally committed to translating inquiry into real-world problems, collaborative structures, future-oriented projects, and social experimentation.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352"/>
            <w:shd w:fill="EEF1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D6DBD8"/>
              <w:left w:val="single" w:sz="6" w:color="D6DBD8"/>
              <w:bottom w:val="single" w:sz="6" w:color="D6DBD8"/>
              <w:right w:val="single" w:sz="6" w:color="D6DBD8"/>
            </w:tcBorders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6"/>
              </w:rPr>
              <w:t>研究不是现实的旁观者，而应成为现实中的形成力。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eastAsia="Noto Sans CJK SC" w:cs="Inter"/>
                <w:b w:val="0"/>
                <w:i/>
                <w:color w:val="7B827F"/>
                <w:sz w:val="18"/>
              </w:rPr>
              <w:t>Inquiry should not remain a spectator of reality; it should become a formative force within it.</w:t>
            </w:r>
          </w:p>
        </w:tc>
      </w:tr>
    </w:tbl>
    <w:p/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02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使命、愿景与价值观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Mission, Vision, Values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使命：围绕“未来我们将如何存在？”这一核心问题，连接研究、社群、产业与现实实验。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Mission: To organize research, community, industry, and real-world experimentation around one central question: How shall we exist in the future?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愿景：在大学之外，建立一种更开放、更现实、也更具协作能力的新型研究机构。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Vision: To build a new kind of institute beyond the university - more open, more grounded, and more capable of collaboration.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严肃思考，进入现实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坚持问题意识与现实触感并重，让研究进入组织、地方与合作之中。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跨界连接，拒绝空转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连接研究者、创作者、技术实践者、企业与空间，但跨界不是姿态，而是共同承担问题。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长期主义，反对速成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重视积累、节奏与信任，不追逐即时热度或短期流量。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开放合作，保持判断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欢迎合作，同时珍视研究的独立性与复杂度。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共同建设，而非被动消费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研究所不是一个供人消费的品牌，而是一项需要共同建设的事业。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有思想，也能做事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反对把思想与行动切开，强调研究深度与现实能力并存。</w:t>
            </w:r>
          </w:p>
        </w:tc>
      </w:tr>
    </w:tbl>
    <w:p/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03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研究方向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Research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AI 与未来生活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关注 AI 如何重组学习、劳动、表达、情感与日常存在。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知识生产与新型学习共同体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关注大学转型背景下，新的研究机构、学习机制与知识共同体如何形成。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社群、空间与新的公共生活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关注书店、研究所、城市空间与线上网络如何成为新的公共节点。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地方文化与未来组织形式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关注地方文化、区域产业、青年流动与新型组织机制之间的关系。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商业世界中的研究能力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关注企业如何获得更深的社会理解、文化判断与长期研究能力。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未来共同体与生活形式实验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关注新的生活机制、协作关系、空间原型与组织方式如何在现实中成立。</w:t>
            </w:r>
          </w:p>
        </w:tc>
      </w:tr>
    </w:tbl>
    <w:p/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这些方向并非彼此孤立，而是在“未来我们将如何存在？”这一总问题下持续交叉、互相修正，并逐渐形成研究所独特的方法与语言。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These areas are not isolated domains; they intersect, revise one another, and gradually form the institute’s distinctive language and method.</w:t>
      </w:r>
    </w:p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04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项目机制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Programs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研究项目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专题研究、访谈、观察、案例档案、研究报告与阶段性发布。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公共活动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讲座、圆桌、读书会、工作坊、闭门讨论与主题沙龙。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协作项目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与企业、地方、空间、品牌、学校及各类实践者共同发起研究与项目。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驻留与访问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邀请研究者、写作者、工程师、艺术家、创业者与策展人进行阶段性共同工作。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社群机制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通过讨论网络、成员计划、小组阅读与项目共创，逐步形成真正有质量的共同体。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实验项目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围绕未来学习、未来空间、未来工具、未来社群与未来生活方式发起现实测试。</w:t>
            </w:r>
          </w:p>
        </w:tc>
      </w:tr>
    </w:tbl>
    <w:p/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项目机制的核心不是“做活动”本身，而是让研究、活动、协作、驻留、社群与实验彼此转化，使研究所在现实中拥有持续生成能力。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The point of the program structure is not simply to run events, but to allow research, public programs, collaboration, residencies, community, and experimentation to translate into one another.</w:t>
      </w:r>
    </w:p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05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研究转化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Research in Practice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未来人研究所强调研究转化：让高等研究进入现实问题、组织实践、品牌叙事、空间场景与协作机制之中。研究转化不是降低研究标准，而是让研究获得现实作用力。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The institute emphasizes research in practice: bringing advanced inquiry into real-world problems, organizational work, narrative construction, spaces, and collaborative settings. This is not a lowering of standards, but a way for inquiry to acquire real force.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应用研究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围绕企业、品牌、地方或空间的现实问题开展专题调研、案例分析、访谈与研究输出。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策略与叙事支持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将研究成果转化为品牌叙事、组织语言、公共表达与未来议题框架。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组织与社群设计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参与设计学习计划、青年项目、驻留机制、讨论网络与共同体结构。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空间与场景转化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把研究延伸到书店、空间、展览、地方节点与项目现场。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方法与工具实验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发展可用于研究、写作、协作、教学、社群与未来生活的工具与流程。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</w:tr>
    </w:tbl>
    <w:p/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06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未来项目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Future Ventures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“未来项目”并不是传统意义上的创业孵化器，也不是单纯的商业板块，而是研究所内部的一层现实生成机制：某些问题在经过研究、讨论、活动与合作之后，可能逐渐形成可以持续推进的项目形态。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Future Ventures is not a conventional startup incubator, nor simply a commercial arm, but a generative layer within the institute: some questions, after passing through research, discussion, public programming, and collaboration, may gradually take on sustained project 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数字与技术项目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围绕研究、写作、知识协作、成员网络、未来生活方式与 AI 使用场景开发工具与平台。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学习与社群项目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发展成员计划、青年计划、学习共同体、研究网络与跨城市社群结构。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空间与地方项目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与书店、空间、城市节点、地方产业和区域合作平台共同发起新的实践机制。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品牌与内容项目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将未来议题转化为长期内容系统、出版计划、策展项目、叙事平台或文化品牌。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组织与制度实验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测试新的研究所机制、协作模型、驻留系统、项目结构与新型公共基础设施。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</w:tr>
    </w:tbl>
    <w:p/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我们并不把“创业”理解为对增长的盲目追逐。重要的是，项目是否回应真实问题，是否能形成新的合作关系与组织能力，是否能把研究转化为长期价值。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We do not understand entrepreneurship as blind pursuit of scale. What matters is whether a project responds to a real question, generates new forms of collaboration, and translates inquiry into long-term value.</w:t>
      </w:r>
    </w:p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07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合作方式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Collaboration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未来人研究所欢迎与企业、品牌、地方项目、文化空间、书店、学校及各类组织与个人展开合作。我们理解的合作，不只是项目执行，而是把研究能力、问题意识与现实场景连接起来。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The institute welcomes collaboration with enterprises, brands, place-based initiatives, cultural spaces, bookstores, schools, and a wide range of organizations and individuals. For us, collaboration is not merely execution, but a way of connecting research capacity, problem-consciousness, and real-world settings.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我们合作的对象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组织转型中的企业、寻求长期叙事的品牌、地方项目与区域平台、书店与文化空间、教育机构与社群组织。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合作形式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联合研究、内容共创、闭门讨论与工作坊、品牌与叙事合作、空间与地方合作、青年计划与实验性合作。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我们的合作方法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有明确问题，而不是模糊需求；有长期视角，而不只追逐短期热度；有共同建构的意愿，而不是单向外包。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合作的理想状态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不是“甲方-执行方”的简单关系，而是共同面对问题、共同形成语言、共同推进实验的过程。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352"/>
            <w:shd w:fill="EEF1EF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6" w:color="D6DBD8"/>
              <w:left w:val="single" w:sz="6" w:color="D6DBD8"/>
              <w:bottom w:val="single" w:sz="6" w:color="D6DBD8"/>
              <w:right w:val="single" w:sz="6" w:color="D6DBD8"/>
            </w:tcBorders>
            <w:vAlign w:val="center"/>
          </w:tcPr>
          <w:p>
            <w:pPr>
              <w:spacing w:before="0" w:after="40" w:line="264" w:lineRule="auto"/>
              <w:jc w:val="center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6"/>
              </w:rPr>
              <w:t>合作不是研究的妥协，而是研究进入现实的一种方式。</w:t>
            </w:r>
          </w:p>
          <w:p>
            <w:pPr>
              <w:spacing w:before="0" w:after="0" w:line="264" w:lineRule="auto"/>
              <w:jc w:val="center"/>
            </w:pPr>
            <w:r>
              <w:rPr>
                <w:rFonts w:ascii="Inter" w:hAnsi="Inter" w:eastAsia="Noto Sans CJK SC" w:cs="Inter"/>
                <w:b w:val="0"/>
                <w:i/>
                <w:color w:val="7B827F"/>
                <w:sz w:val="18"/>
              </w:rPr>
              <w:t>Collaboration is not a compromise of research, but one of the ways research enters reality.</w:t>
            </w:r>
          </w:p>
        </w:tc>
      </w:tr>
    </w:tbl>
    <w:p/>
    <w:p>
      <w:pPr>
        <w:spacing w:before="0" w:after="120" w:line="240" w:lineRule="auto"/>
        <w:pBdr>
          <w:bottom w:val="single" w:sz="8" w:space="8" w:color="6E7F78"/>
        </w:pBdr>
      </w:pPr>
      <w:r>
        <w:rPr>
          <w:rFonts w:ascii="Inter" w:hAnsi="Inter" w:eastAsia="Noto Sans CJK SC" w:cs="Inter"/>
          <w:b/>
          <w:i w:val="0"/>
          <w:color w:val="6E7F78"/>
          <w:sz w:val="36"/>
        </w:rPr>
        <w:t>08</w:t>
      </w:r>
      <w:r>
        <w:rPr>
          <w:rFonts w:ascii="Inter" w:hAnsi="Inter" w:eastAsia="Noto Sans CJK SC" w:cs="Inter"/>
          <w:b w:val="0"/>
          <w:i w:val="0"/>
          <w:color w:val="1F2422"/>
          <w:sz w:val="22"/>
        </w:rPr>
        <w:t xml:space="preserve">  </w:t>
      </w:r>
      <w:r>
        <w:rPr>
          <w:rFonts w:ascii="Inter" w:hAnsi="Inter" w:eastAsia="Noto Sans CJK SC" w:cs="Inter"/>
          <w:b/>
          <w:i w:val="0"/>
          <w:color w:val="2F3A37"/>
          <w:sz w:val="40"/>
        </w:rPr>
        <w:t>加入我们</w:t>
      </w:r>
    </w:p>
    <w:p>
      <w:pPr>
        <w:spacing w:before="0" w:after="200" w:line="240" w:lineRule="auto"/>
      </w:pPr>
      <w:r>
        <w:rPr>
          <w:rFonts w:ascii="Inter" w:hAnsi="Inter" w:eastAsia="Noto Sans CJK SC" w:cs="Inter"/>
          <w:b w:val="0"/>
          <w:i/>
          <w:color w:val="7B827F"/>
          <w:sz w:val="20"/>
        </w:rPr>
        <w:t>Join Us</w:t>
      </w:r>
    </w:p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未来人研究所欢迎所有认真对待未来问题的人。加入研究所不一定意味着固定身份，它也可以意味着参与讨论、加入计划、共创项目、提交提案，或在某个阶段与研究所共同工作。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Entia Futura Institut welcomes all those who take the future seriously. Joining the institute does not necessarily mean entering a fixed role; it may mean participating in a program, entering a discussion, co-creating a project, submitting a proposal, or working alongside the institute for a period of 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我们想连接的人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对未来问题有真实兴趣，愿意继续追问，并希望连接思想与现实、研究与行动的人。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参与方式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参与活动、加入社群、共创项目、发起合作、提交提案、成为访问者或驻留者。</w:t>
            </w:r>
          </w:p>
        </w:tc>
      </w:tr>
      <w:tr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8F7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我们重视什么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认真讨论、长期积累、共同承担问题、在不确定中摸索，而不只是寻求曝光或即时回报。</w:t>
            </w:r>
          </w:p>
        </w:tc>
        <w:tc>
          <w:tcPr>
            <w:tcW w:type="dxa" w:w="4392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F1EF"/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</w:tcPr>
          <w:p>
            <w:pPr>
              <w:spacing w:before="0" w:after="60" w:line="240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21"/>
              </w:rPr>
              <w:t>联系与使用场景</w:t>
            </w:r>
          </w:p>
          <w:p>
            <w:pPr>
              <w:spacing w:before="0" w:after="0" w:line="305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8"/>
              </w:rPr>
              <w:t>适用于机构介绍、合作洽谈、项目共创、驻留邀请、城市空间合作、青年计划与成员招募。</w:t>
            </w:r>
          </w:p>
        </w:tc>
      </w:tr>
    </w:tbl>
    <w:p/>
    <w:p>
      <w:pPr>
        <w:spacing w:before="160" w:after="120" w:line="240" w:lineRule="auto"/>
        <w:pBdr>
          <w:bottom w:val="single" w:sz="6" w:space="6" w:color="D7DBD9"/>
        </w:pBdr>
      </w:pPr>
      <w:r>
        <w:rPr>
          <w:rFonts w:ascii="Inter" w:hAnsi="Inter" w:eastAsia="Noto Sans CJK SC" w:cs="Inter"/>
          <w:b/>
          <w:i w:val="0"/>
          <w:color w:val="2F3A37"/>
          <w:sz w:val="22"/>
        </w:rPr>
        <w:t>联系建议 / Suggested Contact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  <w:vAlign w:val="center"/>
            <w:shd w:fill="EEF1EF"/>
          </w:tcPr>
          <w:p>
            <w:pPr>
              <w:spacing w:before="0" w:after="0" w:line="264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19"/>
              </w:rPr>
              <w:t>中文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9"/>
              </w:rPr>
              <w:t>姓名、邮箱、机构 / 公司、联系主题、你的信息</w:t>
            </w:r>
          </w:p>
        </w:tc>
      </w:tr>
      <w:tr>
        <w:tc>
          <w:tcPr>
            <w:tcW w:type="dxa" w:w="2880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  <w:vAlign w:val="center"/>
            <w:shd w:fill="EEF1EF"/>
          </w:tcPr>
          <w:p>
            <w:pPr>
              <w:spacing w:before="0" w:after="0" w:line="264" w:lineRule="auto"/>
            </w:pPr>
            <w:r>
              <w:rPr>
                <w:rFonts w:ascii="Inter" w:hAnsi="Inter" w:eastAsia="Noto Sans CJK SC" w:cs="Inter"/>
                <w:b/>
                <w:i w:val="0"/>
                <w:color w:val="2F3A37"/>
                <w:sz w:val="19"/>
              </w:rPr>
              <w:t>English</w:t>
            </w:r>
          </w:p>
        </w:tc>
        <w:tc>
          <w:tcPr>
            <w:tcW w:type="dxa" w:w="5904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4" w:color="DADDDD"/>
              <w:left w:val="single" w:sz="4" w:color="DADDDD"/>
              <w:bottom w:val="single" w:sz="4" w:color="DADDDD"/>
              <w:right w:val="single" w:sz="4" w:color="DADDDD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Inter" w:hAnsi="Inter" w:eastAsia="Noto Sans CJK SC" w:cs="Inter"/>
                <w:b w:val="0"/>
                <w:i w:val="0"/>
                <w:color w:val="1F2422"/>
                <w:sz w:val="19"/>
              </w:rPr>
              <w:t>Name, Email, Organization / Company, Subject, Your Message</w:t>
            </w:r>
          </w:p>
        </w:tc>
      </w:tr>
    </w:tbl>
    <w:p/>
    <w:p>
      <w:pPr>
        <w:spacing w:before="0" w:after="100" w:line="331" w:lineRule="auto"/>
      </w:pPr>
      <w:r>
        <w:rPr>
          <w:rFonts w:ascii="Inter" w:hAnsi="Inter" w:eastAsia="Noto Sans CJK SC" w:cs="Inter"/>
          <w:b w:val="0"/>
          <w:i w:val="0"/>
          <w:color w:val="1F2422"/>
          <w:sz w:val="21"/>
        </w:rPr>
        <w:t>未来人研究所欢迎所有认真对待未来的人。不是因为他们已经知道答案，而是因为他们愿意一起去寻找。</w:t>
      </w:r>
    </w:p>
    <w:p>
      <w:pPr>
        <w:spacing w:before="0" w:after="160" w:line="288" w:lineRule="auto"/>
      </w:pPr>
      <w:r>
        <w:rPr>
          <w:rFonts w:ascii="Inter" w:hAnsi="Inter" w:eastAsia="Noto Sans CJK SC" w:cs="Inter"/>
          <w:b w:val="0"/>
          <w:i/>
          <w:color w:val="7B827F"/>
          <w:sz w:val="18"/>
        </w:rPr>
        <w:t>The institute welcomes all those who take the future seriously - not because they already know the answer, but because they are willing to search for it together.</w:t>
      </w:r>
    </w:p>
    <w:sectPr w:rsidR="00FC693F" w:rsidRPr="0006063C" w:rsidSect="00034616"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Inter" w:hAnsi="Inter" w:eastAsia="Noto Sans CJK SC" w:cs="Inter"/>
        <w:b w:val="0"/>
        <w:i/>
        <w:color w:val="7B827F"/>
        <w:sz w:val="17"/>
      </w:rPr>
      <w:t xml:space="preserve">How shall we exist in the future?  •  </w:t>
    </w:r>
    <w:r>
      <w:rPr>
        <w:rFonts w:ascii="Inter" w:hAnsi="Inter" w:eastAsia="Noto Sans CJK SC" w:cs="Inter"/>
        <w:color w:val="7B827F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Inter" w:hAnsi="Inter" w:eastAsia="Noto Sans CJK SC" w:cs="Inter"/>
        <w:b w:val="0"/>
        <w:i w:val="0"/>
        <w:color w:val="7B827F"/>
        <w:sz w:val="17"/>
      </w:rPr>
      <w:t>未来人研究所  |  ENTIA FUTURA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Noto Sans CJK SC"/>
      <w:color w:val="1F24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