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CB26" w14:textId="77777777" w:rsidR="00E62EBD" w:rsidRDefault="00000000">
      <w:pPr>
        <w:pStyle w:val="Heading1"/>
        <w:spacing w:line="240" w:lineRule="auto"/>
      </w:pPr>
      <w:r>
        <w:t>PROJECT</w:t>
      </w:r>
      <w:r>
        <w:rPr>
          <w:spacing w:val="-3"/>
        </w:rPr>
        <w:t xml:space="preserve"> </w:t>
      </w:r>
      <w:r>
        <w:t>STAGE</w:t>
      </w:r>
      <w:r>
        <w:rPr>
          <w:spacing w:val="-8"/>
        </w:rPr>
        <w:t xml:space="preserve"> </w:t>
      </w:r>
      <w:r>
        <w:t xml:space="preserve">I </w:t>
      </w:r>
      <w:r>
        <w:rPr>
          <w:spacing w:val="-2"/>
        </w:rPr>
        <w:t>REPORT</w:t>
      </w:r>
    </w:p>
    <w:p w14:paraId="7C5F4FCF" w14:textId="77777777" w:rsidR="00E62EBD" w:rsidRDefault="00000000">
      <w:pPr>
        <w:pStyle w:val="Heading2"/>
        <w:spacing w:before="361"/>
        <w:ind w:right="662"/>
      </w:pPr>
      <w:r>
        <w:rPr>
          <w:spacing w:val="-5"/>
        </w:rPr>
        <w:t>ON</w:t>
      </w:r>
    </w:p>
    <w:p w14:paraId="3A7EDDCE" w14:textId="1A209304" w:rsidR="001C090F" w:rsidRPr="001C090F" w:rsidRDefault="001C090F" w:rsidP="001C090F">
      <w:pPr>
        <w:pStyle w:val="BodyText"/>
        <w:spacing w:before="6"/>
        <w:ind w:left="971" w:right="676"/>
        <w:jc w:val="center"/>
        <w:rPr>
          <w:b/>
          <w:bCs/>
          <w:sz w:val="40"/>
          <w:szCs w:val="40"/>
          <w:lang w:val="en-IN"/>
        </w:rPr>
      </w:pPr>
      <w:r w:rsidRPr="001C090F">
        <w:rPr>
          <w:b/>
          <w:bCs/>
          <w:sz w:val="40"/>
          <w:szCs w:val="40"/>
          <w:lang w:val="en-IN"/>
        </w:rPr>
        <w:t>Edge AI-Powered Smart Microscope for Microplastic Detection in Water</w:t>
      </w:r>
    </w:p>
    <w:p w14:paraId="57EBF8B3" w14:textId="77777777" w:rsidR="00E62EBD" w:rsidRDefault="00E62EBD">
      <w:pPr>
        <w:pStyle w:val="BodyText"/>
      </w:pPr>
    </w:p>
    <w:p w14:paraId="12B0DE45" w14:textId="77777777" w:rsidR="00E62EBD" w:rsidRDefault="00E62EBD">
      <w:pPr>
        <w:pStyle w:val="BodyText"/>
        <w:spacing w:before="274"/>
      </w:pPr>
    </w:p>
    <w:p w14:paraId="264BBE7B" w14:textId="77777777" w:rsidR="00E62EBD" w:rsidRDefault="00000000">
      <w:pPr>
        <w:pStyle w:val="Heading2"/>
      </w:pPr>
      <w:r>
        <w:t>SUBMITTED</w:t>
      </w:r>
      <w:r>
        <w:rPr>
          <w:spacing w:val="-15"/>
        </w:rPr>
        <w:t xml:space="preserve"> </w:t>
      </w:r>
      <w:r>
        <w:rPr>
          <w:spacing w:val="-5"/>
        </w:rPr>
        <w:t>BY</w:t>
      </w:r>
    </w:p>
    <w:p w14:paraId="4533E049" w14:textId="77777777" w:rsidR="001C090F" w:rsidRDefault="001C090F" w:rsidP="009243A3">
      <w:pPr>
        <w:spacing w:before="2"/>
        <w:ind w:left="4007" w:right="3406" w:hanging="321"/>
        <w:jc w:val="center"/>
        <w:rPr>
          <w:sz w:val="32"/>
        </w:rPr>
      </w:pPr>
      <w:r>
        <w:rPr>
          <w:sz w:val="32"/>
        </w:rPr>
        <w:t>Aditi Jadhav</w:t>
      </w:r>
    </w:p>
    <w:p w14:paraId="4A5779FB" w14:textId="21D848A7" w:rsidR="009243A3" w:rsidRDefault="009243A3" w:rsidP="009243A3">
      <w:pPr>
        <w:spacing w:before="2"/>
        <w:ind w:left="4007" w:right="3406" w:hanging="321"/>
        <w:jc w:val="center"/>
        <w:rPr>
          <w:sz w:val="32"/>
        </w:rPr>
      </w:pPr>
      <w:r>
        <w:rPr>
          <w:sz w:val="32"/>
        </w:rPr>
        <w:t>Sakshi Jagtap</w:t>
      </w:r>
    </w:p>
    <w:p w14:paraId="5676B8AC" w14:textId="5F42175E" w:rsidR="00E62EBD" w:rsidRDefault="009243A3" w:rsidP="009243A3">
      <w:pPr>
        <w:spacing w:before="2"/>
        <w:ind w:left="4007" w:right="3406" w:hanging="321"/>
        <w:jc w:val="center"/>
      </w:pPr>
      <w:r>
        <w:rPr>
          <w:sz w:val="32"/>
        </w:rPr>
        <w:t>Mohammad Suhail</w:t>
      </w:r>
    </w:p>
    <w:p w14:paraId="23978C08" w14:textId="77777777" w:rsidR="00E62EBD" w:rsidRDefault="00E62EBD">
      <w:pPr>
        <w:pStyle w:val="BodyText"/>
      </w:pPr>
    </w:p>
    <w:p w14:paraId="07E3D7D1" w14:textId="77777777" w:rsidR="00E62EBD" w:rsidRDefault="00E62EBD">
      <w:pPr>
        <w:pStyle w:val="BodyText"/>
        <w:spacing w:before="94"/>
      </w:pPr>
    </w:p>
    <w:p w14:paraId="5F3C8FFA" w14:textId="77777777" w:rsidR="002250B2" w:rsidRDefault="00000000">
      <w:pPr>
        <w:spacing w:line="237" w:lineRule="auto"/>
        <w:ind w:left="3964" w:right="2717" w:hanging="240"/>
        <w:rPr>
          <w:sz w:val="32"/>
        </w:rPr>
      </w:pPr>
      <w:r>
        <w:rPr>
          <w:sz w:val="32"/>
        </w:rPr>
        <w:t>Under</w:t>
      </w:r>
      <w:r>
        <w:rPr>
          <w:spacing w:val="-12"/>
          <w:sz w:val="32"/>
        </w:rPr>
        <w:t xml:space="preserve"> </w:t>
      </w:r>
      <w:r>
        <w:rPr>
          <w:sz w:val="32"/>
        </w:rPr>
        <w:t>the</w:t>
      </w:r>
      <w:r>
        <w:rPr>
          <w:spacing w:val="-14"/>
          <w:sz w:val="32"/>
        </w:rPr>
        <w:t xml:space="preserve"> </w:t>
      </w:r>
      <w:r>
        <w:rPr>
          <w:sz w:val="32"/>
        </w:rPr>
        <w:t>Guidance</w:t>
      </w:r>
      <w:r>
        <w:rPr>
          <w:spacing w:val="-14"/>
          <w:sz w:val="32"/>
        </w:rPr>
        <w:t xml:space="preserve"> </w:t>
      </w:r>
      <w:r>
        <w:rPr>
          <w:sz w:val="32"/>
        </w:rPr>
        <w:t xml:space="preserve">of </w:t>
      </w:r>
    </w:p>
    <w:p w14:paraId="4ADB1649" w14:textId="316C4409" w:rsidR="00E62EBD" w:rsidRPr="002250B2" w:rsidRDefault="002250B2" w:rsidP="002250B2">
      <w:pPr>
        <w:spacing w:line="237" w:lineRule="auto"/>
        <w:ind w:left="3964" w:right="3406" w:hanging="240"/>
        <w:jc w:val="center"/>
        <w:rPr>
          <w:bCs/>
          <w:sz w:val="32"/>
        </w:rPr>
      </w:pPr>
      <w:r w:rsidRPr="002250B2">
        <w:rPr>
          <w:bCs/>
          <w:sz w:val="28"/>
        </w:rPr>
        <w:t>Dr.</w:t>
      </w:r>
      <w:r w:rsidRPr="002250B2">
        <w:rPr>
          <w:bCs/>
          <w:spacing w:val="-10"/>
          <w:sz w:val="28"/>
        </w:rPr>
        <w:t xml:space="preserve"> </w:t>
      </w:r>
      <w:r w:rsidRPr="002250B2">
        <w:rPr>
          <w:bCs/>
          <w:sz w:val="28"/>
        </w:rPr>
        <w:t>Mrs.</w:t>
      </w:r>
      <w:r w:rsidRPr="002250B2">
        <w:rPr>
          <w:bCs/>
          <w:spacing w:val="1"/>
          <w:sz w:val="28"/>
        </w:rPr>
        <w:t xml:space="preserve"> </w:t>
      </w:r>
      <w:r w:rsidRPr="002250B2">
        <w:rPr>
          <w:bCs/>
          <w:sz w:val="28"/>
        </w:rPr>
        <w:t>R.</w:t>
      </w:r>
      <w:r w:rsidRPr="002250B2">
        <w:rPr>
          <w:bCs/>
          <w:spacing w:val="-4"/>
          <w:sz w:val="28"/>
        </w:rPr>
        <w:t xml:space="preserve"> </w:t>
      </w:r>
      <w:r w:rsidRPr="002250B2">
        <w:rPr>
          <w:bCs/>
          <w:sz w:val="28"/>
        </w:rPr>
        <w:t>S.</w:t>
      </w:r>
      <w:r w:rsidRPr="002250B2">
        <w:rPr>
          <w:bCs/>
          <w:spacing w:val="1"/>
          <w:sz w:val="28"/>
        </w:rPr>
        <w:t xml:space="preserve"> </w:t>
      </w:r>
      <w:proofErr w:type="spellStart"/>
      <w:r w:rsidRPr="002250B2">
        <w:rPr>
          <w:bCs/>
          <w:spacing w:val="-2"/>
          <w:sz w:val="28"/>
        </w:rPr>
        <w:t>Kamathe</w:t>
      </w:r>
      <w:proofErr w:type="spellEnd"/>
    </w:p>
    <w:p w14:paraId="51F2D28C" w14:textId="77777777" w:rsidR="00E62EBD" w:rsidRDefault="00E62EBD">
      <w:pPr>
        <w:pStyle w:val="BodyText"/>
        <w:rPr>
          <w:sz w:val="20"/>
        </w:rPr>
      </w:pPr>
    </w:p>
    <w:p w14:paraId="6B843181" w14:textId="77777777" w:rsidR="00E62EBD" w:rsidRDefault="00000000">
      <w:pPr>
        <w:pStyle w:val="BodyText"/>
        <w:spacing w:before="229"/>
        <w:rPr>
          <w:sz w:val="20"/>
        </w:rPr>
      </w:pPr>
      <w:r>
        <w:rPr>
          <w:noProof/>
          <w:sz w:val="20"/>
        </w:rPr>
        <w:drawing>
          <wp:anchor distT="0" distB="0" distL="0" distR="0" simplePos="0" relativeHeight="487587840" behindDoc="1" locked="0" layoutInCell="1" allowOverlap="1" wp14:anchorId="38526007" wp14:editId="4B3ACCD3">
            <wp:simplePos x="0" y="0"/>
            <wp:positionH relativeFrom="page">
              <wp:posOffset>3246720</wp:posOffset>
            </wp:positionH>
            <wp:positionV relativeFrom="paragraph">
              <wp:posOffset>307004</wp:posOffset>
            </wp:positionV>
            <wp:extent cx="1005150" cy="1348739"/>
            <wp:effectExtent l="0" t="0" r="0" b="0"/>
            <wp:wrapTopAndBottom/>
            <wp:docPr id="1" name="Image 1" descr="Modern 2017 logo-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odern 2017 logo-1"/>
                    <pic:cNvPicPr/>
                  </pic:nvPicPr>
                  <pic:blipFill>
                    <a:blip r:embed="rId5" cstate="print"/>
                    <a:stretch>
                      <a:fillRect/>
                    </a:stretch>
                  </pic:blipFill>
                  <pic:spPr>
                    <a:xfrm>
                      <a:off x="0" y="0"/>
                      <a:ext cx="1005150" cy="1348739"/>
                    </a:xfrm>
                    <a:prstGeom prst="rect">
                      <a:avLst/>
                    </a:prstGeom>
                  </pic:spPr>
                </pic:pic>
              </a:graphicData>
            </a:graphic>
          </wp:anchor>
        </w:drawing>
      </w:r>
    </w:p>
    <w:p w14:paraId="496C0A3D" w14:textId="77777777" w:rsidR="00E62EBD" w:rsidRDefault="00E62EBD">
      <w:pPr>
        <w:pStyle w:val="BodyText"/>
        <w:spacing w:before="38"/>
        <w:rPr>
          <w:sz w:val="32"/>
        </w:rPr>
      </w:pPr>
    </w:p>
    <w:p w14:paraId="50D1A10C" w14:textId="77777777" w:rsidR="00E62EBD" w:rsidRDefault="00000000">
      <w:pPr>
        <w:spacing w:line="242" w:lineRule="auto"/>
        <w:ind w:left="971" w:right="551"/>
        <w:jc w:val="center"/>
        <w:rPr>
          <w:sz w:val="28"/>
        </w:rPr>
      </w:pPr>
      <w:r>
        <w:rPr>
          <w:sz w:val="28"/>
        </w:rPr>
        <w:t>DEPARTMENT</w:t>
      </w:r>
      <w:r>
        <w:rPr>
          <w:spacing w:val="-12"/>
          <w:sz w:val="28"/>
        </w:rPr>
        <w:t xml:space="preserve"> </w:t>
      </w:r>
      <w:r>
        <w:rPr>
          <w:sz w:val="28"/>
        </w:rPr>
        <w:t>OF</w:t>
      </w:r>
      <w:r>
        <w:rPr>
          <w:spacing w:val="-13"/>
          <w:sz w:val="28"/>
        </w:rPr>
        <w:t xml:space="preserve"> </w:t>
      </w:r>
      <w:r>
        <w:rPr>
          <w:sz w:val="28"/>
        </w:rPr>
        <w:t>ELECTRONICS</w:t>
      </w:r>
      <w:r>
        <w:rPr>
          <w:spacing w:val="-11"/>
          <w:sz w:val="28"/>
        </w:rPr>
        <w:t xml:space="preserve"> </w:t>
      </w:r>
      <w:r>
        <w:rPr>
          <w:sz w:val="28"/>
        </w:rPr>
        <w:t>&amp;</w:t>
      </w:r>
      <w:r>
        <w:rPr>
          <w:spacing w:val="-11"/>
          <w:sz w:val="28"/>
        </w:rPr>
        <w:t xml:space="preserve"> </w:t>
      </w:r>
      <w:r>
        <w:rPr>
          <w:sz w:val="28"/>
        </w:rPr>
        <w:t>TELECOMMUNICATION P.E.S’S MODERN COLLEGE OF ENGINEERING</w:t>
      </w:r>
    </w:p>
    <w:p w14:paraId="151C2FDD" w14:textId="77777777" w:rsidR="00E62EBD" w:rsidRDefault="00000000">
      <w:pPr>
        <w:spacing w:line="320" w:lineRule="exact"/>
        <w:ind w:left="973" w:right="551"/>
        <w:jc w:val="center"/>
        <w:rPr>
          <w:sz w:val="28"/>
        </w:rPr>
      </w:pPr>
      <w:r>
        <w:rPr>
          <w:sz w:val="28"/>
        </w:rPr>
        <w:t>PUNE</w:t>
      </w:r>
      <w:r>
        <w:rPr>
          <w:spacing w:val="-5"/>
          <w:sz w:val="28"/>
        </w:rPr>
        <w:t xml:space="preserve"> </w:t>
      </w:r>
      <w:r>
        <w:rPr>
          <w:sz w:val="28"/>
        </w:rPr>
        <w:t>–</w:t>
      </w:r>
      <w:r>
        <w:rPr>
          <w:spacing w:val="-3"/>
          <w:sz w:val="28"/>
        </w:rPr>
        <w:t xml:space="preserve"> </w:t>
      </w:r>
      <w:r>
        <w:rPr>
          <w:sz w:val="28"/>
        </w:rPr>
        <w:t>411</w:t>
      </w:r>
      <w:r>
        <w:rPr>
          <w:spacing w:val="-4"/>
          <w:sz w:val="28"/>
        </w:rPr>
        <w:t xml:space="preserve"> 005.</w:t>
      </w:r>
    </w:p>
    <w:p w14:paraId="7564F757" w14:textId="77777777" w:rsidR="00E62EBD" w:rsidRDefault="00000000">
      <w:pPr>
        <w:pStyle w:val="BodyText"/>
        <w:spacing w:before="6"/>
        <w:rPr>
          <w:sz w:val="14"/>
        </w:rPr>
      </w:pPr>
      <w:r>
        <w:rPr>
          <w:noProof/>
          <w:sz w:val="14"/>
        </w:rPr>
        <w:drawing>
          <wp:anchor distT="0" distB="0" distL="0" distR="0" simplePos="0" relativeHeight="487588352" behindDoc="1" locked="0" layoutInCell="1" allowOverlap="1" wp14:anchorId="29D0A427" wp14:editId="44363C6B">
            <wp:simplePos x="0" y="0"/>
            <wp:positionH relativeFrom="page">
              <wp:posOffset>3184850</wp:posOffset>
            </wp:positionH>
            <wp:positionV relativeFrom="paragraph">
              <wp:posOffset>121647</wp:posOffset>
            </wp:positionV>
            <wp:extent cx="1409910" cy="1057275"/>
            <wp:effectExtent l="0" t="0" r="0" b="0"/>
            <wp:wrapTopAndBottom/>
            <wp:docPr id="2" name="Image 2" descr="University Embl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niversity Emblem"/>
                    <pic:cNvPicPr/>
                  </pic:nvPicPr>
                  <pic:blipFill>
                    <a:blip r:embed="rId6" cstate="print"/>
                    <a:stretch>
                      <a:fillRect/>
                    </a:stretch>
                  </pic:blipFill>
                  <pic:spPr>
                    <a:xfrm>
                      <a:off x="0" y="0"/>
                      <a:ext cx="1409910" cy="1057275"/>
                    </a:xfrm>
                    <a:prstGeom prst="rect">
                      <a:avLst/>
                    </a:prstGeom>
                  </pic:spPr>
                </pic:pic>
              </a:graphicData>
            </a:graphic>
          </wp:anchor>
        </w:drawing>
      </w:r>
    </w:p>
    <w:p w14:paraId="3D71BE70" w14:textId="77777777" w:rsidR="00E62EBD" w:rsidRDefault="00000000">
      <w:pPr>
        <w:pStyle w:val="Heading2"/>
      </w:pPr>
      <w:r>
        <w:t>SAVITRIBAI</w:t>
      </w:r>
      <w:r>
        <w:rPr>
          <w:spacing w:val="-18"/>
        </w:rPr>
        <w:t xml:space="preserve"> </w:t>
      </w:r>
      <w:r>
        <w:t>PHULE</w:t>
      </w:r>
      <w:r>
        <w:rPr>
          <w:spacing w:val="-3"/>
        </w:rPr>
        <w:t xml:space="preserve"> </w:t>
      </w:r>
      <w:r>
        <w:t>PUNE</w:t>
      </w:r>
      <w:r>
        <w:rPr>
          <w:spacing w:val="-6"/>
        </w:rPr>
        <w:t xml:space="preserve"> </w:t>
      </w:r>
      <w:r>
        <w:rPr>
          <w:spacing w:val="-2"/>
        </w:rPr>
        <w:t>UNIVERSITY</w:t>
      </w:r>
    </w:p>
    <w:p w14:paraId="4FA3B603" w14:textId="673CE771" w:rsidR="00E62EBD" w:rsidRDefault="00000000">
      <w:pPr>
        <w:tabs>
          <w:tab w:val="left" w:pos="7268"/>
        </w:tabs>
        <w:ind w:left="3902"/>
        <w:rPr>
          <w:sz w:val="32"/>
        </w:rPr>
      </w:pPr>
      <w:r>
        <w:rPr>
          <w:sz w:val="32"/>
        </w:rPr>
        <w:t xml:space="preserve">Academic Year: </w:t>
      </w:r>
      <w:r w:rsidR="009243A3" w:rsidRPr="001E13A0">
        <w:rPr>
          <w:bCs/>
          <w:sz w:val="32"/>
          <w:szCs w:val="32"/>
        </w:rPr>
        <w:t>2026–2027</w:t>
      </w:r>
    </w:p>
    <w:p w14:paraId="568A7D6F" w14:textId="77777777" w:rsidR="00E62EBD" w:rsidRDefault="00E62EBD">
      <w:pPr>
        <w:rPr>
          <w:sz w:val="32"/>
        </w:rPr>
        <w:sectPr w:rsidR="00E62EBD">
          <w:type w:val="continuous"/>
          <w:pgSz w:w="11910" w:h="16840"/>
          <w:pgMar w:top="1360" w:right="1133" w:bottom="280" w:left="708" w:header="720" w:footer="720" w:gutter="0"/>
          <w:cols w:space="720"/>
        </w:sectPr>
      </w:pPr>
    </w:p>
    <w:p w14:paraId="19FAFE31" w14:textId="77777777" w:rsidR="00E62EBD" w:rsidRPr="002250B2" w:rsidRDefault="00000000">
      <w:pPr>
        <w:pStyle w:val="Heading2"/>
        <w:spacing w:before="76"/>
        <w:ind w:right="668"/>
        <w:rPr>
          <w:b/>
          <w:bCs/>
        </w:rPr>
      </w:pPr>
      <w:r w:rsidRPr="002250B2">
        <w:rPr>
          <w:b/>
          <w:bCs/>
          <w:spacing w:val="-2"/>
        </w:rPr>
        <w:lastRenderedPageBreak/>
        <w:t>CERTIFICATE</w:t>
      </w:r>
    </w:p>
    <w:p w14:paraId="4CF662BC" w14:textId="77777777" w:rsidR="00E62EBD" w:rsidRDefault="00E62EBD">
      <w:pPr>
        <w:pStyle w:val="BodyText"/>
        <w:spacing w:before="1"/>
        <w:rPr>
          <w:sz w:val="32"/>
        </w:rPr>
      </w:pPr>
    </w:p>
    <w:p w14:paraId="2336A455" w14:textId="77777777" w:rsidR="00E62EBD" w:rsidRDefault="00000000">
      <w:pPr>
        <w:pStyle w:val="BodyText"/>
        <w:ind w:left="971" w:right="672"/>
        <w:jc w:val="center"/>
      </w:pPr>
      <w:r>
        <w:t>(Size</w:t>
      </w:r>
      <w:r>
        <w:rPr>
          <w:spacing w:val="-4"/>
        </w:rPr>
        <w:t xml:space="preserve"> </w:t>
      </w:r>
      <w:r>
        <w:t>16</w:t>
      </w:r>
      <w:r>
        <w:rPr>
          <w:spacing w:val="-3"/>
        </w:rPr>
        <w:t xml:space="preserve"> </w:t>
      </w:r>
      <w:r>
        <w:t>Times</w:t>
      </w:r>
      <w:r>
        <w:rPr>
          <w:spacing w:val="-4"/>
        </w:rPr>
        <w:t xml:space="preserve"> </w:t>
      </w:r>
      <w:r>
        <w:t>New</w:t>
      </w:r>
      <w:r>
        <w:rPr>
          <w:spacing w:val="-4"/>
        </w:rPr>
        <w:t xml:space="preserve"> </w:t>
      </w:r>
      <w:r>
        <w:t xml:space="preserve">Roman, </w:t>
      </w:r>
      <w:r>
        <w:rPr>
          <w:spacing w:val="-4"/>
        </w:rPr>
        <w:t>Bold)</w:t>
      </w:r>
    </w:p>
    <w:p w14:paraId="024B2926" w14:textId="77777777" w:rsidR="00E62EBD" w:rsidRDefault="00E62EBD">
      <w:pPr>
        <w:pStyle w:val="BodyText"/>
      </w:pPr>
    </w:p>
    <w:p w14:paraId="1876493C" w14:textId="77777777" w:rsidR="00E62EBD" w:rsidRDefault="00E62EBD">
      <w:pPr>
        <w:pStyle w:val="BodyText"/>
      </w:pPr>
    </w:p>
    <w:p w14:paraId="0CE43FA5" w14:textId="77777777" w:rsidR="00E62EBD" w:rsidRDefault="00E62EBD">
      <w:pPr>
        <w:pStyle w:val="BodyText"/>
      </w:pPr>
    </w:p>
    <w:p w14:paraId="2B6A53F1" w14:textId="77777777" w:rsidR="00E62EBD" w:rsidRDefault="00E62EBD">
      <w:pPr>
        <w:pStyle w:val="BodyText"/>
        <w:spacing w:before="3"/>
      </w:pPr>
    </w:p>
    <w:p w14:paraId="29230477" w14:textId="77777777" w:rsidR="00E62EBD" w:rsidRDefault="00000000">
      <w:pPr>
        <w:pStyle w:val="BodyText"/>
        <w:ind w:left="372"/>
      </w:pPr>
      <w:r>
        <w:t>This</w:t>
      </w:r>
      <w:r>
        <w:rPr>
          <w:spacing w:val="-3"/>
        </w:rPr>
        <w:t xml:space="preserve"> </w:t>
      </w:r>
      <w:r>
        <w:t>is</w:t>
      </w:r>
      <w:r>
        <w:rPr>
          <w:spacing w:val="-5"/>
        </w:rPr>
        <w:t xml:space="preserve"> </w:t>
      </w:r>
      <w:r>
        <w:t>to</w:t>
      </w:r>
      <w:r>
        <w:rPr>
          <w:spacing w:val="2"/>
        </w:rPr>
        <w:t xml:space="preserve"> </w:t>
      </w:r>
      <w:r>
        <w:t>certify</w:t>
      </w:r>
      <w:r>
        <w:rPr>
          <w:spacing w:val="-7"/>
        </w:rPr>
        <w:t xml:space="preserve"> </w:t>
      </w:r>
      <w:r>
        <w:rPr>
          <w:spacing w:val="-4"/>
        </w:rPr>
        <w:t>that</w:t>
      </w:r>
    </w:p>
    <w:p w14:paraId="3F6F20BF" w14:textId="77777777" w:rsidR="00E62EBD" w:rsidRDefault="00E62EBD">
      <w:pPr>
        <w:pStyle w:val="BodyText"/>
        <w:spacing w:before="6"/>
      </w:pPr>
    </w:p>
    <w:p w14:paraId="25481F39" w14:textId="0F61EFC0" w:rsidR="00E62EBD" w:rsidRDefault="009243A3">
      <w:pPr>
        <w:tabs>
          <w:tab w:val="left" w:pos="4694"/>
        </w:tabs>
        <w:ind w:left="372"/>
        <w:rPr>
          <w:b/>
          <w:sz w:val="28"/>
        </w:rPr>
      </w:pPr>
      <w:r>
        <w:rPr>
          <w:b/>
          <w:sz w:val="28"/>
        </w:rPr>
        <w:t>Aditi Jadhav</w:t>
      </w:r>
      <w:r w:rsidR="00000000">
        <w:rPr>
          <w:b/>
          <w:sz w:val="28"/>
        </w:rPr>
        <w:tab/>
        <w:t>Exam</w:t>
      </w:r>
      <w:r w:rsidR="00000000">
        <w:rPr>
          <w:b/>
          <w:spacing w:val="-7"/>
          <w:sz w:val="28"/>
        </w:rPr>
        <w:t xml:space="preserve"> </w:t>
      </w:r>
      <w:r w:rsidR="00000000">
        <w:rPr>
          <w:b/>
          <w:spacing w:val="-5"/>
          <w:sz w:val="28"/>
        </w:rPr>
        <w:t>No.</w:t>
      </w:r>
    </w:p>
    <w:p w14:paraId="5AE28D65" w14:textId="773A8CCB" w:rsidR="00E62EBD" w:rsidRDefault="002250B2">
      <w:pPr>
        <w:tabs>
          <w:tab w:val="left" w:pos="4694"/>
        </w:tabs>
        <w:spacing w:before="322"/>
        <w:ind w:left="372"/>
        <w:rPr>
          <w:b/>
          <w:sz w:val="28"/>
        </w:rPr>
      </w:pPr>
      <w:r>
        <w:rPr>
          <w:b/>
          <w:sz w:val="28"/>
        </w:rPr>
        <w:t>Sakshi Jagtap</w:t>
      </w:r>
      <w:r w:rsidR="00000000">
        <w:rPr>
          <w:b/>
          <w:sz w:val="28"/>
        </w:rPr>
        <w:tab/>
        <w:t>Exam</w:t>
      </w:r>
      <w:r w:rsidR="00000000">
        <w:rPr>
          <w:b/>
          <w:spacing w:val="-7"/>
          <w:sz w:val="28"/>
        </w:rPr>
        <w:t xml:space="preserve"> </w:t>
      </w:r>
      <w:r w:rsidR="00000000">
        <w:rPr>
          <w:b/>
          <w:spacing w:val="-5"/>
          <w:sz w:val="28"/>
        </w:rPr>
        <w:t>No.</w:t>
      </w:r>
    </w:p>
    <w:p w14:paraId="405744AB" w14:textId="756AB7F8" w:rsidR="00E62EBD" w:rsidRDefault="002250B2">
      <w:pPr>
        <w:tabs>
          <w:tab w:val="left" w:pos="4694"/>
        </w:tabs>
        <w:spacing w:before="321"/>
        <w:ind w:left="372"/>
        <w:rPr>
          <w:b/>
          <w:sz w:val="28"/>
        </w:rPr>
      </w:pPr>
      <w:r>
        <w:rPr>
          <w:b/>
          <w:sz w:val="28"/>
        </w:rPr>
        <w:t>Mohammad Suhail</w:t>
      </w:r>
      <w:r w:rsidR="00000000">
        <w:rPr>
          <w:b/>
          <w:sz w:val="28"/>
        </w:rPr>
        <w:tab/>
        <w:t>Exam</w:t>
      </w:r>
      <w:r w:rsidR="00000000">
        <w:rPr>
          <w:b/>
          <w:spacing w:val="-7"/>
          <w:sz w:val="28"/>
        </w:rPr>
        <w:t xml:space="preserve"> </w:t>
      </w:r>
      <w:r w:rsidR="00000000">
        <w:rPr>
          <w:b/>
          <w:spacing w:val="-5"/>
          <w:sz w:val="28"/>
        </w:rPr>
        <w:t>No.</w:t>
      </w:r>
    </w:p>
    <w:p w14:paraId="58DA8A91" w14:textId="77777777" w:rsidR="00E62EBD" w:rsidRDefault="00E62EBD">
      <w:pPr>
        <w:pStyle w:val="BodyText"/>
        <w:spacing w:before="273"/>
      </w:pPr>
    </w:p>
    <w:p w14:paraId="5302D04A" w14:textId="05EE1720" w:rsidR="00E62EBD" w:rsidRPr="002250B2" w:rsidRDefault="00000000" w:rsidP="002250B2">
      <w:pPr>
        <w:pStyle w:val="BodyText"/>
        <w:tabs>
          <w:tab w:val="left" w:pos="8377"/>
        </w:tabs>
        <w:spacing w:line="360" w:lineRule="auto"/>
        <w:ind w:left="372" w:right="65"/>
        <w:jc w:val="both"/>
        <w:rPr>
          <w:b/>
          <w:bCs/>
          <w:lang w:val="en-IN"/>
        </w:rPr>
      </w:pPr>
      <w:r>
        <w:t xml:space="preserve">of B.E. (E&amp;TC / ECE) have successfully completed the Project Stage I titled </w:t>
      </w:r>
      <w:r w:rsidR="002250B2">
        <w:t>“</w:t>
      </w:r>
      <w:r w:rsidR="002250B2" w:rsidRPr="002250B2">
        <w:rPr>
          <w:b/>
          <w:bCs/>
          <w:lang w:val="en-IN"/>
        </w:rPr>
        <w:t>Edge AI-Powered Smart Microscope for Microplastic Detection in Water</w:t>
      </w:r>
      <w:r w:rsidR="002250B2">
        <w:rPr>
          <w:b/>
          <w:bCs/>
          <w:lang w:val="en-IN"/>
        </w:rPr>
        <w:t xml:space="preserve">” </w:t>
      </w:r>
      <w:r>
        <w:t>during</w:t>
      </w:r>
      <w:r>
        <w:rPr>
          <w:spacing w:val="40"/>
        </w:rPr>
        <w:t xml:space="preserve"> </w:t>
      </w:r>
      <w:r>
        <w:t>the</w:t>
      </w:r>
      <w:r>
        <w:rPr>
          <w:spacing w:val="40"/>
        </w:rPr>
        <w:t xml:space="preserve"> </w:t>
      </w:r>
      <w:r>
        <w:t>academic</w:t>
      </w:r>
      <w:r>
        <w:rPr>
          <w:spacing w:val="40"/>
        </w:rPr>
        <w:t xml:space="preserve"> </w:t>
      </w:r>
      <w:r>
        <w:t>during</w:t>
      </w:r>
      <w:r>
        <w:rPr>
          <w:spacing w:val="40"/>
        </w:rPr>
        <w:t xml:space="preserve"> </w:t>
      </w:r>
      <w:r>
        <w:t>the</w:t>
      </w:r>
      <w:r>
        <w:rPr>
          <w:spacing w:val="40"/>
        </w:rPr>
        <w:t xml:space="preserve"> </w:t>
      </w:r>
      <w:r>
        <w:t>academic</w:t>
      </w:r>
      <w:r>
        <w:rPr>
          <w:spacing w:val="40"/>
        </w:rPr>
        <w:t xml:space="preserve"> </w:t>
      </w:r>
      <w:r>
        <w:t>year</w:t>
      </w:r>
      <w:r>
        <w:rPr>
          <w:spacing w:val="79"/>
        </w:rPr>
        <w:t xml:space="preserve"> </w:t>
      </w:r>
      <w:r w:rsidR="002250B2">
        <w:rPr>
          <w:spacing w:val="79"/>
        </w:rPr>
        <w:t>2026-2027</w:t>
      </w:r>
      <w:r>
        <w:t>. This report is submitted as partial fulfillment of the requirement of degree in E&amp;TC / ECE Engineering as prescribed by Savitribai Phule Pune University.</w:t>
      </w:r>
    </w:p>
    <w:p w14:paraId="2DFD8B23" w14:textId="77777777" w:rsidR="00E62EBD" w:rsidRDefault="00E62EBD">
      <w:pPr>
        <w:pStyle w:val="BodyText"/>
      </w:pPr>
    </w:p>
    <w:p w14:paraId="72CF98E6" w14:textId="77777777" w:rsidR="00E62EBD" w:rsidRDefault="00E62EBD">
      <w:pPr>
        <w:pStyle w:val="BodyText"/>
      </w:pPr>
    </w:p>
    <w:p w14:paraId="2129B1EF" w14:textId="77777777" w:rsidR="00E62EBD" w:rsidRDefault="00E62EBD">
      <w:pPr>
        <w:pStyle w:val="BodyText"/>
      </w:pPr>
    </w:p>
    <w:p w14:paraId="579BD366" w14:textId="77777777" w:rsidR="00E62EBD" w:rsidRDefault="00E62EBD">
      <w:pPr>
        <w:pStyle w:val="BodyText"/>
      </w:pPr>
    </w:p>
    <w:p w14:paraId="1009C507" w14:textId="77777777" w:rsidR="00E62EBD" w:rsidRDefault="00E62EBD">
      <w:pPr>
        <w:pStyle w:val="BodyText"/>
      </w:pPr>
    </w:p>
    <w:p w14:paraId="61D85045" w14:textId="77777777" w:rsidR="00E62EBD" w:rsidRDefault="00E62EBD">
      <w:pPr>
        <w:pStyle w:val="BodyText"/>
      </w:pPr>
    </w:p>
    <w:p w14:paraId="428C3FC8" w14:textId="77777777" w:rsidR="00E62EBD" w:rsidRDefault="00E62EBD">
      <w:pPr>
        <w:pStyle w:val="BodyText"/>
      </w:pPr>
    </w:p>
    <w:p w14:paraId="1977B7E5" w14:textId="77777777" w:rsidR="00E62EBD" w:rsidRDefault="00E62EBD">
      <w:pPr>
        <w:pStyle w:val="BodyText"/>
      </w:pPr>
    </w:p>
    <w:p w14:paraId="20D696AC" w14:textId="77777777" w:rsidR="00E62EBD" w:rsidRDefault="00E62EBD">
      <w:pPr>
        <w:pStyle w:val="BodyText"/>
      </w:pPr>
    </w:p>
    <w:p w14:paraId="635F0D17" w14:textId="77777777" w:rsidR="00E62EBD" w:rsidRDefault="00E62EBD">
      <w:pPr>
        <w:pStyle w:val="BodyText"/>
      </w:pPr>
    </w:p>
    <w:p w14:paraId="50860592" w14:textId="77777777" w:rsidR="00E62EBD" w:rsidRDefault="00E62EBD">
      <w:pPr>
        <w:pStyle w:val="BodyText"/>
      </w:pPr>
    </w:p>
    <w:p w14:paraId="40908031" w14:textId="77777777" w:rsidR="00E62EBD" w:rsidRDefault="00E62EBD">
      <w:pPr>
        <w:pStyle w:val="BodyText"/>
      </w:pPr>
    </w:p>
    <w:p w14:paraId="02929C97" w14:textId="77777777" w:rsidR="00E62EBD" w:rsidRDefault="00E62EBD">
      <w:pPr>
        <w:pStyle w:val="BodyText"/>
      </w:pPr>
    </w:p>
    <w:p w14:paraId="4D8DF697" w14:textId="77777777" w:rsidR="00E62EBD" w:rsidRDefault="00E62EBD">
      <w:pPr>
        <w:pStyle w:val="BodyText"/>
        <w:spacing w:before="3"/>
      </w:pPr>
    </w:p>
    <w:p w14:paraId="5A39DF5D" w14:textId="340AE836" w:rsidR="00E62EBD" w:rsidRDefault="00000000" w:rsidP="002250B2">
      <w:pPr>
        <w:tabs>
          <w:tab w:val="left" w:pos="5719"/>
        </w:tabs>
        <w:spacing w:before="1"/>
        <w:ind w:right="-137"/>
        <w:jc w:val="center"/>
        <w:rPr>
          <w:sz w:val="28"/>
        </w:rPr>
      </w:pPr>
      <w:r>
        <w:rPr>
          <w:b/>
          <w:sz w:val="28"/>
        </w:rPr>
        <w:t>Dr.</w:t>
      </w:r>
      <w:r>
        <w:rPr>
          <w:b/>
          <w:spacing w:val="-10"/>
          <w:sz w:val="28"/>
        </w:rPr>
        <w:t xml:space="preserve"> </w:t>
      </w:r>
      <w:r>
        <w:rPr>
          <w:b/>
          <w:sz w:val="28"/>
        </w:rPr>
        <w:t>Mrs.</w:t>
      </w:r>
      <w:r>
        <w:rPr>
          <w:b/>
          <w:spacing w:val="1"/>
          <w:sz w:val="28"/>
        </w:rPr>
        <w:t xml:space="preserve"> </w:t>
      </w:r>
      <w:r>
        <w:rPr>
          <w:b/>
          <w:sz w:val="28"/>
        </w:rPr>
        <w:t>R.</w:t>
      </w:r>
      <w:r>
        <w:rPr>
          <w:b/>
          <w:spacing w:val="-4"/>
          <w:sz w:val="28"/>
        </w:rPr>
        <w:t xml:space="preserve"> </w:t>
      </w:r>
      <w:r>
        <w:rPr>
          <w:b/>
          <w:sz w:val="28"/>
        </w:rPr>
        <w:t>S.</w:t>
      </w:r>
      <w:r>
        <w:rPr>
          <w:b/>
          <w:spacing w:val="1"/>
          <w:sz w:val="28"/>
        </w:rPr>
        <w:t xml:space="preserve"> </w:t>
      </w:r>
      <w:proofErr w:type="spellStart"/>
      <w:r>
        <w:rPr>
          <w:b/>
          <w:spacing w:val="-2"/>
          <w:sz w:val="28"/>
        </w:rPr>
        <w:t>Kamathe</w:t>
      </w:r>
      <w:proofErr w:type="spellEnd"/>
      <w:r>
        <w:rPr>
          <w:b/>
          <w:sz w:val="28"/>
        </w:rPr>
        <w:tab/>
      </w:r>
      <w:r w:rsidR="002250B2">
        <w:rPr>
          <w:b/>
          <w:sz w:val="28"/>
        </w:rPr>
        <w:t>Dr.</w:t>
      </w:r>
      <w:r w:rsidR="002250B2">
        <w:rPr>
          <w:b/>
          <w:spacing w:val="-10"/>
          <w:sz w:val="28"/>
        </w:rPr>
        <w:t xml:space="preserve"> </w:t>
      </w:r>
      <w:r w:rsidR="002250B2">
        <w:rPr>
          <w:b/>
          <w:sz w:val="28"/>
        </w:rPr>
        <w:t>Mrs.</w:t>
      </w:r>
      <w:r w:rsidR="002250B2">
        <w:rPr>
          <w:b/>
          <w:spacing w:val="1"/>
          <w:sz w:val="28"/>
        </w:rPr>
        <w:t xml:space="preserve"> </w:t>
      </w:r>
      <w:r w:rsidR="002250B2">
        <w:rPr>
          <w:b/>
          <w:sz w:val="28"/>
        </w:rPr>
        <w:t>R.</w:t>
      </w:r>
      <w:r w:rsidR="002250B2">
        <w:rPr>
          <w:b/>
          <w:spacing w:val="-4"/>
          <w:sz w:val="28"/>
        </w:rPr>
        <w:t xml:space="preserve"> </w:t>
      </w:r>
      <w:r w:rsidR="002250B2">
        <w:rPr>
          <w:b/>
          <w:sz w:val="28"/>
        </w:rPr>
        <w:t>S.</w:t>
      </w:r>
      <w:r w:rsidR="002250B2">
        <w:rPr>
          <w:b/>
          <w:spacing w:val="1"/>
          <w:sz w:val="28"/>
        </w:rPr>
        <w:t xml:space="preserve"> </w:t>
      </w:r>
      <w:proofErr w:type="spellStart"/>
      <w:r w:rsidR="002250B2">
        <w:rPr>
          <w:b/>
          <w:spacing w:val="-2"/>
          <w:sz w:val="28"/>
        </w:rPr>
        <w:t>Kamathe</w:t>
      </w:r>
      <w:proofErr w:type="spellEnd"/>
      <w:r w:rsidR="002250B2">
        <w:rPr>
          <w:b/>
          <w:sz w:val="28"/>
        </w:rPr>
        <w:tab/>
      </w:r>
    </w:p>
    <w:p w14:paraId="793AE1D3" w14:textId="77777777" w:rsidR="00E62EBD" w:rsidRDefault="00000000">
      <w:pPr>
        <w:tabs>
          <w:tab w:val="left" w:pos="5660"/>
        </w:tabs>
        <w:spacing w:before="282"/>
        <w:ind w:right="272"/>
        <w:jc w:val="center"/>
        <w:rPr>
          <w:b/>
          <w:sz w:val="28"/>
        </w:rPr>
      </w:pPr>
      <w:r>
        <w:rPr>
          <w:b/>
          <w:sz w:val="28"/>
        </w:rPr>
        <w:t>H.O.D.,</w:t>
      </w:r>
      <w:r>
        <w:rPr>
          <w:b/>
          <w:spacing w:val="-5"/>
          <w:sz w:val="28"/>
        </w:rPr>
        <w:t xml:space="preserve"> </w:t>
      </w:r>
      <w:r>
        <w:rPr>
          <w:b/>
          <w:spacing w:val="-2"/>
          <w:sz w:val="28"/>
        </w:rPr>
        <w:t>(E&amp;TC)</w:t>
      </w:r>
      <w:r>
        <w:rPr>
          <w:b/>
          <w:sz w:val="28"/>
        </w:rPr>
        <w:tab/>
        <w:t>Project</w:t>
      </w:r>
      <w:r>
        <w:rPr>
          <w:b/>
          <w:spacing w:val="-14"/>
          <w:sz w:val="28"/>
        </w:rPr>
        <w:t xml:space="preserve"> </w:t>
      </w:r>
      <w:r>
        <w:rPr>
          <w:b/>
          <w:spacing w:val="-2"/>
          <w:sz w:val="28"/>
        </w:rPr>
        <w:t>Guide</w:t>
      </w:r>
    </w:p>
    <w:p w14:paraId="62F66332" w14:textId="77777777" w:rsidR="00E62EBD" w:rsidRDefault="00E62EBD">
      <w:pPr>
        <w:jc w:val="center"/>
        <w:rPr>
          <w:b/>
          <w:sz w:val="28"/>
        </w:rPr>
        <w:sectPr w:rsidR="00E62EBD">
          <w:pgSz w:w="11910" w:h="16840"/>
          <w:pgMar w:top="1340" w:right="1133" w:bottom="280" w:left="708" w:header="720" w:footer="720" w:gutter="0"/>
          <w:cols w:space="720"/>
        </w:sectPr>
      </w:pPr>
    </w:p>
    <w:p w14:paraId="214865A2" w14:textId="77777777" w:rsidR="00E62EBD" w:rsidRPr="00767F33" w:rsidRDefault="00000000">
      <w:pPr>
        <w:pStyle w:val="Heading2"/>
        <w:spacing w:before="76"/>
        <w:ind w:right="670"/>
        <w:rPr>
          <w:b/>
          <w:bCs/>
        </w:rPr>
      </w:pPr>
      <w:r w:rsidRPr="00767F33">
        <w:rPr>
          <w:b/>
          <w:bCs/>
          <w:spacing w:val="-2"/>
        </w:rPr>
        <w:lastRenderedPageBreak/>
        <w:t>ACKNOWLEDGEMENT</w:t>
      </w:r>
    </w:p>
    <w:p w14:paraId="716FC3FA" w14:textId="77777777" w:rsidR="00E62EBD" w:rsidRDefault="00000000">
      <w:pPr>
        <w:pStyle w:val="BodyText"/>
        <w:spacing w:before="4"/>
        <w:ind w:left="971" w:right="606"/>
        <w:jc w:val="center"/>
      </w:pPr>
      <w:r>
        <w:t>(Size</w:t>
      </w:r>
      <w:r>
        <w:rPr>
          <w:spacing w:val="-4"/>
        </w:rPr>
        <w:t xml:space="preserve"> </w:t>
      </w:r>
      <w:r>
        <w:t>16</w:t>
      </w:r>
      <w:r>
        <w:rPr>
          <w:spacing w:val="-2"/>
        </w:rPr>
        <w:t xml:space="preserve"> </w:t>
      </w:r>
      <w:r>
        <w:t>Times</w:t>
      </w:r>
      <w:r>
        <w:rPr>
          <w:spacing w:val="-4"/>
        </w:rPr>
        <w:t xml:space="preserve"> </w:t>
      </w:r>
      <w:r>
        <w:t>New</w:t>
      </w:r>
      <w:r>
        <w:rPr>
          <w:spacing w:val="-4"/>
        </w:rPr>
        <w:t xml:space="preserve"> </w:t>
      </w:r>
      <w:r>
        <w:t>Roman,</w:t>
      </w:r>
      <w:r>
        <w:rPr>
          <w:spacing w:val="3"/>
        </w:rPr>
        <w:t xml:space="preserve"> </w:t>
      </w:r>
      <w:r>
        <w:rPr>
          <w:spacing w:val="-4"/>
        </w:rPr>
        <w:t>bold)</w:t>
      </w:r>
    </w:p>
    <w:p w14:paraId="67BE3CA3" w14:textId="77777777" w:rsidR="00E62EBD" w:rsidRDefault="00E62EBD">
      <w:pPr>
        <w:pStyle w:val="BodyText"/>
        <w:spacing w:before="1"/>
      </w:pPr>
    </w:p>
    <w:p w14:paraId="08292BEF" w14:textId="77777777" w:rsidR="00E62EBD" w:rsidRDefault="00000000">
      <w:pPr>
        <w:pStyle w:val="BodyText"/>
        <w:ind w:left="971" w:right="675"/>
        <w:jc w:val="center"/>
      </w:pPr>
      <w:r>
        <w:t>(Not</w:t>
      </w:r>
      <w:r>
        <w:rPr>
          <w:spacing w:val="-1"/>
        </w:rPr>
        <w:t xml:space="preserve"> </w:t>
      </w:r>
      <w:r>
        <w:t>more</w:t>
      </w:r>
      <w:r>
        <w:rPr>
          <w:spacing w:val="-6"/>
        </w:rPr>
        <w:t xml:space="preserve"> </w:t>
      </w:r>
      <w:r>
        <w:t>than</w:t>
      </w:r>
      <w:r>
        <w:rPr>
          <w:spacing w:val="-5"/>
        </w:rPr>
        <w:t xml:space="preserve"> </w:t>
      </w:r>
      <w:r>
        <w:t>1 page</w:t>
      </w:r>
      <w:r>
        <w:rPr>
          <w:spacing w:val="3"/>
        </w:rPr>
        <w:t xml:space="preserve"> </w:t>
      </w:r>
      <w:r>
        <w:t>in</w:t>
      </w:r>
      <w:r>
        <w:rPr>
          <w:spacing w:val="-5"/>
        </w:rPr>
        <w:t xml:space="preserve"> </w:t>
      </w:r>
      <w:r>
        <w:t>size</w:t>
      </w:r>
      <w:r>
        <w:rPr>
          <w:spacing w:val="-1"/>
        </w:rPr>
        <w:t xml:space="preserve"> </w:t>
      </w:r>
      <w:r>
        <w:t>12 Times</w:t>
      </w:r>
      <w:r>
        <w:rPr>
          <w:spacing w:val="-2"/>
        </w:rPr>
        <w:t xml:space="preserve"> </w:t>
      </w:r>
      <w:r>
        <w:t>New</w:t>
      </w:r>
      <w:r>
        <w:rPr>
          <w:spacing w:val="-1"/>
        </w:rPr>
        <w:t xml:space="preserve"> </w:t>
      </w:r>
      <w:r>
        <w:rPr>
          <w:spacing w:val="-2"/>
        </w:rPr>
        <w:t>Roman)</w:t>
      </w:r>
    </w:p>
    <w:p w14:paraId="2E8726D3" w14:textId="77777777" w:rsidR="00E62EBD" w:rsidRDefault="00E62EBD">
      <w:pPr>
        <w:pStyle w:val="BodyText"/>
      </w:pPr>
    </w:p>
    <w:p w14:paraId="11E92C92" w14:textId="77777777" w:rsidR="00E62EBD" w:rsidRDefault="00E62EBD">
      <w:pPr>
        <w:pStyle w:val="BodyText"/>
      </w:pPr>
    </w:p>
    <w:p w14:paraId="395F8E31" w14:textId="77777777" w:rsidR="00E62EBD" w:rsidRDefault="00E62EBD">
      <w:pPr>
        <w:pStyle w:val="BodyText"/>
      </w:pPr>
    </w:p>
    <w:p w14:paraId="21DECDA3" w14:textId="77777777" w:rsidR="00E62EBD" w:rsidRDefault="00E62EBD">
      <w:pPr>
        <w:pStyle w:val="BodyText"/>
      </w:pPr>
    </w:p>
    <w:p w14:paraId="7B83A5E7" w14:textId="77777777" w:rsidR="00E62EBD" w:rsidRDefault="00E62EBD">
      <w:pPr>
        <w:pStyle w:val="BodyText"/>
        <w:spacing w:before="274"/>
      </w:pPr>
    </w:p>
    <w:p w14:paraId="048077E5" w14:textId="77777777" w:rsidR="00E62EBD" w:rsidRDefault="00000000">
      <w:pPr>
        <w:pStyle w:val="BodyText"/>
        <w:spacing w:line="242" w:lineRule="auto"/>
        <w:ind w:left="372"/>
      </w:pPr>
      <w:r>
        <w:t>All students</w:t>
      </w:r>
      <w:r>
        <w:rPr>
          <w:spacing w:val="18"/>
        </w:rPr>
        <w:t xml:space="preserve"> </w:t>
      </w:r>
      <w:r>
        <w:t>should</w:t>
      </w:r>
      <w:r>
        <w:rPr>
          <w:spacing w:val="20"/>
        </w:rPr>
        <w:t xml:space="preserve"> </w:t>
      </w:r>
      <w:r>
        <w:t>write</w:t>
      </w:r>
      <w:r>
        <w:rPr>
          <w:spacing w:val="19"/>
        </w:rPr>
        <w:t xml:space="preserve"> </w:t>
      </w:r>
      <w:r>
        <w:t>this</w:t>
      </w:r>
      <w:r>
        <w:rPr>
          <w:spacing w:val="18"/>
        </w:rPr>
        <w:t xml:space="preserve"> </w:t>
      </w:r>
      <w:r>
        <w:t>on their</w:t>
      </w:r>
      <w:r>
        <w:rPr>
          <w:spacing w:val="21"/>
        </w:rPr>
        <w:t xml:space="preserve"> </w:t>
      </w:r>
      <w:r>
        <w:t>own and</w:t>
      </w:r>
      <w:r>
        <w:rPr>
          <w:spacing w:val="28"/>
        </w:rPr>
        <w:t xml:space="preserve"> </w:t>
      </w:r>
      <w:r>
        <w:t>should</w:t>
      </w:r>
      <w:r>
        <w:rPr>
          <w:spacing w:val="20"/>
        </w:rPr>
        <w:t xml:space="preserve"> </w:t>
      </w:r>
      <w:r>
        <w:t>take this</w:t>
      </w:r>
      <w:r>
        <w:rPr>
          <w:spacing w:val="18"/>
        </w:rPr>
        <w:t xml:space="preserve"> </w:t>
      </w:r>
      <w:r>
        <w:t>as</w:t>
      </w:r>
      <w:r>
        <w:rPr>
          <w:spacing w:val="18"/>
        </w:rPr>
        <w:t xml:space="preserve"> </w:t>
      </w:r>
      <w:r>
        <w:t>an opportunity to thanks</w:t>
      </w:r>
      <w:r>
        <w:rPr>
          <w:spacing w:val="18"/>
        </w:rPr>
        <w:t xml:space="preserve"> </w:t>
      </w:r>
      <w:r>
        <w:t xml:space="preserve">those who have helped them </w:t>
      </w:r>
      <w:proofErr w:type="gramStart"/>
      <w:r>
        <w:t>in</w:t>
      </w:r>
      <w:proofErr w:type="gramEnd"/>
      <w:r>
        <w:t xml:space="preserve"> their project work.</w:t>
      </w:r>
    </w:p>
    <w:p w14:paraId="4F845219" w14:textId="77777777" w:rsidR="00E62EBD" w:rsidRDefault="00000000">
      <w:pPr>
        <w:pStyle w:val="BodyText"/>
        <w:spacing w:line="271" w:lineRule="exact"/>
        <w:ind w:left="2950"/>
      </w:pPr>
      <w:r>
        <w:t>Do</w:t>
      </w:r>
      <w:r>
        <w:rPr>
          <w:spacing w:val="5"/>
        </w:rPr>
        <w:t xml:space="preserve"> </w:t>
      </w:r>
      <w:r>
        <w:t>not</w:t>
      </w:r>
      <w:r>
        <w:rPr>
          <w:spacing w:val="1"/>
        </w:rPr>
        <w:t xml:space="preserve"> </w:t>
      </w:r>
      <w:r>
        <w:t>copy</w:t>
      </w:r>
      <w:r>
        <w:rPr>
          <w:spacing w:val="-9"/>
        </w:rPr>
        <w:t xml:space="preserve"> </w:t>
      </w:r>
      <w:proofErr w:type="spellStart"/>
      <w:proofErr w:type="gramStart"/>
      <w:r>
        <w:t>any</w:t>
      </w:r>
      <w:r>
        <w:rPr>
          <w:spacing w:val="-9"/>
        </w:rPr>
        <w:t xml:space="preserve"> </w:t>
      </w:r>
      <w:r>
        <w:t>one</w:t>
      </w:r>
      <w:proofErr w:type="spellEnd"/>
      <w:proofErr w:type="gramEnd"/>
      <w:r>
        <w:t xml:space="preserve"> else’s</w:t>
      </w:r>
      <w:r>
        <w:rPr>
          <w:spacing w:val="-1"/>
        </w:rPr>
        <w:t xml:space="preserve"> </w:t>
      </w:r>
      <w:r>
        <w:rPr>
          <w:spacing w:val="-2"/>
        </w:rPr>
        <w:t>acknowledgement.</w:t>
      </w:r>
    </w:p>
    <w:p w14:paraId="224E74FB" w14:textId="77777777" w:rsidR="00E62EBD" w:rsidRDefault="00E62EBD">
      <w:pPr>
        <w:pStyle w:val="BodyText"/>
      </w:pPr>
    </w:p>
    <w:p w14:paraId="36EA8A3D" w14:textId="77777777" w:rsidR="00E62EBD" w:rsidRDefault="00E62EBD">
      <w:pPr>
        <w:pStyle w:val="BodyText"/>
      </w:pPr>
    </w:p>
    <w:p w14:paraId="5EC623D2" w14:textId="77777777" w:rsidR="00E62EBD" w:rsidRDefault="00E62EBD">
      <w:pPr>
        <w:pStyle w:val="BodyText"/>
      </w:pPr>
    </w:p>
    <w:p w14:paraId="72590B13" w14:textId="77777777" w:rsidR="00E62EBD" w:rsidRDefault="00E62EBD">
      <w:pPr>
        <w:pStyle w:val="BodyText"/>
      </w:pPr>
    </w:p>
    <w:p w14:paraId="5D0AC54C" w14:textId="77777777" w:rsidR="00E62EBD" w:rsidRDefault="00E62EBD">
      <w:pPr>
        <w:pStyle w:val="BodyText"/>
      </w:pPr>
    </w:p>
    <w:p w14:paraId="013FD5F2" w14:textId="77777777" w:rsidR="00E62EBD" w:rsidRDefault="00E62EBD">
      <w:pPr>
        <w:pStyle w:val="BodyText"/>
      </w:pPr>
    </w:p>
    <w:p w14:paraId="08FF5685" w14:textId="77777777" w:rsidR="00E62EBD" w:rsidRDefault="00E62EBD">
      <w:pPr>
        <w:pStyle w:val="BodyText"/>
      </w:pPr>
    </w:p>
    <w:p w14:paraId="46A6E93C" w14:textId="77777777" w:rsidR="00E62EBD" w:rsidRDefault="00E62EBD">
      <w:pPr>
        <w:pStyle w:val="BodyText"/>
      </w:pPr>
    </w:p>
    <w:p w14:paraId="0C4E7BA1" w14:textId="77777777" w:rsidR="00E62EBD" w:rsidRDefault="00E62EBD">
      <w:pPr>
        <w:pStyle w:val="BodyText"/>
      </w:pPr>
    </w:p>
    <w:p w14:paraId="39E97C99" w14:textId="77777777" w:rsidR="00E62EBD" w:rsidRDefault="00E62EBD">
      <w:pPr>
        <w:pStyle w:val="BodyText"/>
      </w:pPr>
    </w:p>
    <w:p w14:paraId="4D5DBA65" w14:textId="77777777" w:rsidR="00E62EBD" w:rsidRDefault="00E62EBD">
      <w:pPr>
        <w:pStyle w:val="BodyText"/>
      </w:pPr>
    </w:p>
    <w:p w14:paraId="1FC4931A" w14:textId="77777777" w:rsidR="00E62EBD" w:rsidRDefault="00E62EBD">
      <w:pPr>
        <w:pStyle w:val="BodyText"/>
      </w:pPr>
    </w:p>
    <w:p w14:paraId="534C2130" w14:textId="77777777" w:rsidR="00E62EBD" w:rsidRDefault="00E62EBD">
      <w:pPr>
        <w:pStyle w:val="BodyText"/>
      </w:pPr>
    </w:p>
    <w:p w14:paraId="2AA218FD" w14:textId="77777777" w:rsidR="00E62EBD" w:rsidRDefault="00E62EBD">
      <w:pPr>
        <w:pStyle w:val="BodyText"/>
      </w:pPr>
    </w:p>
    <w:p w14:paraId="27A560A0" w14:textId="77777777" w:rsidR="00E62EBD" w:rsidRDefault="00E62EBD">
      <w:pPr>
        <w:pStyle w:val="BodyText"/>
      </w:pPr>
    </w:p>
    <w:p w14:paraId="0E78B53E" w14:textId="77777777" w:rsidR="00E62EBD" w:rsidRDefault="00E62EBD">
      <w:pPr>
        <w:pStyle w:val="BodyText"/>
        <w:spacing w:before="4"/>
      </w:pPr>
    </w:p>
    <w:p w14:paraId="47CDBA34" w14:textId="77777777" w:rsidR="00E62EBD" w:rsidRDefault="00000000">
      <w:pPr>
        <w:pStyle w:val="BodyText"/>
        <w:spacing w:line="275" w:lineRule="exact"/>
        <w:ind w:left="1155"/>
      </w:pPr>
      <w:r>
        <w:t>Name</w:t>
      </w:r>
      <w:r>
        <w:rPr>
          <w:spacing w:val="-1"/>
        </w:rPr>
        <w:t xml:space="preserve"> </w:t>
      </w:r>
      <w:r>
        <w:t>of</w:t>
      </w:r>
      <w:r>
        <w:rPr>
          <w:spacing w:val="-6"/>
        </w:rPr>
        <w:t xml:space="preserve"> </w:t>
      </w:r>
      <w:r>
        <w:t xml:space="preserve">the </w:t>
      </w:r>
      <w:proofErr w:type="spellStart"/>
      <w:r>
        <w:rPr>
          <w:spacing w:val="-2"/>
        </w:rPr>
        <w:t>Studemts</w:t>
      </w:r>
      <w:proofErr w:type="spellEnd"/>
    </w:p>
    <w:p w14:paraId="3A6D3CF3" w14:textId="77777777" w:rsidR="00E62EBD" w:rsidRDefault="00000000">
      <w:pPr>
        <w:pStyle w:val="BodyText"/>
        <w:spacing w:line="275" w:lineRule="exact"/>
        <w:ind w:left="372"/>
      </w:pPr>
      <w:r>
        <w:rPr>
          <w:spacing w:val="-5"/>
        </w:rPr>
        <w:t>1.</w:t>
      </w:r>
    </w:p>
    <w:p w14:paraId="0BC80AE0" w14:textId="77777777" w:rsidR="00E62EBD" w:rsidRDefault="00000000">
      <w:pPr>
        <w:pStyle w:val="BodyText"/>
        <w:spacing w:before="2" w:line="275" w:lineRule="exact"/>
        <w:ind w:left="372"/>
      </w:pPr>
      <w:r>
        <w:rPr>
          <w:spacing w:val="-5"/>
        </w:rPr>
        <w:t>2.</w:t>
      </w:r>
    </w:p>
    <w:p w14:paraId="1455E9A0" w14:textId="77777777" w:rsidR="00E62EBD" w:rsidRDefault="00000000">
      <w:pPr>
        <w:pStyle w:val="BodyText"/>
        <w:spacing w:line="275" w:lineRule="exact"/>
        <w:ind w:left="372"/>
      </w:pPr>
      <w:r>
        <w:rPr>
          <w:spacing w:val="-5"/>
        </w:rPr>
        <w:t>3.</w:t>
      </w:r>
    </w:p>
    <w:p w14:paraId="3EF06615" w14:textId="77777777" w:rsidR="00E62EBD" w:rsidRDefault="00E62EBD">
      <w:pPr>
        <w:pStyle w:val="BodyText"/>
        <w:spacing w:line="275" w:lineRule="exact"/>
        <w:sectPr w:rsidR="00E62EBD">
          <w:pgSz w:w="11910" w:h="16840"/>
          <w:pgMar w:top="1340" w:right="1133" w:bottom="280" w:left="708" w:header="720" w:footer="720" w:gutter="0"/>
          <w:cols w:space="720"/>
        </w:sectPr>
      </w:pPr>
    </w:p>
    <w:p w14:paraId="27890DFF" w14:textId="77777777" w:rsidR="00E62EBD" w:rsidRDefault="00000000">
      <w:pPr>
        <w:pStyle w:val="BodyText"/>
        <w:spacing w:before="78" w:line="275" w:lineRule="exact"/>
        <w:ind w:left="372"/>
      </w:pPr>
      <w:r>
        <w:lastRenderedPageBreak/>
        <w:t>LETTER</w:t>
      </w:r>
      <w:r>
        <w:rPr>
          <w:spacing w:val="-2"/>
        </w:rPr>
        <w:t xml:space="preserve"> </w:t>
      </w:r>
      <w:r>
        <w:t>FROM</w:t>
      </w:r>
      <w:r>
        <w:rPr>
          <w:spacing w:val="-3"/>
        </w:rPr>
        <w:t xml:space="preserve"> </w:t>
      </w:r>
      <w:r>
        <w:t>THE</w:t>
      </w:r>
      <w:r>
        <w:rPr>
          <w:spacing w:val="-3"/>
        </w:rPr>
        <w:t xml:space="preserve"> </w:t>
      </w:r>
      <w:r>
        <w:t>SPONSERER</w:t>
      </w:r>
      <w:r>
        <w:rPr>
          <w:spacing w:val="-2"/>
        </w:rPr>
        <w:t xml:space="preserve"> </w:t>
      </w:r>
      <w:r>
        <w:t>(if</w:t>
      </w:r>
      <w:r>
        <w:rPr>
          <w:spacing w:val="-7"/>
        </w:rPr>
        <w:t xml:space="preserve"> </w:t>
      </w:r>
      <w:r>
        <w:rPr>
          <w:spacing w:val="-4"/>
        </w:rPr>
        <w:t>any)</w:t>
      </w:r>
    </w:p>
    <w:p w14:paraId="4FEAA55C" w14:textId="77777777" w:rsidR="00E62EBD" w:rsidRDefault="00000000">
      <w:pPr>
        <w:pStyle w:val="BodyText"/>
        <w:spacing w:line="275" w:lineRule="exact"/>
        <w:ind w:left="971" w:right="668"/>
        <w:jc w:val="center"/>
      </w:pPr>
      <w:r>
        <w:t>[On</w:t>
      </w:r>
      <w:r>
        <w:rPr>
          <w:spacing w:val="-6"/>
        </w:rPr>
        <w:t xml:space="preserve"> </w:t>
      </w:r>
      <w:proofErr w:type="spellStart"/>
      <w:r>
        <w:t>Sponserer’s</w:t>
      </w:r>
      <w:proofErr w:type="spellEnd"/>
      <w:r>
        <w:rPr>
          <w:spacing w:val="2"/>
        </w:rPr>
        <w:t xml:space="preserve"> </w:t>
      </w:r>
      <w:proofErr w:type="gramStart"/>
      <w:r>
        <w:t>letter-</w:t>
      </w:r>
      <w:r>
        <w:rPr>
          <w:spacing w:val="-2"/>
        </w:rPr>
        <w:t>head</w:t>
      </w:r>
      <w:proofErr w:type="gramEnd"/>
      <w:r>
        <w:rPr>
          <w:spacing w:val="-2"/>
        </w:rPr>
        <w:t>]</w:t>
      </w:r>
    </w:p>
    <w:p w14:paraId="77D69D53" w14:textId="77777777" w:rsidR="00E62EBD" w:rsidRDefault="00E62EBD">
      <w:pPr>
        <w:pStyle w:val="BodyText"/>
      </w:pPr>
    </w:p>
    <w:p w14:paraId="7F5E705C" w14:textId="77777777" w:rsidR="00E62EBD" w:rsidRDefault="00E62EBD">
      <w:pPr>
        <w:pStyle w:val="BodyText"/>
      </w:pPr>
    </w:p>
    <w:p w14:paraId="65097953" w14:textId="77777777" w:rsidR="00E62EBD" w:rsidRDefault="00E62EBD">
      <w:pPr>
        <w:pStyle w:val="BodyText"/>
        <w:spacing w:before="1"/>
      </w:pPr>
    </w:p>
    <w:p w14:paraId="37804164" w14:textId="77777777" w:rsidR="00E62EBD" w:rsidRDefault="00000000">
      <w:pPr>
        <w:pStyle w:val="BodyText"/>
        <w:spacing w:line="722" w:lineRule="auto"/>
        <w:ind w:left="1621" w:right="1315" w:hanging="8"/>
        <w:jc w:val="center"/>
      </w:pPr>
      <w:r>
        <w:t>Compulsory for all the sponsored projects on Company’s letter head</w:t>
      </w:r>
      <w:r>
        <w:rPr>
          <w:spacing w:val="40"/>
        </w:rPr>
        <w:t xml:space="preserve"> </w:t>
      </w:r>
      <w:r>
        <w:t>Copy</w:t>
      </w:r>
      <w:r>
        <w:rPr>
          <w:spacing w:val="-12"/>
        </w:rPr>
        <w:t xml:space="preserve"> </w:t>
      </w:r>
      <w:r>
        <w:t>of</w:t>
      </w:r>
      <w:r>
        <w:rPr>
          <w:spacing w:val="-5"/>
        </w:rPr>
        <w:t xml:space="preserve"> </w:t>
      </w:r>
      <w:r>
        <w:t>it must be</w:t>
      </w:r>
      <w:r>
        <w:rPr>
          <w:spacing w:val="-3"/>
        </w:rPr>
        <w:t xml:space="preserve"> </w:t>
      </w:r>
      <w:r>
        <w:t>submitted</w:t>
      </w:r>
      <w:r>
        <w:rPr>
          <w:spacing w:val="-7"/>
        </w:rPr>
        <w:t xml:space="preserve"> </w:t>
      </w:r>
      <w:r>
        <w:t>to Dr.</w:t>
      </w:r>
      <w:r>
        <w:rPr>
          <w:spacing w:val="-4"/>
        </w:rPr>
        <w:t xml:space="preserve"> </w:t>
      </w:r>
      <w:r>
        <w:t>Mrs.</w:t>
      </w:r>
      <w:r>
        <w:rPr>
          <w:spacing w:val="-1"/>
        </w:rPr>
        <w:t xml:space="preserve"> </w:t>
      </w:r>
      <w:r>
        <w:t>M.</w:t>
      </w:r>
      <w:r>
        <w:rPr>
          <w:spacing w:val="-5"/>
        </w:rPr>
        <w:t xml:space="preserve"> </w:t>
      </w:r>
      <w:r>
        <w:t>S.</w:t>
      </w:r>
      <w:r>
        <w:rPr>
          <w:spacing w:val="-4"/>
        </w:rPr>
        <w:t xml:space="preserve"> </w:t>
      </w:r>
      <w:r>
        <w:t>Kanitkar</w:t>
      </w:r>
      <w:r>
        <w:rPr>
          <w:spacing w:val="-2"/>
        </w:rPr>
        <w:t xml:space="preserve"> </w:t>
      </w:r>
      <w:r>
        <w:t>or</w:t>
      </w:r>
      <w:r>
        <w:rPr>
          <w:spacing w:val="-3"/>
        </w:rPr>
        <w:t xml:space="preserve"> </w:t>
      </w:r>
      <w:r>
        <w:t>Mr.</w:t>
      </w:r>
      <w:r>
        <w:rPr>
          <w:spacing w:val="-5"/>
        </w:rPr>
        <w:t xml:space="preserve"> </w:t>
      </w:r>
      <w:r>
        <w:t>Ram</w:t>
      </w:r>
      <w:r>
        <w:rPr>
          <w:spacing w:val="-11"/>
        </w:rPr>
        <w:t xml:space="preserve"> </w:t>
      </w:r>
      <w:r>
        <w:t>Sahu</w:t>
      </w:r>
    </w:p>
    <w:p w14:paraId="4E5963CE" w14:textId="77777777" w:rsidR="00E62EBD" w:rsidRDefault="00E62EBD">
      <w:pPr>
        <w:pStyle w:val="BodyText"/>
        <w:spacing w:line="722" w:lineRule="auto"/>
        <w:jc w:val="center"/>
        <w:sectPr w:rsidR="00E62EBD">
          <w:pgSz w:w="11910" w:h="16840"/>
          <w:pgMar w:top="1340" w:right="1133" w:bottom="280" w:left="708" w:header="720" w:footer="720" w:gutter="0"/>
          <w:cols w:space="720"/>
        </w:sectPr>
      </w:pPr>
    </w:p>
    <w:p w14:paraId="5656C4CE" w14:textId="77777777" w:rsidR="00E62EBD" w:rsidRDefault="00000000">
      <w:pPr>
        <w:pStyle w:val="Heading1"/>
        <w:ind w:right="665"/>
      </w:pPr>
      <w:r>
        <w:rPr>
          <w:spacing w:val="-2"/>
        </w:rPr>
        <w:lastRenderedPageBreak/>
        <w:t>ABSTRACT</w:t>
      </w:r>
    </w:p>
    <w:p w14:paraId="3B435B37" w14:textId="77777777" w:rsidR="00E62EBD" w:rsidRDefault="00E62EBD">
      <w:pPr>
        <w:pStyle w:val="BodyText"/>
        <w:spacing w:before="1"/>
      </w:pPr>
    </w:p>
    <w:p w14:paraId="373A9B87" w14:textId="0E2BCF7D" w:rsidR="00E62EBD" w:rsidRDefault="00A039E2" w:rsidP="00A039E2">
      <w:pPr>
        <w:pStyle w:val="BodyText"/>
        <w:ind w:left="372" w:right="64"/>
        <w:jc w:val="both"/>
        <w:sectPr w:rsidR="00E62EBD">
          <w:pgSz w:w="11910" w:h="16840"/>
          <w:pgMar w:top="1360" w:right="1133" w:bottom="280" w:left="708" w:header="720" w:footer="720" w:gutter="0"/>
          <w:cols w:space="720"/>
        </w:sectPr>
      </w:pPr>
      <w:r w:rsidRPr="00A039E2">
        <w:t xml:space="preserve">Microplastic contamination in aquatic ecosystems represents an alarming global environmental hazard, threatening marine life and entering the human food chain. Conventional detection methodologies, notably Fourier-Transform Infrared (FTIR) and Raman spectroscopy, provide high accuracy but are severely hindered by high capital costs, laborious sample preparation, and an inability to provide in-situ, real-time analysis outside centralized laboratories. Additionally, applying deep learning object detection to multi-source microscopic datasets frequently triggers taxonomy conflicts between generic and sub-classified particle labels. To resolve these challenges, this project presents an Edge AI-Powered Smart Microscope for the real-time automated detection and morphological classification of microplastics in water samples. The core novelty lies in a decoupled Two-Stage Pipeline optimized for edge deployment on low-power devices such as the NVIDIA Jetson Nano and Raspberry Pi. Stage 1 deploys an ultra-lightweight YOLO11n single-class detector to overcome annotation ambiguity and rapidly localize suspended particles from microscopic video streams. In Stage 2, localized particle crops undergo joint shape and texture characterization via Histogram of Oriented Gradients (HOG) and 3D Color Histograms, followed by a Support Vector Machine (SVM) that classifies particles into four morphological classes: fiber, film, fragment, and pallet. Evaluated on a merged multi-source aquatic benchmark consisting of 2,102 images (4,209 annotations), the Stage 1 detector achieved </w:t>
      </w:r>
      <w:proofErr w:type="gramStart"/>
      <w:r w:rsidRPr="00A039E2">
        <w:t>an</w:t>
      </w:r>
      <w:proofErr w:type="gramEnd"/>
      <w:r w:rsidRPr="00A039E2">
        <w:t xml:space="preserve"> mAP@50 of 82.4%, 86.1% precision, and 75.5% recall, with an inference latency of 4.7 </w:t>
      </w:r>
      <w:proofErr w:type="spellStart"/>
      <w:r w:rsidRPr="00A039E2">
        <w:t>ms</w:t>
      </w:r>
      <w:proofErr w:type="spellEnd"/>
      <w:r w:rsidRPr="00A039E2">
        <w:t xml:space="preserve"> and a compact footprint of 5.5 MB. The Stage 2 classifier demonstrated a 99.79% validation accuracy across all morphological classes. The proposed smart microscope eliminates manual inspection fatigue and bridges the gap between laboratory spectroscopy and portable field surveillance, delivering a cost-effective, high-throughput solution for real-time aquatic environmental monitoring</w:t>
      </w:r>
      <w:r>
        <w:t>.</w:t>
      </w:r>
    </w:p>
    <w:p w14:paraId="5E6D51D3" w14:textId="77777777" w:rsidR="00E62EBD" w:rsidRDefault="00000000">
      <w:pPr>
        <w:pStyle w:val="Heading1"/>
      </w:pPr>
      <w:r>
        <w:lastRenderedPageBreak/>
        <w:t>LIST</w:t>
      </w:r>
      <w:r>
        <w:rPr>
          <w:spacing w:val="-3"/>
        </w:rPr>
        <w:t xml:space="preserve"> </w:t>
      </w:r>
      <w:r>
        <w:t xml:space="preserve">OF </w:t>
      </w:r>
      <w:r>
        <w:rPr>
          <w:spacing w:val="-2"/>
        </w:rPr>
        <w:t>FIGURES</w:t>
      </w:r>
    </w:p>
    <w:p w14:paraId="22E8E5F1" w14:textId="77777777" w:rsidR="00E62EBD" w:rsidRDefault="00000000">
      <w:pPr>
        <w:pStyle w:val="BodyText"/>
        <w:spacing w:line="276" w:lineRule="exact"/>
        <w:ind w:left="971" w:right="610"/>
        <w:jc w:val="center"/>
      </w:pPr>
      <w:r>
        <w:t>(Size</w:t>
      </w:r>
      <w:r>
        <w:rPr>
          <w:spacing w:val="-4"/>
        </w:rPr>
        <w:t xml:space="preserve"> </w:t>
      </w:r>
      <w:r>
        <w:t>16</w:t>
      </w:r>
      <w:r>
        <w:rPr>
          <w:spacing w:val="-2"/>
        </w:rPr>
        <w:t xml:space="preserve"> </w:t>
      </w:r>
      <w:r>
        <w:t>Times</w:t>
      </w:r>
      <w:r>
        <w:rPr>
          <w:spacing w:val="-5"/>
        </w:rPr>
        <w:t xml:space="preserve"> </w:t>
      </w:r>
      <w:r>
        <w:t>New</w:t>
      </w:r>
      <w:r>
        <w:rPr>
          <w:spacing w:val="-3"/>
        </w:rPr>
        <w:t xml:space="preserve"> </w:t>
      </w:r>
      <w:r>
        <w:t xml:space="preserve">Roman, </w:t>
      </w:r>
      <w:r>
        <w:rPr>
          <w:spacing w:val="-4"/>
        </w:rPr>
        <w:t>bold)</w:t>
      </w:r>
    </w:p>
    <w:p w14:paraId="5BCA23AB" w14:textId="77777777" w:rsidR="00E62EBD" w:rsidRDefault="00E62EBD">
      <w:pPr>
        <w:pStyle w:val="BodyText"/>
      </w:pPr>
    </w:p>
    <w:p w14:paraId="74C73E25" w14:textId="77777777" w:rsidR="00E62EBD" w:rsidRDefault="00000000">
      <w:pPr>
        <w:pStyle w:val="BodyText"/>
        <w:spacing w:line="275" w:lineRule="exact"/>
        <w:ind w:left="971" w:right="667"/>
        <w:jc w:val="center"/>
      </w:pPr>
      <w:r>
        <w:t>(In</w:t>
      </w:r>
      <w:r>
        <w:rPr>
          <w:spacing w:val="-5"/>
        </w:rPr>
        <w:t xml:space="preserve"> </w:t>
      </w:r>
      <w:r>
        <w:t>300 words in</w:t>
      </w:r>
      <w:r>
        <w:rPr>
          <w:spacing w:val="-5"/>
        </w:rPr>
        <w:t xml:space="preserve"> </w:t>
      </w:r>
      <w:r>
        <w:t>size</w:t>
      </w:r>
      <w:r>
        <w:rPr>
          <w:spacing w:val="-1"/>
        </w:rPr>
        <w:t xml:space="preserve"> </w:t>
      </w:r>
      <w:r>
        <w:t>12 Times</w:t>
      </w:r>
      <w:r>
        <w:rPr>
          <w:spacing w:val="-2"/>
        </w:rPr>
        <w:t xml:space="preserve"> </w:t>
      </w:r>
      <w:r>
        <w:t>New</w:t>
      </w:r>
      <w:r>
        <w:rPr>
          <w:spacing w:val="-1"/>
        </w:rPr>
        <w:t xml:space="preserve"> </w:t>
      </w:r>
      <w:r>
        <w:rPr>
          <w:spacing w:val="-2"/>
        </w:rPr>
        <w:t>Roman)</w:t>
      </w:r>
    </w:p>
    <w:p w14:paraId="1AA80848" w14:textId="77777777" w:rsidR="00E62EBD" w:rsidRDefault="00000000">
      <w:pPr>
        <w:pStyle w:val="BodyText"/>
        <w:tabs>
          <w:tab w:val="left" w:pos="1440"/>
          <w:tab w:val="left" w:pos="7923"/>
        </w:tabs>
        <w:spacing w:line="275" w:lineRule="exact"/>
        <w:ind w:right="516"/>
        <w:jc w:val="center"/>
      </w:pPr>
      <w:r>
        <w:t>Sr.</w:t>
      </w:r>
      <w:r>
        <w:rPr>
          <w:spacing w:val="62"/>
        </w:rPr>
        <w:t xml:space="preserve"> </w:t>
      </w:r>
      <w:r>
        <w:rPr>
          <w:spacing w:val="-5"/>
        </w:rPr>
        <w:t>No.</w:t>
      </w:r>
      <w:r>
        <w:tab/>
        <w:t>Title of</w:t>
      </w:r>
      <w:r>
        <w:rPr>
          <w:spacing w:val="-4"/>
        </w:rPr>
        <w:t xml:space="preserve"> </w:t>
      </w:r>
      <w:r>
        <w:rPr>
          <w:spacing w:val="-2"/>
        </w:rPr>
        <w:t>Figure</w:t>
      </w:r>
      <w:r>
        <w:tab/>
        <w:t xml:space="preserve">Page </w:t>
      </w:r>
      <w:r>
        <w:rPr>
          <w:spacing w:val="-5"/>
        </w:rPr>
        <w:t>No.</w:t>
      </w:r>
    </w:p>
    <w:p w14:paraId="3B5268EE" w14:textId="77777777" w:rsidR="00E62EBD" w:rsidRDefault="00E62EBD">
      <w:pPr>
        <w:pStyle w:val="BodyText"/>
      </w:pPr>
    </w:p>
    <w:p w14:paraId="639043D5" w14:textId="77777777" w:rsidR="00E62EBD" w:rsidRDefault="00000000">
      <w:pPr>
        <w:pStyle w:val="BodyText"/>
        <w:tabs>
          <w:tab w:val="left" w:pos="1812"/>
        </w:tabs>
        <w:ind w:left="372"/>
      </w:pPr>
      <w:r>
        <w:rPr>
          <w:spacing w:val="-5"/>
        </w:rPr>
        <w:t>1.</w:t>
      </w:r>
      <w:r>
        <w:tab/>
        <w:t>Figure</w:t>
      </w:r>
      <w:r>
        <w:rPr>
          <w:spacing w:val="-5"/>
        </w:rPr>
        <w:t xml:space="preserve"> </w:t>
      </w:r>
      <w:r>
        <w:rPr>
          <w:spacing w:val="-4"/>
        </w:rPr>
        <w:t>Title</w:t>
      </w:r>
    </w:p>
    <w:p w14:paraId="30872642" w14:textId="77777777" w:rsidR="00E62EBD" w:rsidRDefault="00E62EBD">
      <w:pPr>
        <w:pStyle w:val="BodyText"/>
        <w:sectPr w:rsidR="00E62EBD">
          <w:pgSz w:w="11910" w:h="16840"/>
          <w:pgMar w:top="1360" w:right="1133" w:bottom="280" w:left="708" w:header="720" w:footer="720" w:gutter="0"/>
          <w:cols w:space="720"/>
        </w:sectPr>
      </w:pPr>
    </w:p>
    <w:p w14:paraId="4BD390AF" w14:textId="77777777" w:rsidR="00E62EBD" w:rsidRDefault="00000000">
      <w:pPr>
        <w:pStyle w:val="Heading1"/>
        <w:ind w:right="662"/>
      </w:pPr>
      <w:r>
        <w:lastRenderedPageBreak/>
        <w:t>LIST</w:t>
      </w:r>
      <w:r>
        <w:rPr>
          <w:spacing w:val="-3"/>
        </w:rPr>
        <w:t xml:space="preserve"> </w:t>
      </w:r>
      <w:r>
        <w:t>OF</w:t>
      </w:r>
      <w:r>
        <w:rPr>
          <w:spacing w:val="-4"/>
        </w:rPr>
        <w:t xml:space="preserve"> </w:t>
      </w:r>
      <w:r>
        <w:rPr>
          <w:spacing w:val="-2"/>
        </w:rPr>
        <w:t>TABLES</w:t>
      </w:r>
    </w:p>
    <w:p w14:paraId="0E627A32" w14:textId="77777777" w:rsidR="00E62EBD" w:rsidRDefault="00000000">
      <w:pPr>
        <w:pStyle w:val="BodyText"/>
        <w:spacing w:line="276" w:lineRule="exact"/>
        <w:ind w:left="971" w:right="608"/>
        <w:jc w:val="center"/>
      </w:pPr>
      <w:r>
        <w:t>(Size</w:t>
      </w:r>
      <w:r>
        <w:rPr>
          <w:spacing w:val="-4"/>
        </w:rPr>
        <w:t xml:space="preserve"> </w:t>
      </w:r>
      <w:r>
        <w:t>16</w:t>
      </w:r>
      <w:r>
        <w:rPr>
          <w:spacing w:val="-2"/>
        </w:rPr>
        <w:t xml:space="preserve"> </w:t>
      </w:r>
      <w:r>
        <w:t>Times</w:t>
      </w:r>
      <w:r>
        <w:rPr>
          <w:spacing w:val="-4"/>
        </w:rPr>
        <w:t xml:space="preserve"> </w:t>
      </w:r>
      <w:r>
        <w:t>New</w:t>
      </w:r>
      <w:r>
        <w:rPr>
          <w:spacing w:val="-3"/>
        </w:rPr>
        <w:t xml:space="preserve"> </w:t>
      </w:r>
      <w:r>
        <w:t xml:space="preserve">Roman, </w:t>
      </w:r>
      <w:r>
        <w:rPr>
          <w:spacing w:val="-4"/>
        </w:rPr>
        <w:t>bold)</w:t>
      </w:r>
    </w:p>
    <w:p w14:paraId="72F683DD" w14:textId="77777777" w:rsidR="00E62EBD" w:rsidRDefault="00E62EBD">
      <w:pPr>
        <w:pStyle w:val="BodyText"/>
      </w:pPr>
    </w:p>
    <w:p w14:paraId="762D9BDC" w14:textId="77777777" w:rsidR="00E62EBD" w:rsidRDefault="00000000">
      <w:pPr>
        <w:pStyle w:val="BodyText"/>
        <w:spacing w:line="275" w:lineRule="exact"/>
        <w:ind w:left="971" w:right="667"/>
        <w:jc w:val="center"/>
      </w:pPr>
      <w:r>
        <w:t>(In</w:t>
      </w:r>
      <w:r>
        <w:rPr>
          <w:spacing w:val="-5"/>
        </w:rPr>
        <w:t xml:space="preserve"> </w:t>
      </w:r>
      <w:r>
        <w:t>300 words in</w:t>
      </w:r>
      <w:r>
        <w:rPr>
          <w:spacing w:val="-5"/>
        </w:rPr>
        <w:t xml:space="preserve"> </w:t>
      </w:r>
      <w:r>
        <w:t>size</w:t>
      </w:r>
      <w:r>
        <w:rPr>
          <w:spacing w:val="-1"/>
        </w:rPr>
        <w:t xml:space="preserve"> </w:t>
      </w:r>
      <w:r>
        <w:t>12 Times</w:t>
      </w:r>
      <w:r>
        <w:rPr>
          <w:spacing w:val="-2"/>
        </w:rPr>
        <w:t xml:space="preserve"> </w:t>
      </w:r>
      <w:r>
        <w:t>New</w:t>
      </w:r>
      <w:r>
        <w:rPr>
          <w:spacing w:val="-1"/>
        </w:rPr>
        <w:t xml:space="preserve"> </w:t>
      </w:r>
      <w:r>
        <w:rPr>
          <w:spacing w:val="-2"/>
        </w:rPr>
        <w:t>Roman)</w:t>
      </w:r>
    </w:p>
    <w:p w14:paraId="4EC13A63" w14:textId="77777777" w:rsidR="00E62EBD" w:rsidRDefault="00000000">
      <w:pPr>
        <w:pStyle w:val="BodyText"/>
        <w:tabs>
          <w:tab w:val="left" w:pos="1440"/>
          <w:tab w:val="left" w:pos="7202"/>
        </w:tabs>
        <w:spacing w:line="275" w:lineRule="exact"/>
        <w:ind w:right="1237"/>
        <w:jc w:val="center"/>
      </w:pPr>
      <w:r>
        <w:t>Sr.</w:t>
      </w:r>
      <w:r>
        <w:rPr>
          <w:spacing w:val="62"/>
        </w:rPr>
        <w:t xml:space="preserve"> </w:t>
      </w:r>
      <w:r>
        <w:rPr>
          <w:spacing w:val="-5"/>
        </w:rPr>
        <w:t>No.</w:t>
      </w:r>
      <w:r>
        <w:tab/>
        <w:t>Title</w:t>
      </w:r>
      <w:r>
        <w:rPr>
          <w:spacing w:val="-2"/>
        </w:rPr>
        <w:t xml:space="preserve"> </w:t>
      </w:r>
      <w:r>
        <w:t>of</w:t>
      </w:r>
      <w:r>
        <w:rPr>
          <w:spacing w:val="-6"/>
        </w:rPr>
        <w:t xml:space="preserve"> </w:t>
      </w:r>
      <w:r>
        <w:rPr>
          <w:spacing w:val="-4"/>
        </w:rPr>
        <w:t>Table</w:t>
      </w:r>
      <w:r>
        <w:tab/>
        <w:t xml:space="preserve">Page </w:t>
      </w:r>
      <w:r>
        <w:rPr>
          <w:spacing w:val="-5"/>
        </w:rPr>
        <w:t>No.</w:t>
      </w:r>
    </w:p>
    <w:p w14:paraId="65E9BE5B" w14:textId="77777777" w:rsidR="00E62EBD" w:rsidRDefault="00E62EBD">
      <w:pPr>
        <w:pStyle w:val="BodyText"/>
      </w:pPr>
    </w:p>
    <w:p w14:paraId="53389375" w14:textId="77777777" w:rsidR="00E62EBD" w:rsidRDefault="00000000">
      <w:pPr>
        <w:pStyle w:val="ListParagraph"/>
        <w:numPr>
          <w:ilvl w:val="0"/>
          <w:numId w:val="3"/>
        </w:numPr>
        <w:tabs>
          <w:tab w:val="left" w:pos="1812"/>
        </w:tabs>
        <w:ind w:left="1812" w:hanging="1440"/>
        <w:rPr>
          <w:sz w:val="24"/>
        </w:rPr>
      </w:pPr>
      <w:r>
        <w:rPr>
          <w:sz w:val="24"/>
        </w:rPr>
        <w:t>Table</w:t>
      </w:r>
      <w:r>
        <w:rPr>
          <w:spacing w:val="-4"/>
          <w:sz w:val="24"/>
        </w:rPr>
        <w:t xml:space="preserve"> </w:t>
      </w:r>
      <w:r>
        <w:rPr>
          <w:spacing w:val="-2"/>
          <w:sz w:val="24"/>
        </w:rPr>
        <w:t>Title</w:t>
      </w:r>
    </w:p>
    <w:p w14:paraId="3C7DC6A5" w14:textId="77777777" w:rsidR="00E62EBD" w:rsidRDefault="00E62EBD">
      <w:pPr>
        <w:pStyle w:val="ListParagraph"/>
        <w:rPr>
          <w:sz w:val="24"/>
        </w:rPr>
        <w:sectPr w:rsidR="00E62EBD">
          <w:pgSz w:w="11910" w:h="16840"/>
          <w:pgMar w:top="1360" w:right="1133" w:bottom="280" w:left="708" w:header="720" w:footer="720" w:gutter="0"/>
          <w:cols w:space="720"/>
        </w:sectPr>
      </w:pPr>
    </w:p>
    <w:p w14:paraId="403A8B4C" w14:textId="77777777" w:rsidR="00E62EBD" w:rsidRDefault="00000000">
      <w:pPr>
        <w:pStyle w:val="Heading1"/>
        <w:ind w:right="663"/>
      </w:pPr>
      <w:r>
        <w:lastRenderedPageBreak/>
        <w:t>TABLE</w:t>
      </w:r>
      <w:r>
        <w:rPr>
          <w:spacing w:val="-4"/>
        </w:rPr>
        <w:t xml:space="preserve"> </w:t>
      </w:r>
      <w:r>
        <w:t>OF</w:t>
      </w:r>
      <w:r>
        <w:rPr>
          <w:spacing w:val="-2"/>
        </w:rPr>
        <w:t xml:space="preserve"> CONTENTS</w:t>
      </w:r>
    </w:p>
    <w:p w14:paraId="20FEB6E8" w14:textId="77777777" w:rsidR="00E62EBD" w:rsidRDefault="00000000">
      <w:pPr>
        <w:pStyle w:val="BodyText"/>
        <w:spacing w:line="276" w:lineRule="exact"/>
        <w:ind w:left="971" w:right="673"/>
        <w:jc w:val="center"/>
      </w:pPr>
      <w:r>
        <w:t>(Size</w:t>
      </w:r>
      <w:r>
        <w:rPr>
          <w:spacing w:val="-4"/>
        </w:rPr>
        <w:t xml:space="preserve"> </w:t>
      </w:r>
      <w:r>
        <w:t>16</w:t>
      </w:r>
      <w:r>
        <w:rPr>
          <w:spacing w:val="-3"/>
        </w:rPr>
        <w:t xml:space="preserve"> </w:t>
      </w:r>
      <w:r>
        <w:t>Times</w:t>
      </w:r>
      <w:r>
        <w:rPr>
          <w:spacing w:val="-4"/>
        </w:rPr>
        <w:t xml:space="preserve"> </w:t>
      </w:r>
      <w:r>
        <w:t>New</w:t>
      </w:r>
      <w:r>
        <w:rPr>
          <w:spacing w:val="-4"/>
        </w:rPr>
        <w:t xml:space="preserve"> </w:t>
      </w:r>
      <w:r>
        <w:t>Roman,</w:t>
      </w:r>
      <w:r>
        <w:rPr>
          <w:spacing w:val="3"/>
        </w:rPr>
        <w:t xml:space="preserve"> </w:t>
      </w:r>
      <w:r>
        <w:rPr>
          <w:spacing w:val="-4"/>
        </w:rPr>
        <w:t>bold)</w:t>
      </w:r>
    </w:p>
    <w:p w14:paraId="66BBA304" w14:textId="77777777" w:rsidR="00E62EBD" w:rsidRDefault="00E62EBD">
      <w:pPr>
        <w:pStyle w:val="BodyText"/>
        <w:spacing w:before="274"/>
      </w:pPr>
    </w:p>
    <w:p w14:paraId="4769CE42" w14:textId="77777777" w:rsidR="00E62EBD" w:rsidRDefault="00000000">
      <w:pPr>
        <w:pStyle w:val="BodyText"/>
        <w:tabs>
          <w:tab w:val="left" w:pos="1812"/>
          <w:tab w:val="left" w:pos="8295"/>
        </w:tabs>
        <w:ind w:left="372"/>
        <w:jc w:val="both"/>
      </w:pPr>
      <w:r>
        <w:t>Sr.</w:t>
      </w:r>
      <w:r>
        <w:rPr>
          <w:spacing w:val="63"/>
        </w:rPr>
        <w:t xml:space="preserve"> </w:t>
      </w:r>
      <w:r>
        <w:rPr>
          <w:spacing w:val="-5"/>
        </w:rPr>
        <w:t>No.</w:t>
      </w:r>
      <w:r>
        <w:tab/>
        <w:t>Title of</w:t>
      </w:r>
      <w:r>
        <w:rPr>
          <w:spacing w:val="-6"/>
        </w:rPr>
        <w:t xml:space="preserve"> </w:t>
      </w:r>
      <w:r>
        <w:rPr>
          <w:spacing w:val="-2"/>
        </w:rPr>
        <w:t>Chapter</w:t>
      </w:r>
      <w:r>
        <w:tab/>
        <w:t xml:space="preserve">Page </w:t>
      </w:r>
      <w:r>
        <w:rPr>
          <w:spacing w:val="-5"/>
        </w:rPr>
        <w:t>No.</w:t>
      </w:r>
    </w:p>
    <w:p w14:paraId="411A92D7" w14:textId="77777777" w:rsidR="00E62EBD" w:rsidRDefault="00000000">
      <w:pPr>
        <w:pStyle w:val="ListParagraph"/>
        <w:numPr>
          <w:ilvl w:val="0"/>
          <w:numId w:val="2"/>
        </w:numPr>
        <w:tabs>
          <w:tab w:val="left" w:pos="1812"/>
          <w:tab w:val="right" w:pos="8718"/>
        </w:tabs>
        <w:spacing w:before="276"/>
        <w:ind w:left="1812" w:hanging="1440"/>
        <w:rPr>
          <w:sz w:val="24"/>
        </w:rPr>
      </w:pPr>
      <w:r>
        <w:rPr>
          <w:spacing w:val="-2"/>
          <w:sz w:val="24"/>
        </w:rPr>
        <w:t>Introduction</w:t>
      </w:r>
      <w:r>
        <w:rPr>
          <w:sz w:val="24"/>
        </w:rPr>
        <w:tab/>
      </w:r>
      <w:r>
        <w:rPr>
          <w:spacing w:val="-10"/>
          <w:sz w:val="24"/>
        </w:rPr>
        <w:t>1</w:t>
      </w:r>
    </w:p>
    <w:p w14:paraId="33802C48" w14:textId="77777777" w:rsidR="00E62EBD" w:rsidRDefault="00000000">
      <w:pPr>
        <w:pStyle w:val="ListParagraph"/>
        <w:numPr>
          <w:ilvl w:val="0"/>
          <w:numId w:val="2"/>
        </w:numPr>
        <w:tabs>
          <w:tab w:val="left" w:pos="1812"/>
        </w:tabs>
        <w:spacing w:before="137"/>
        <w:ind w:left="1812" w:hanging="1440"/>
        <w:rPr>
          <w:sz w:val="24"/>
        </w:rPr>
      </w:pPr>
      <w:r>
        <w:rPr>
          <w:sz w:val="24"/>
        </w:rPr>
        <w:t>Literature</w:t>
      </w:r>
      <w:r>
        <w:rPr>
          <w:spacing w:val="-3"/>
          <w:sz w:val="24"/>
        </w:rPr>
        <w:t xml:space="preserve"> </w:t>
      </w:r>
      <w:r>
        <w:rPr>
          <w:spacing w:val="-2"/>
          <w:sz w:val="24"/>
        </w:rPr>
        <w:t>Survey</w:t>
      </w:r>
    </w:p>
    <w:p w14:paraId="572F8864" w14:textId="77777777" w:rsidR="00E62EBD" w:rsidRDefault="00000000">
      <w:pPr>
        <w:pStyle w:val="ListParagraph"/>
        <w:numPr>
          <w:ilvl w:val="1"/>
          <w:numId w:val="2"/>
        </w:numPr>
        <w:tabs>
          <w:tab w:val="left" w:pos="2533"/>
        </w:tabs>
        <w:spacing w:before="142"/>
        <w:ind w:hanging="720"/>
        <w:rPr>
          <w:sz w:val="24"/>
        </w:rPr>
      </w:pPr>
      <w:r>
        <w:rPr>
          <w:sz w:val="24"/>
        </w:rPr>
        <w:t>Literature</w:t>
      </w:r>
      <w:r>
        <w:rPr>
          <w:spacing w:val="-3"/>
          <w:sz w:val="24"/>
        </w:rPr>
        <w:t xml:space="preserve"> </w:t>
      </w:r>
      <w:r>
        <w:rPr>
          <w:sz w:val="24"/>
        </w:rPr>
        <w:t>Review</w:t>
      </w:r>
      <w:r>
        <w:rPr>
          <w:spacing w:val="4"/>
          <w:sz w:val="24"/>
        </w:rPr>
        <w:t xml:space="preserve"> </w:t>
      </w:r>
      <w:r>
        <w:rPr>
          <w:sz w:val="24"/>
        </w:rPr>
        <w:t>based</w:t>
      </w:r>
      <w:r>
        <w:rPr>
          <w:spacing w:val="-1"/>
          <w:sz w:val="24"/>
        </w:rPr>
        <w:t xml:space="preserve"> </w:t>
      </w:r>
      <w:r>
        <w:rPr>
          <w:sz w:val="24"/>
        </w:rPr>
        <w:t>on</w:t>
      </w:r>
      <w:r>
        <w:rPr>
          <w:spacing w:val="-7"/>
          <w:sz w:val="24"/>
        </w:rPr>
        <w:t xml:space="preserve"> </w:t>
      </w:r>
      <w:r>
        <w:rPr>
          <w:sz w:val="24"/>
        </w:rPr>
        <w:t>research</w:t>
      </w:r>
      <w:r>
        <w:rPr>
          <w:spacing w:val="-6"/>
          <w:sz w:val="24"/>
        </w:rPr>
        <w:t xml:space="preserve"> </w:t>
      </w:r>
      <w:r>
        <w:rPr>
          <w:spacing w:val="-2"/>
          <w:sz w:val="24"/>
        </w:rPr>
        <w:t>papers</w:t>
      </w:r>
    </w:p>
    <w:p w14:paraId="5590540C" w14:textId="77777777" w:rsidR="00E62EBD" w:rsidRDefault="00000000">
      <w:pPr>
        <w:pStyle w:val="ListParagraph"/>
        <w:numPr>
          <w:ilvl w:val="1"/>
          <w:numId w:val="2"/>
        </w:numPr>
        <w:tabs>
          <w:tab w:val="left" w:pos="2533"/>
        </w:tabs>
        <w:spacing w:before="136"/>
        <w:ind w:hanging="720"/>
        <w:rPr>
          <w:sz w:val="24"/>
        </w:rPr>
      </w:pPr>
      <w:r>
        <w:rPr>
          <w:sz w:val="24"/>
        </w:rPr>
        <w:t>Market</w:t>
      </w:r>
      <w:r>
        <w:rPr>
          <w:spacing w:val="3"/>
          <w:sz w:val="24"/>
        </w:rPr>
        <w:t xml:space="preserve"> </w:t>
      </w:r>
      <w:r>
        <w:rPr>
          <w:spacing w:val="-2"/>
          <w:sz w:val="24"/>
        </w:rPr>
        <w:t>Survey</w:t>
      </w:r>
    </w:p>
    <w:p w14:paraId="1CF52388" w14:textId="77777777" w:rsidR="00E62EBD" w:rsidRDefault="00000000">
      <w:pPr>
        <w:pStyle w:val="ListParagraph"/>
        <w:numPr>
          <w:ilvl w:val="1"/>
          <w:numId w:val="2"/>
        </w:numPr>
        <w:tabs>
          <w:tab w:val="left" w:pos="2533"/>
        </w:tabs>
        <w:spacing w:before="137"/>
        <w:ind w:hanging="720"/>
        <w:rPr>
          <w:sz w:val="24"/>
        </w:rPr>
      </w:pPr>
      <w:r>
        <w:rPr>
          <w:sz w:val="24"/>
        </w:rPr>
        <w:t>Component</w:t>
      </w:r>
      <w:r>
        <w:rPr>
          <w:spacing w:val="-4"/>
          <w:sz w:val="24"/>
        </w:rPr>
        <w:t xml:space="preserve"> </w:t>
      </w:r>
      <w:r>
        <w:rPr>
          <w:spacing w:val="-2"/>
          <w:sz w:val="24"/>
        </w:rPr>
        <w:t>Survey</w:t>
      </w:r>
    </w:p>
    <w:p w14:paraId="0360E3B7" w14:textId="77777777" w:rsidR="00E62EBD" w:rsidRDefault="00000000">
      <w:pPr>
        <w:pStyle w:val="ListParagraph"/>
        <w:numPr>
          <w:ilvl w:val="1"/>
          <w:numId w:val="2"/>
        </w:numPr>
        <w:tabs>
          <w:tab w:val="left" w:pos="2533"/>
        </w:tabs>
        <w:spacing w:before="137"/>
        <w:ind w:hanging="720"/>
        <w:rPr>
          <w:sz w:val="24"/>
        </w:rPr>
      </w:pPr>
      <w:r>
        <w:rPr>
          <w:sz w:val="24"/>
        </w:rPr>
        <w:t>Summary</w:t>
      </w:r>
      <w:r>
        <w:rPr>
          <w:spacing w:val="-6"/>
          <w:sz w:val="24"/>
        </w:rPr>
        <w:t xml:space="preserve"> </w:t>
      </w:r>
      <w:r>
        <w:rPr>
          <w:sz w:val="24"/>
        </w:rPr>
        <w:t>of</w:t>
      </w:r>
      <w:r>
        <w:rPr>
          <w:spacing w:val="-3"/>
          <w:sz w:val="24"/>
        </w:rPr>
        <w:t xml:space="preserve"> </w:t>
      </w:r>
      <w:r>
        <w:rPr>
          <w:sz w:val="24"/>
        </w:rPr>
        <w:t>the</w:t>
      </w:r>
      <w:r>
        <w:rPr>
          <w:spacing w:val="4"/>
          <w:sz w:val="24"/>
        </w:rPr>
        <w:t xml:space="preserve"> </w:t>
      </w:r>
      <w:r>
        <w:rPr>
          <w:spacing w:val="-2"/>
          <w:sz w:val="24"/>
        </w:rPr>
        <w:t>Survey</w:t>
      </w:r>
    </w:p>
    <w:p w14:paraId="370C85A6" w14:textId="77777777" w:rsidR="00E62EBD" w:rsidRDefault="00000000">
      <w:pPr>
        <w:pStyle w:val="ListParagraph"/>
        <w:numPr>
          <w:ilvl w:val="1"/>
          <w:numId w:val="2"/>
        </w:numPr>
        <w:tabs>
          <w:tab w:val="left" w:pos="2533"/>
        </w:tabs>
        <w:spacing w:before="142"/>
        <w:ind w:hanging="720"/>
        <w:rPr>
          <w:sz w:val="24"/>
        </w:rPr>
      </w:pPr>
      <w:r>
        <w:rPr>
          <w:sz w:val="24"/>
        </w:rPr>
        <w:t>Problem</w:t>
      </w:r>
      <w:r>
        <w:rPr>
          <w:spacing w:val="-9"/>
          <w:sz w:val="24"/>
        </w:rPr>
        <w:t xml:space="preserve"> </w:t>
      </w:r>
      <w:r>
        <w:rPr>
          <w:spacing w:val="-2"/>
          <w:sz w:val="24"/>
        </w:rPr>
        <w:t>Statement</w:t>
      </w:r>
    </w:p>
    <w:p w14:paraId="7670048C" w14:textId="77777777" w:rsidR="00E62EBD" w:rsidRDefault="00000000">
      <w:pPr>
        <w:pStyle w:val="ListParagraph"/>
        <w:numPr>
          <w:ilvl w:val="1"/>
          <w:numId w:val="2"/>
        </w:numPr>
        <w:tabs>
          <w:tab w:val="left" w:pos="2533"/>
        </w:tabs>
        <w:spacing w:before="137"/>
        <w:ind w:hanging="720"/>
        <w:rPr>
          <w:sz w:val="24"/>
        </w:rPr>
      </w:pPr>
      <w:r>
        <w:rPr>
          <w:spacing w:val="-2"/>
          <w:sz w:val="24"/>
        </w:rPr>
        <w:t>Methodology</w:t>
      </w:r>
    </w:p>
    <w:p w14:paraId="426B677E" w14:textId="77777777" w:rsidR="00E62EBD" w:rsidRDefault="00000000">
      <w:pPr>
        <w:pStyle w:val="ListParagraph"/>
        <w:numPr>
          <w:ilvl w:val="1"/>
          <w:numId w:val="2"/>
        </w:numPr>
        <w:tabs>
          <w:tab w:val="left" w:pos="2533"/>
        </w:tabs>
        <w:spacing w:before="137"/>
        <w:ind w:hanging="720"/>
        <w:rPr>
          <w:sz w:val="24"/>
        </w:rPr>
      </w:pPr>
      <w:r>
        <w:rPr>
          <w:sz w:val="24"/>
        </w:rPr>
        <w:t>Aim</w:t>
      </w:r>
      <w:r>
        <w:rPr>
          <w:spacing w:val="-4"/>
          <w:sz w:val="24"/>
        </w:rPr>
        <w:t xml:space="preserve"> </w:t>
      </w:r>
      <w:r>
        <w:rPr>
          <w:sz w:val="24"/>
        </w:rPr>
        <w:t>and</w:t>
      </w:r>
      <w:r>
        <w:rPr>
          <w:spacing w:val="1"/>
          <w:sz w:val="24"/>
        </w:rPr>
        <w:t xml:space="preserve"> </w:t>
      </w:r>
      <w:r>
        <w:rPr>
          <w:spacing w:val="-2"/>
          <w:sz w:val="24"/>
        </w:rPr>
        <w:t>Objectives</w:t>
      </w:r>
    </w:p>
    <w:p w14:paraId="2D6E37B3" w14:textId="77777777" w:rsidR="00E62EBD" w:rsidRDefault="00000000">
      <w:pPr>
        <w:pStyle w:val="ListParagraph"/>
        <w:numPr>
          <w:ilvl w:val="0"/>
          <w:numId w:val="2"/>
        </w:numPr>
        <w:tabs>
          <w:tab w:val="left" w:pos="1812"/>
        </w:tabs>
        <w:spacing w:before="137"/>
        <w:ind w:left="1812" w:hanging="1440"/>
        <w:rPr>
          <w:sz w:val="24"/>
        </w:rPr>
      </w:pPr>
      <w:r>
        <w:rPr>
          <w:sz w:val="24"/>
        </w:rPr>
        <w:t>Specification</w:t>
      </w:r>
      <w:r>
        <w:rPr>
          <w:spacing w:val="-2"/>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project</w:t>
      </w:r>
    </w:p>
    <w:p w14:paraId="785B8938" w14:textId="77777777" w:rsidR="00E62EBD" w:rsidRDefault="00000000">
      <w:pPr>
        <w:pStyle w:val="ListParagraph"/>
        <w:numPr>
          <w:ilvl w:val="0"/>
          <w:numId w:val="2"/>
        </w:numPr>
        <w:tabs>
          <w:tab w:val="left" w:pos="1812"/>
        </w:tabs>
        <w:spacing w:before="142"/>
        <w:ind w:left="1812" w:hanging="1440"/>
        <w:rPr>
          <w:sz w:val="24"/>
        </w:rPr>
      </w:pPr>
      <w:r>
        <w:rPr>
          <w:sz w:val="24"/>
        </w:rPr>
        <w:t>Block Diagram</w:t>
      </w:r>
      <w:r>
        <w:rPr>
          <w:spacing w:val="-5"/>
          <w:sz w:val="24"/>
        </w:rPr>
        <w:t xml:space="preserve"> </w:t>
      </w:r>
      <w:r>
        <w:rPr>
          <w:sz w:val="24"/>
        </w:rPr>
        <w:t>&amp;</w:t>
      </w:r>
      <w:r>
        <w:rPr>
          <w:spacing w:val="-4"/>
          <w:sz w:val="24"/>
        </w:rPr>
        <w:t xml:space="preserve"> </w:t>
      </w:r>
      <w:r>
        <w:rPr>
          <w:spacing w:val="-2"/>
          <w:sz w:val="24"/>
        </w:rPr>
        <w:t>Description</w:t>
      </w:r>
    </w:p>
    <w:p w14:paraId="6AAC1636" w14:textId="77777777" w:rsidR="00E62EBD" w:rsidRDefault="00000000">
      <w:pPr>
        <w:pStyle w:val="ListParagraph"/>
        <w:numPr>
          <w:ilvl w:val="0"/>
          <w:numId w:val="2"/>
        </w:numPr>
        <w:tabs>
          <w:tab w:val="left" w:pos="1813"/>
        </w:tabs>
        <w:spacing w:before="137" w:line="360" w:lineRule="auto"/>
        <w:ind w:right="5802"/>
        <w:rPr>
          <w:sz w:val="24"/>
        </w:rPr>
      </w:pPr>
      <w:r>
        <w:rPr>
          <w:sz w:val="24"/>
        </w:rPr>
        <w:t>Hardware</w:t>
      </w:r>
      <w:r>
        <w:rPr>
          <w:spacing w:val="-15"/>
          <w:sz w:val="24"/>
        </w:rPr>
        <w:t xml:space="preserve"> </w:t>
      </w:r>
      <w:r>
        <w:rPr>
          <w:sz w:val="24"/>
        </w:rPr>
        <w:t>System</w:t>
      </w:r>
      <w:r>
        <w:rPr>
          <w:spacing w:val="-15"/>
          <w:sz w:val="24"/>
        </w:rPr>
        <w:t xml:space="preserve"> </w:t>
      </w:r>
      <w:r>
        <w:rPr>
          <w:sz w:val="24"/>
        </w:rPr>
        <w:t xml:space="preserve">Design </w:t>
      </w:r>
      <w:r>
        <w:rPr>
          <w:spacing w:val="-4"/>
          <w:sz w:val="24"/>
        </w:rPr>
        <w:t>5.1</w:t>
      </w:r>
    </w:p>
    <w:p w14:paraId="66DD12F8" w14:textId="77777777" w:rsidR="00E62EBD" w:rsidRDefault="00000000">
      <w:pPr>
        <w:pStyle w:val="BodyText"/>
        <w:tabs>
          <w:tab w:val="left" w:pos="2533"/>
        </w:tabs>
        <w:spacing w:line="362" w:lineRule="auto"/>
        <w:ind w:left="2533" w:right="4401" w:hanging="721"/>
      </w:pPr>
      <w:r>
        <w:rPr>
          <w:spacing w:val="-4"/>
        </w:rPr>
        <w:t>5.2</w:t>
      </w:r>
      <w:r>
        <w:tab/>
        <w:t>{Detailed</w:t>
      </w:r>
      <w:r>
        <w:rPr>
          <w:spacing w:val="-6"/>
        </w:rPr>
        <w:t xml:space="preserve"> </w:t>
      </w:r>
      <w:r>
        <w:t>Design</w:t>
      </w:r>
      <w:r>
        <w:rPr>
          <w:spacing w:val="-11"/>
        </w:rPr>
        <w:t xml:space="preserve"> </w:t>
      </w:r>
      <w:r>
        <w:t>of</w:t>
      </w:r>
      <w:r>
        <w:rPr>
          <w:spacing w:val="-14"/>
        </w:rPr>
        <w:t xml:space="preserve"> </w:t>
      </w:r>
      <w:r>
        <w:t>each</w:t>
      </w:r>
      <w:r>
        <w:rPr>
          <w:spacing w:val="-11"/>
        </w:rPr>
        <w:t xml:space="preserve"> </w:t>
      </w:r>
      <w:r>
        <w:t xml:space="preserve">block} </w:t>
      </w:r>
      <w:r>
        <w:rPr>
          <w:spacing w:val="-2"/>
        </w:rPr>
        <w:t>5.2.1</w:t>
      </w:r>
    </w:p>
    <w:p w14:paraId="4A2DAFE0" w14:textId="77777777" w:rsidR="00E62EBD" w:rsidRDefault="00000000">
      <w:pPr>
        <w:pStyle w:val="BodyText"/>
        <w:spacing w:line="273" w:lineRule="exact"/>
        <w:ind w:left="2533"/>
      </w:pPr>
      <w:r>
        <w:rPr>
          <w:spacing w:val="-2"/>
        </w:rPr>
        <w:t>5.2.2</w:t>
      </w:r>
    </w:p>
    <w:p w14:paraId="55C100E9" w14:textId="77777777" w:rsidR="00E62EBD" w:rsidRDefault="00000000">
      <w:pPr>
        <w:pStyle w:val="ListParagraph"/>
        <w:numPr>
          <w:ilvl w:val="0"/>
          <w:numId w:val="2"/>
        </w:numPr>
        <w:tabs>
          <w:tab w:val="left" w:pos="1813"/>
        </w:tabs>
        <w:spacing w:before="134" w:line="360" w:lineRule="auto"/>
        <w:ind w:right="5722"/>
        <w:rPr>
          <w:sz w:val="24"/>
        </w:rPr>
      </w:pPr>
      <w:r>
        <w:rPr>
          <w:sz w:val="24"/>
        </w:rPr>
        <w:t>Software System Design (Algorithms</w:t>
      </w:r>
      <w:r>
        <w:rPr>
          <w:spacing w:val="-15"/>
          <w:sz w:val="24"/>
        </w:rPr>
        <w:t xml:space="preserve"> </w:t>
      </w:r>
      <w:r>
        <w:rPr>
          <w:sz w:val="24"/>
        </w:rPr>
        <w:t>&amp;</w:t>
      </w:r>
      <w:r>
        <w:rPr>
          <w:spacing w:val="-15"/>
          <w:sz w:val="24"/>
        </w:rPr>
        <w:t xml:space="preserve"> </w:t>
      </w:r>
      <w:r>
        <w:rPr>
          <w:sz w:val="24"/>
        </w:rPr>
        <w:t>Flowchart)</w:t>
      </w:r>
    </w:p>
    <w:p w14:paraId="684CD0FF" w14:textId="77777777" w:rsidR="00E62EBD" w:rsidRDefault="00000000">
      <w:pPr>
        <w:pStyle w:val="ListParagraph"/>
        <w:numPr>
          <w:ilvl w:val="0"/>
          <w:numId w:val="2"/>
        </w:numPr>
        <w:tabs>
          <w:tab w:val="left" w:pos="1812"/>
        </w:tabs>
        <w:spacing w:before="3"/>
        <w:ind w:left="1812" w:hanging="1440"/>
        <w:rPr>
          <w:sz w:val="24"/>
        </w:rPr>
      </w:pPr>
      <w:r>
        <w:rPr>
          <w:sz w:val="24"/>
        </w:rPr>
        <w:t>Expected</w:t>
      </w:r>
      <w:r>
        <w:rPr>
          <w:spacing w:val="1"/>
          <w:sz w:val="24"/>
        </w:rPr>
        <w:t xml:space="preserve"> </w:t>
      </w:r>
      <w:r>
        <w:rPr>
          <w:spacing w:val="-2"/>
          <w:sz w:val="24"/>
        </w:rPr>
        <w:t>Results</w:t>
      </w:r>
    </w:p>
    <w:p w14:paraId="65FAA51F" w14:textId="77777777" w:rsidR="00E62EBD" w:rsidRDefault="00000000">
      <w:pPr>
        <w:pStyle w:val="ListParagraph"/>
        <w:numPr>
          <w:ilvl w:val="0"/>
          <w:numId w:val="2"/>
        </w:numPr>
        <w:tabs>
          <w:tab w:val="left" w:pos="1812"/>
        </w:tabs>
        <w:spacing w:before="137"/>
        <w:ind w:left="1812" w:hanging="1440"/>
        <w:rPr>
          <w:sz w:val="24"/>
        </w:rPr>
      </w:pPr>
      <w:r>
        <w:rPr>
          <w:spacing w:val="-2"/>
          <w:sz w:val="24"/>
        </w:rPr>
        <w:t>Applications</w:t>
      </w:r>
    </w:p>
    <w:p w14:paraId="5B9D71F9" w14:textId="77777777" w:rsidR="00E62EBD" w:rsidRDefault="00000000">
      <w:pPr>
        <w:pStyle w:val="ListParagraph"/>
        <w:numPr>
          <w:ilvl w:val="0"/>
          <w:numId w:val="2"/>
        </w:numPr>
        <w:tabs>
          <w:tab w:val="left" w:pos="1812"/>
        </w:tabs>
        <w:spacing w:before="137"/>
        <w:ind w:left="1812" w:hanging="1440"/>
        <w:rPr>
          <w:sz w:val="24"/>
        </w:rPr>
      </w:pPr>
      <w:r>
        <w:rPr>
          <w:spacing w:val="-2"/>
          <w:sz w:val="24"/>
        </w:rPr>
        <w:t>Conclusion</w:t>
      </w:r>
    </w:p>
    <w:p w14:paraId="422A43E2" w14:textId="77777777" w:rsidR="00E62EBD" w:rsidRDefault="00000000">
      <w:pPr>
        <w:pStyle w:val="ListParagraph"/>
        <w:numPr>
          <w:ilvl w:val="0"/>
          <w:numId w:val="2"/>
        </w:numPr>
        <w:tabs>
          <w:tab w:val="left" w:pos="1812"/>
        </w:tabs>
        <w:spacing w:before="137"/>
        <w:ind w:left="1812" w:hanging="1440"/>
        <w:rPr>
          <w:sz w:val="24"/>
        </w:rPr>
      </w:pPr>
      <w:r>
        <w:rPr>
          <w:sz w:val="24"/>
        </w:rPr>
        <w:t>References</w:t>
      </w:r>
      <w:r>
        <w:rPr>
          <w:spacing w:val="-3"/>
          <w:sz w:val="24"/>
        </w:rPr>
        <w:t xml:space="preserve"> </w:t>
      </w:r>
      <w:r>
        <w:rPr>
          <w:sz w:val="24"/>
        </w:rPr>
        <w:t>/</w:t>
      </w:r>
      <w:r>
        <w:rPr>
          <w:spacing w:val="-1"/>
          <w:sz w:val="24"/>
        </w:rPr>
        <w:t xml:space="preserve"> </w:t>
      </w:r>
      <w:r>
        <w:rPr>
          <w:spacing w:val="-2"/>
          <w:sz w:val="24"/>
        </w:rPr>
        <w:t>Bibliography</w:t>
      </w:r>
    </w:p>
    <w:p w14:paraId="6A7B1A8D" w14:textId="77777777" w:rsidR="00E62EBD" w:rsidRDefault="00000000">
      <w:pPr>
        <w:pStyle w:val="ListParagraph"/>
        <w:numPr>
          <w:ilvl w:val="0"/>
          <w:numId w:val="2"/>
        </w:numPr>
        <w:tabs>
          <w:tab w:val="left" w:pos="1812"/>
        </w:tabs>
        <w:spacing w:before="137"/>
        <w:ind w:left="1812" w:hanging="1440"/>
        <w:rPr>
          <w:sz w:val="24"/>
        </w:rPr>
      </w:pPr>
      <w:r>
        <w:rPr>
          <w:sz w:val="24"/>
        </w:rPr>
        <w:t>Data</w:t>
      </w:r>
      <w:r>
        <w:rPr>
          <w:spacing w:val="-3"/>
          <w:sz w:val="24"/>
        </w:rPr>
        <w:t xml:space="preserve"> </w:t>
      </w:r>
      <w:r>
        <w:rPr>
          <w:sz w:val="24"/>
        </w:rPr>
        <w:t>Sheets.</w:t>
      </w:r>
      <w:r>
        <w:rPr>
          <w:spacing w:val="-3"/>
          <w:sz w:val="24"/>
        </w:rPr>
        <w:t xml:space="preserve"> </w:t>
      </w:r>
      <w:r>
        <w:rPr>
          <w:sz w:val="24"/>
        </w:rPr>
        <w:t>(Only</w:t>
      </w:r>
      <w:r>
        <w:rPr>
          <w:spacing w:val="-1"/>
          <w:sz w:val="24"/>
        </w:rPr>
        <w:t xml:space="preserve"> </w:t>
      </w:r>
      <w:r>
        <w:rPr>
          <w:sz w:val="24"/>
        </w:rPr>
        <w:t>for</w:t>
      </w:r>
      <w:r>
        <w:rPr>
          <w:spacing w:val="-1"/>
          <w:sz w:val="24"/>
        </w:rPr>
        <w:t xml:space="preserve"> </w:t>
      </w:r>
      <w:r>
        <w:rPr>
          <w:sz w:val="24"/>
        </w:rPr>
        <w:t>uncommon</w:t>
      </w:r>
      <w:r>
        <w:rPr>
          <w:spacing w:val="-6"/>
          <w:sz w:val="24"/>
        </w:rPr>
        <w:t xml:space="preserve"> </w:t>
      </w:r>
      <w:r>
        <w:rPr>
          <w:spacing w:val="-2"/>
          <w:sz w:val="24"/>
        </w:rPr>
        <w:t>components)</w:t>
      </w:r>
    </w:p>
    <w:p>
      <w:r>
        <w:br w:type="page"/>
      </w:r>
    </w:p>
    <w:p>
      <w:pPr>
        <w:spacing w:before="280" w:after="280" w:line="360" w:lineRule="auto"/>
        <w:ind w:left="567" w:right="-137"/>
        <w:jc w:val="center"/>
      </w:pPr>
      <w:r>
        <w:rPr>
          <w:rFonts w:ascii="Times New Roman" w:hAnsi="Times New Roman"/>
          <w:b/>
          <w:sz w:val="32"/>
        </w:rPr>
        <w:t>CHAPTER 1: INTRODUCTION</w:t>
      </w:r>
    </w:p>
    <w:p>
      <w:pPr>
        <w:spacing w:before="280" w:after="80" w:line="360" w:lineRule="auto"/>
        <w:ind w:left="567" w:right="-137"/>
        <w:jc w:val="left"/>
      </w:pPr>
      <w:r>
        <w:rPr>
          <w:rFonts w:ascii="Times New Roman" w:hAnsi="Times New Roman"/>
          <w:b/>
          <w:sz w:val="28"/>
        </w:rPr>
        <w:t>1.1 Background &amp; Environmental Motivation</w:t>
      </w:r>
    </w:p>
    <w:p>
      <w:pPr>
        <w:spacing w:before="0" w:after="120" w:line="360" w:lineRule="auto"/>
        <w:ind w:left="567" w:right="-137"/>
        <w:jc w:val="both"/>
      </w:pPr>
      <w:r>
        <w:rPr>
          <w:rFonts w:ascii="Times New Roman" w:hAnsi="Times New Roman"/>
          <w:sz w:val="24"/>
        </w:rPr>
        <w:t>Over the past seven decades, synthetic polymers have fundamentally transformed modern industrial manufacturing, packaging, healthcare, agriculture, and consumer goods. Global plastic production surged from 1.5 million metric tons in 1950 to over 400 million metric tons annually in recent years, with cumulative global manufacture exceeding 9.2 billion metric tons. Because of their exceptional durability, low production cost, chemical inertness, and resistance to natural biochemical biodegradation, non-recycled plastic waste persists in natural ecosystems for hundreds to thousands of years.</w:t>
      </w:r>
    </w:p>
    <w:p>
      <w:pPr>
        <w:spacing w:before="0" w:after="120" w:line="360" w:lineRule="auto"/>
        <w:ind w:left="567" w:right="-137"/>
        <w:jc w:val="both"/>
      </w:pPr>
      <w:r>
        <w:rPr>
          <w:rFonts w:ascii="Times New Roman" w:hAnsi="Times New Roman"/>
          <w:sz w:val="24"/>
        </w:rPr>
        <w:t>A substantial fraction of mismanaged municipal solid waste enters terrestrial and aquatic ecosystems through surface runoff, untreated wastewater effluent, stormwater drains, and industrial discharge. Once in freshwater bodies and marine environments, mechanical abrasion from wave action, hydraulic shearing forces, and intense solar ultraviolet (UV) photo-oxidative degradation progressively fragment macro-plastic debris into microscopic particles. These minute synthetic polymer particulates, measuring less than 5 millimeters across their largest dimension, are scientifically classified as microplastics.</w:t>
      </w:r>
    </w:p>
    <w:p>
      <w:pPr>
        <w:spacing w:before="0" w:after="120" w:line="360" w:lineRule="auto"/>
        <w:ind w:left="567" w:right="-137"/>
        <w:jc w:val="both"/>
      </w:pPr>
      <w:r>
        <w:rPr>
          <w:rFonts w:ascii="Times New Roman" w:hAnsi="Times New Roman"/>
          <w:sz w:val="24"/>
        </w:rPr>
        <w:t>The omnipresence of microplastics across freshwater rivers, lakes, groundwater reservoirs, and oceanic gyres has precipitated a global ecological emergency. Marine and freshwater fauna, ranging from foundational zooplankton and benthic macroinvertebrates to commercial fish species and marine mammals, mistake suspended microplastics for natural food sources. Ingestion leads to false satiety, mechanical blockage and laceration of the gastrointestinal tract, severe malnutrition, neurotoxicity, and elevated mortality rates.</w:t>
      </w:r>
    </w:p>
    <w:p>
      <w:pPr>
        <w:spacing w:before="0" w:after="120" w:line="360" w:lineRule="auto"/>
        <w:ind w:left="567" w:right="-137"/>
        <w:jc w:val="both"/>
      </w:pPr>
      <w:r>
        <w:rPr>
          <w:rFonts w:ascii="Times New Roman" w:hAnsi="Times New Roman"/>
          <w:sz w:val="24"/>
        </w:rPr>
        <w:t>Furthermore, due to their hydrophobic polymeric surfaces and elevated surface-area-to-volume ratios, microplastics act as concentrated carriers for hazardous environmental contaminants. They passively absorb toxic Persistent Organic Pollutants (POPs)—including polychlorinated biphenyls (PCBs), polycyclic aromatic hydrocarbons (PAHs), and dichlorodiphenyltrichloroethane (DDT)—as well as heavy metals (lead, cadmium, mercury) and microbial pathogens. Through trophic transfer and biomagnification, these chemical vectors infiltrate commercial seafood and agricultural irrigation streams, directly exposing human consumers to endocrine disruptors, carcinogens, and systemic inflammatory health risks.</w:t>
      </w:r>
    </w:p>
    <w:p>
      <w:pPr>
        <w:spacing w:before="280" w:after="80" w:line="360" w:lineRule="auto"/>
        <w:ind w:left="567" w:right="-137"/>
        <w:jc w:val="left"/>
      </w:pPr>
      <w:r>
        <w:rPr>
          <w:rFonts w:ascii="Times New Roman" w:hAnsi="Times New Roman"/>
          <w:b/>
          <w:sz w:val="28"/>
        </w:rPr>
        <w:t>1.2 Definition, Size Hierarchy &amp; Particle Morphology</w:t>
      </w:r>
    </w:p>
    <w:p>
      <w:pPr>
        <w:spacing w:before="0" w:after="120" w:line="360" w:lineRule="auto"/>
        <w:ind w:left="567" w:right="-137"/>
        <w:jc w:val="both"/>
      </w:pPr>
      <w:r>
        <w:rPr>
          <w:rFonts w:ascii="Times New Roman" w:hAnsi="Times New Roman"/>
          <w:sz w:val="24"/>
        </w:rPr>
        <w:t>Environmental regulatory bodies, including the United States National Oceanic and Atmospheric Administration (NOAA) and the European Chemicals Agency (ECHA), formally establish a dimensional taxonomy for synthetic debris in water:</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Macroplastics (&gt; 25 mm): </w:t>
      </w:r>
      <w:r>
        <w:rPr>
          <w:rFonts w:ascii="Times New Roman" w:hAnsi="Times New Roman"/>
          <w:sz w:val="24"/>
        </w:rPr>
        <w:t>Debris exceeding 25 mm in diameter, such as intact beverage bottles, discarded fishing nets, and packaging crates.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Mesoplastics (5 mm – 25 mm): </w:t>
      </w:r>
      <w:r>
        <w:rPr>
          <w:rFonts w:ascii="Times New Roman" w:hAnsi="Times New Roman"/>
          <w:sz w:val="24"/>
        </w:rPr>
        <w:t>Particulates measuring between 5 mm and 25 mm, representing intermediate physical fragmentation products.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Microplastics (1 μm – 5 mm): </w:t>
      </w:r>
      <w:r>
        <w:rPr>
          <w:rFonts w:ascii="Times New Roman" w:hAnsi="Times New Roman"/>
          <w:sz w:val="24"/>
        </w:rPr>
        <w:t>Synthetic polymer particles measuring between 1 μm and 5 mm (5000 μm), which represent the primary analytical target of this investigation.</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Nanoplastics (&lt; 1 μm): </w:t>
      </w:r>
      <w:r>
        <w:rPr>
          <w:rFonts w:ascii="Times New Roman" w:hAnsi="Times New Roman"/>
          <w:sz w:val="24"/>
        </w:rPr>
        <w:t>Colloidal polymeric particles smaller than 1 μm (down to 1 nm), which exhibit distinct interfacial transport dynamics and cellular membrane penetration capabilities.</w:t>
      </w:r>
    </w:p>
    <w:p>
      <w:pPr>
        <w:spacing w:before="0" w:after="120" w:line="360" w:lineRule="auto"/>
        <w:ind w:left="567" w:right="-137"/>
        <w:jc w:val="both"/>
      </w:pPr>
      <w:r>
        <w:rPr>
          <w:rFonts w:ascii="Times New Roman" w:hAnsi="Times New Roman"/>
          <w:sz w:val="24"/>
        </w:rPr>
        <w:t>In addition to size, microplastics are classified into distinct morphological categories based on their physical geometry and production genesis. Morphology serves as an essential forensic indicator for identifying industrial origins and guiding mitigation policies: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1. Fibers: </w:t>
      </w:r>
      <w:r>
        <w:rPr>
          <w:rFonts w:ascii="Times New Roman" w:hAnsi="Times New Roman"/>
          <w:sz w:val="24"/>
        </w:rPr>
        <w:t>Slender, elongated thread-like strands primarily originating from synthetic apparel (polyester, nylon, acrylic, elastane). Domestic laundry machines discharge an estimated 700,000 synthetic microfibers per typical wash cycle directly into domestic sewage.</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2. Films: </w:t>
      </w:r>
      <w:r>
        <w:rPr>
          <w:rFonts w:ascii="Times New Roman" w:hAnsi="Times New Roman"/>
          <w:sz w:val="24"/>
        </w:rPr>
        <w:t>Ultra-thin, planar, flexible polymer sheets generated from the tearing and weathering of polyethylene (PE) and polypropylene (PP) grocery bags, packaging films, and agricultural mulch coverings.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3. Fragments: </w:t>
      </w:r>
      <w:r>
        <w:rPr>
          <w:rFonts w:ascii="Times New Roman" w:hAnsi="Times New Roman"/>
          <w:sz w:val="24"/>
        </w:rPr>
        <w:t>Hard, rigid, angular particles exhibiting jagged fracture margins. Fragments arise from the mechanical disintegration of rigid everyday plastics, including bottle caps, cutlery, automotive components, and rigid containers.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4. Pellets &amp; Beads: </w:t>
      </w:r>
      <w:r>
        <w:rPr>
          <w:rFonts w:ascii="Times New Roman" w:hAnsi="Times New Roman"/>
          <w:sz w:val="24"/>
        </w:rPr>
        <w:t>Spherical, disc-shaped, or cylindrical virgin resin granules (often termed nurdles) used as industrial raw materials in plastics molding, as well as manufactured microbeads historically formulated in personal care cosmetics and industrial abrasive air-blasting.</w:t>
      </w:r>
    </w:p>
    <w:p>
      <w:pPr>
        <w:spacing w:before="280" w:after="80" w:line="360" w:lineRule="auto"/>
        <w:ind w:left="567" w:right="-137"/>
        <w:jc w:val="left"/>
      </w:pPr>
      <w:r>
        <w:rPr>
          <w:rFonts w:ascii="Times New Roman" w:hAnsi="Times New Roman"/>
          <w:b/>
          <w:sz w:val="28"/>
        </w:rPr>
        <w:t>1.3 Analytical Limitations of Conventional Microplastic Detection</w:t>
      </w:r>
    </w:p>
    <w:p>
      <w:pPr>
        <w:spacing w:before="0" w:after="120" w:line="360" w:lineRule="auto"/>
        <w:ind w:left="567" w:right="-137"/>
        <w:jc w:val="both"/>
      </w:pPr>
      <w:r>
        <w:rPr>
          <w:rFonts w:ascii="Times New Roman" w:hAnsi="Times New Roman"/>
          <w:sz w:val="24"/>
        </w:rPr>
        <w:t>Current analytical methodologies for detecting and characterizing microplastics in water samples rely heavily on laboratory benchtop instruments that suffer from severe operational constraints: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1. Spectroscopy (FTIR, μ-FTIR, and Raman): </w:t>
      </w:r>
      <w:r>
        <w:rPr>
          <w:rFonts w:ascii="Times New Roman" w:hAnsi="Times New Roman"/>
          <w:sz w:val="24"/>
        </w:rPr>
        <w:t>Fourier-Transform Infrared spectroscopy and Raman micro-spectroscopy are recognized as the gold standards for determining polymer chemical identities. However, equipment costs range from $80,000 to $200,000 per workstation. Furthermore, analyses require extensive chemical pre-treatment (Fenton oxidation, potassium hydroxide digestion, or enzymatic treatment) to destroy biological tissues, followed by point-by-point spectral scanning requiring several hours per slide.</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2. Thermal Extraction (Py-GC/MS): </w:t>
      </w:r>
      <w:r>
        <w:rPr>
          <w:rFonts w:ascii="Times New Roman" w:hAnsi="Times New Roman"/>
          <w:sz w:val="24"/>
        </w:rPr>
        <w:t>Pyrolysis-Gas Chromatography/Mass Spectrometry decomposes polymers thermally to identify chemical additives and mass concentrations. However, this process is destructive, eliminates all particle count and morphology data, and requires centralized lab infrastructure.</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3. Fluorescence Tagging (Nile Red Staining): </w:t>
      </w:r>
      <w:r>
        <w:rPr>
          <w:rFonts w:ascii="Times New Roman" w:hAnsi="Times New Roman"/>
          <w:sz w:val="24"/>
        </w:rPr>
        <w:t>Fluorescent dyes such as Nile Red selectively stain hydrophobic surfaces under specific blue/UV excitation wavelengths. While faster than full spectroscopy, Nile Red exhibits non-specific binding with natural organic lipids, wood lignin, and algal debris, yielding false-positive rates frequently exceeding 30%.</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4. Manual Visual Stereomicroscopy: </w:t>
      </w:r>
      <w:r>
        <w:rPr>
          <w:rFonts w:ascii="Times New Roman" w:hAnsi="Times New Roman"/>
          <w:sz w:val="24"/>
        </w:rPr>
        <w:t>Technicians manually scan filter membranes under stereomicroscopes with tweezers. This practice is severely prone to operator fatigue, subjective observer bias, and severe identification inaccuracies—with reported misclassification rates exceeding 40% for particulates smaller than 300 μm.</w:t>
      </w:r>
    </w:p>
    <w:p>
      <w:pPr>
        <w:spacing w:before="280" w:after="80" w:line="360" w:lineRule="auto"/>
        <w:ind w:left="567" w:right="-137"/>
        <w:jc w:val="left"/>
      </w:pPr>
      <w:r>
        <w:rPr>
          <w:rFonts w:ascii="Times New Roman" w:hAnsi="Times New Roman"/>
          <w:b/>
          <w:sz w:val="28"/>
        </w:rPr>
        <w:t>1.4 Need for Edge AI-Powered Optical Smart Microscopy</w:t>
      </w:r>
    </w:p>
    <w:p>
      <w:pPr>
        <w:spacing w:before="0" w:after="120" w:line="360" w:lineRule="auto"/>
        <w:ind w:left="567" w:right="-137"/>
        <w:jc w:val="both"/>
      </w:pPr>
      <w:r>
        <w:rPr>
          <w:rFonts w:ascii="Times New Roman" w:hAnsi="Times New Roman"/>
          <w:sz w:val="24"/>
        </w:rPr>
        <w:t>Given the operational and economic limitations of existing laboratory workflows, there is an urgent technological imperative for automated, real-time, in-situ water surveillance systems. The rapid convergence of high-resolution digital image sensors, embedded hardware accelerators (such as the NVIDIA Jetson Nano and Raspberry Pi), and modern deep learning object detection frameworks provides the technological foundation to address this challenge.</w:t>
      </w:r>
    </w:p>
    <w:p>
      <w:pPr>
        <w:spacing w:before="0" w:after="120" w:line="360" w:lineRule="auto"/>
        <w:ind w:left="567" w:right="-137"/>
        <w:jc w:val="both"/>
      </w:pPr>
      <w:r>
        <w:rPr>
          <w:rFonts w:ascii="Times New Roman" w:hAnsi="Times New Roman"/>
          <w:sz w:val="24"/>
        </w:rPr>
        <w:t>An Edge AI-Powered Smart Microscope couples digital microscopic optics with an embedded neural inference engine capable of performing automated particle detection, tracking, and morphological classification directly at the sampling point. By executing inference locally on edge hardware, the system eliminates reliance on centralized cloud servers, reduces sample turnaround latency from weeks to sub-second real-time metrics, and empowers environmental inspectors, treatment plant engineers, and researchers with continuous quantitative water assessment.</w:t>
      </w:r>
    </w:p>
    <w:p>
      <w:pPr>
        <w:spacing w:before="280" w:after="80" w:line="360" w:lineRule="auto"/>
        <w:ind w:left="567" w:right="-137"/>
        <w:jc w:val="left"/>
      </w:pPr>
      <w:r>
        <w:rPr>
          <w:rFonts w:ascii="Times New Roman" w:hAnsi="Times New Roman"/>
          <w:b/>
          <w:sz w:val="28"/>
        </w:rPr>
        <w:t>1.5 Organization of the Report</w:t>
      </w:r>
    </w:p>
    <w:p>
      <w:pPr>
        <w:spacing w:before="0" w:after="120" w:line="360" w:lineRule="auto"/>
        <w:ind w:left="567" w:right="-137"/>
        <w:jc w:val="both"/>
      </w:pPr>
      <w:r>
        <w:rPr>
          <w:rFonts w:ascii="Times New Roman" w:hAnsi="Times New Roman"/>
          <w:sz w:val="24"/>
        </w:rPr>
        <w:t>This Project Stage I report is structured into nine comprehensive chapters documenting the theoretical conception, hardware design, machine learning algorithms, and experimental validation of the smart microscope system:</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Chapter 1 (Introduction): </w:t>
      </w:r>
      <w:r>
        <w:rPr>
          <w:rFonts w:ascii="Times New Roman" w:hAnsi="Times New Roman"/>
          <w:sz w:val="24"/>
        </w:rPr>
        <w:t>Establishes the environmental motivation, taxonomy definitions, and limitations of existing detection methods.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Chapter 2 (Literature Survey): </w:t>
      </w:r>
      <w:r>
        <w:rPr>
          <w:rFonts w:ascii="Times New Roman" w:hAnsi="Times New Roman"/>
          <w:sz w:val="24"/>
        </w:rPr>
        <w:t>Provides an extensive survey of contemporary research literature, object detection models, market analyzers, and edge computing hardware.</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Chapter 3 (Problem Statement &amp; Objectives): </w:t>
      </w:r>
      <w:r>
        <w:rPr>
          <w:rFonts w:ascii="Times New Roman" w:hAnsi="Times New Roman"/>
          <w:sz w:val="24"/>
        </w:rPr>
        <w:t>Defines the formal problem statement, engineering aims, technical objectives, and detailed optical/electrical/mechanical specifications.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Chapter 4 (System Architecture &amp; Subsystems): </w:t>
      </w:r>
      <w:r>
        <w:rPr>
          <w:rFonts w:ascii="Times New Roman" w:hAnsi="Times New Roman"/>
          <w:sz w:val="24"/>
        </w:rPr>
        <w:t>Presents the system architecture, optical path, and decoupled Two-Stage Pipeline concept.</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Chapter 5 (Hardware &amp; Mechanical System Design): </w:t>
      </w:r>
      <w:r>
        <w:rPr>
          <w:rFonts w:ascii="Times New Roman" w:hAnsi="Times New Roman"/>
          <w:sz w:val="24"/>
        </w:rPr>
        <w:t>Details the electrical circuit design, optical imaging alignment, mechanical slide stage, thermal heatsink dissipation, and bill of materials.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Chapter 6 (Software System Design &amp; Algorithms): </w:t>
      </w:r>
      <w:r>
        <w:rPr>
          <w:rFonts w:ascii="Times New Roman" w:hAnsi="Times New Roman"/>
          <w:sz w:val="24"/>
        </w:rPr>
        <w:t>Documents the Stage 1 YOLO11n mathematical formulation, Stage 2 HOG + Color Histogram feature extraction, SVM classification, and operational algorithms.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Chapter 7 (Experimental Results &amp; Discussion): </w:t>
      </w:r>
      <w:r>
        <w:rPr>
          <w:rFonts w:ascii="Times New Roman" w:hAnsi="Times New Roman"/>
          <w:sz w:val="24"/>
        </w:rPr>
        <w:t>Presents the multi-source consolidated benchmark (2,102 images), training loss curves, evaluation metrics (82.4% mAP@50, 99.79% accuracy), and confusion matrices.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Chapter 8 (Applications &amp; Future Scope): </w:t>
      </w:r>
      <w:r>
        <w:rPr>
          <w:rFonts w:ascii="Times New Roman" w:hAnsi="Times New Roman"/>
          <w:sz w:val="24"/>
        </w:rPr>
        <w:t>Explores real-world industrial and ecological deployment scenarios, social impacts, and the engineering roadmap for Project Stage II.</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Chapter 9 (Conclusion &amp; References): </w:t>
      </w:r>
      <w:r>
        <w:rPr>
          <w:rFonts w:ascii="Times New Roman" w:hAnsi="Times New Roman"/>
          <w:sz w:val="24"/>
        </w:rPr>
        <w:t>Summarizes project achievements, key contributions, and provides full IEEE-formatted bibliographic references.</w:t>
      </w:r>
    </w:p>
    <w:p>
      <w:r>
        <w:br w:type="page"/>
      </w:r>
    </w:p>
    <w:p>
      <w:pPr>
        <w:spacing w:before="280" w:after="280" w:line="360" w:lineRule="auto"/>
        <w:ind w:left="567" w:right="-137"/>
        <w:jc w:val="center"/>
      </w:pPr>
      <w:r>
        <w:rPr>
          <w:rFonts w:ascii="Times New Roman" w:hAnsi="Times New Roman"/>
          <w:b/>
          <w:sz w:val="32"/>
        </w:rPr>
        <w:t>CHAPTER 2: LITERATURE SURVEY</w:t>
      </w:r>
    </w:p>
    <w:p>
      <w:pPr>
        <w:spacing w:before="280" w:after="80" w:line="360" w:lineRule="auto"/>
        <w:ind w:left="567" w:right="-137"/>
        <w:jc w:val="left"/>
      </w:pPr>
      <w:r>
        <w:rPr>
          <w:rFonts w:ascii="Times New Roman" w:hAnsi="Times New Roman"/>
          <w:b/>
          <w:sz w:val="28"/>
        </w:rPr>
        <w:t>2.1 Evolution of Computer Vision in Environmental Monitoring</w:t>
      </w:r>
    </w:p>
    <w:p>
      <w:pPr>
        <w:spacing w:before="0" w:after="120" w:line="360" w:lineRule="auto"/>
        <w:ind w:left="567" w:right="-137"/>
        <w:jc w:val="both"/>
      </w:pPr>
      <w:r>
        <w:rPr>
          <w:rFonts w:ascii="Times New Roman" w:hAnsi="Times New Roman"/>
          <w:sz w:val="24"/>
        </w:rPr>
        <w:t>Computer vision systems applied to environmental surveillance have evolved through two distinct technological eras: classical feature engineering and deep convolutional representation learning. In early environmental vision research, particulate analysis was conducted using classical image processing pipelines comprising Otsu thresholding, Canny edge filtering, morphological dilation/erosion, and connected component labeling. While computationally lightweight, these handcrafted spatial algorithms were exceptionally fragile when exposed to fluctuating illumination, fluid turbulence, overlapping biological debris, and transparent polymeric surfaces.</w:t>
      </w:r>
    </w:p>
    <w:p>
      <w:pPr>
        <w:spacing w:before="0" w:after="120" w:line="360" w:lineRule="auto"/>
        <w:ind w:left="567" w:right="-137"/>
        <w:jc w:val="both"/>
      </w:pPr>
      <w:r>
        <w:rPr>
          <w:rFonts w:ascii="Times New Roman" w:hAnsi="Times New Roman"/>
          <w:sz w:val="24"/>
        </w:rPr>
        <w:t>The advent of Convolutional Neural Networks (CNNs) fundamentally altered this landscape by learning hierarchical spatial features directly from raw pixel arrays. Rather than relying on rigid manual heuristics, CNN backbones extract rich multi-scale representations ranging from low-level edge gradients to high-level textural abstractions, making them uniquely suited for identifying complex, amorphous microplastics in natural aquatic matrices.</w:t>
      </w:r>
    </w:p>
    <w:p>
      <w:pPr>
        <w:spacing w:before="280" w:after="80" w:line="360" w:lineRule="auto"/>
        <w:ind w:left="567" w:right="-137"/>
        <w:jc w:val="left"/>
      </w:pPr>
      <w:r>
        <w:rPr>
          <w:rFonts w:ascii="Times New Roman" w:hAnsi="Times New Roman"/>
          <w:b/>
          <w:sz w:val="28"/>
        </w:rPr>
        <w:t>2.2 Review of Previous Research Publications</w:t>
      </w:r>
    </w:p>
    <w:p>
      <w:pPr>
        <w:spacing w:before="0" w:after="120" w:line="360" w:lineRule="auto"/>
        <w:ind w:left="567" w:right="-137"/>
        <w:jc w:val="both"/>
      </w:pPr>
      <w:r>
        <w:rPr>
          <w:rFonts w:ascii="Times New Roman" w:hAnsi="Times New Roman"/>
          <w:sz w:val="24"/>
        </w:rPr>
        <w:t>A rigorous review of pivotal peer-reviewed literature across marine science, instrumentation engineering, and applied machine learning reveals several foundational methodologies:</w:t>
      </w:r>
    </w:p>
    <w:p>
      <w:pPr>
        <w:spacing w:before="0" w:after="120" w:line="360" w:lineRule="auto"/>
        <w:ind w:left="567" w:right="-137"/>
        <w:jc w:val="both"/>
      </w:pPr>
      <w:r>
        <w:rPr>
          <w:rFonts w:ascii="Times New Roman" w:hAnsi="Times New Roman"/>
          <w:sz w:val="24"/>
        </w:rPr>
        <w:t>Lorenzo-Navarro et al. [1] proposed an automated deep learning framework for classifying microplastics extracted from beach sediment samples. Utilizing pre-trained ResNet-50 and VGG-16 networks, the authors achieved an impressive 94.2% top-1 classification accuracy across isolated macro-particles placed against standardized white laboratory backdrops. However, their pipeline operated strictly on static, segmented single-particle crops and lacked any mechanism for real-time bounding box detection, spatial localization, or continuous fluidic video stream processing.</w:t>
      </w:r>
    </w:p>
    <w:p>
      <w:pPr>
        <w:spacing w:before="0" w:after="120" w:line="360" w:lineRule="auto"/>
        <w:ind w:left="567" w:right="-137"/>
        <w:jc w:val="both"/>
      </w:pPr>
      <w:r>
        <w:rPr>
          <w:rFonts w:ascii="Times New Roman" w:hAnsi="Times New Roman"/>
          <w:sz w:val="24"/>
        </w:rPr>
        <w:t>Kueranan et al. [2] compiled an extensive microscopic image dataset of marine debris collected from coastal surface waters and applied a single-stage YOLOv5 detector for simultaneous particle localization and multi-class classification. While their study validated the speed of single-stage detectors on optical microscopy, their multi-class detector exhibited severe inter-class confusion between broad 'microplastic' labels and specific 'fiber' or 'film' classes. Their reported mean Average Precision (mAP) was capped below 68% due to conflicting loss gradients during end-to-end backpropagation.</w:t>
      </w:r>
    </w:p>
    <w:p>
      <w:pPr>
        <w:spacing w:before="0" w:after="120" w:line="360" w:lineRule="auto"/>
        <w:ind w:left="567" w:right="-137"/>
        <w:jc w:val="both"/>
      </w:pPr>
      <w:r>
        <w:rPr>
          <w:rFonts w:ascii="Times New Roman" w:hAnsi="Times New Roman"/>
          <w:sz w:val="24"/>
        </w:rPr>
        <w:t>Rakhitha et al. [3] designed an embedded digital microscopy platform utilizing transfer learning on MobileNetV2 for waterborne micro-particulate counting. The authors demonstrated that edge microcomputers could perform binary particle counting at 12 FPS. However, their architecture lacked morphological discrimination capability, treating all organic and synthetic particles as identical circular anomalies.</w:t>
      </w:r>
    </w:p>
    <w:p>
      <w:pPr>
        <w:spacing w:before="0" w:after="120" w:line="360" w:lineRule="auto"/>
        <w:ind w:left="567" w:right="-137"/>
        <w:jc w:val="both"/>
      </w:pPr>
      <w:r>
        <w:rPr>
          <w:rFonts w:ascii="Times New Roman" w:hAnsi="Times New Roman"/>
          <w:sz w:val="24"/>
        </w:rPr>
        <w:t>Zhang et al. [4] investigated fluorescent Nile Red optical microscopy combined with Support Vector Machines (SVM) for identifying microplastics in municipal wastewater effluent. By extracting geometric aspect ratios, circularity, and fluorescent intensity histograms, their SVM classifier separated fibers from pellets with 91.5% accuracy. However, their approach required chemical dye incubation and suffered from fluorescent quenching under continuous illumination.</w:t>
      </w:r>
    </w:p>
    <w:p>
      <w:pPr>
        <w:spacing w:before="0" w:after="120" w:line="360" w:lineRule="auto"/>
        <w:ind w:left="567" w:right="-137"/>
        <w:jc w:val="both"/>
      </w:pPr>
      <w:r>
        <w:rPr>
          <w:rFonts w:ascii="Times New Roman" w:hAnsi="Times New Roman"/>
          <w:sz w:val="24"/>
        </w:rPr>
        <w:t>Prata et al. [5] published a comprehensive comparative analysis reviewing sampling and detection methodologies across global research groups. The authors concluded that optical microscopy represents the most viable operational modality for continuous field monitoring, provided that automated image analysis algorithms can overcome human visual fatigue and subjective sizing errors.</w:t>
      </w:r>
    </w:p>
    <w:p>
      <w:pPr>
        <w:spacing w:before="280" w:after="80" w:line="360" w:lineRule="auto"/>
        <w:ind w:left="567" w:right="-137"/>
        <w:jc w:val="left"/>
      </w:pPr>
      <w:r>
        <w:rPr>
          <w:rFonts w:ascii="Times New Roman" w:hAnsi="Times New Roman"/>
          <w:b/>
          <w:sz w:val="28"/>
        </w:rPr>
        <w:t>2.3 Comprehensive Literature Review Summary Table</w:t>
      </w:r>
    </w:p>
    <w:p>
      <w:pPr>
        <w:spacing w:before="0" w:after="120" w:line="360" w:lineRule="auto"/>
        <w:ind w:left="567" w:right="-137"/>
        <w:jc w:val="both"/>
      </w:pPr>
      <w:r>
        <w:rPr>
          <w:rFonts w:ascii="Times New Roman" w:hAnsi="Times New Roman"/>
          <w:sz w:val="24"/>
        </w:rPr>
        <w:t>To provide a systematic and exhaustive survey of the state of the art, Table 2.1 summarizes twenty-five seminal research contributions spanning optical instrumentation, digital holography, vibrational spectroscopy, deep learning backbones, and edge vision models applied to microplastic analysis and automated particulate inspection.</w:t>
      </w:r>
    </w:p>
    <w:tbl>
      <w:tblPr>
        <w:tblW w:type="auto" w:w="0"/>
        <w:jc w:val="center"/>
        <w:tblLook w:firstColumn="1" w:firstRow="1" w:lastColumn="0" w:lastRow="0" w:noHBand="0" w:noVBand="1" w:val="04A0"/>
      </w:tblPr>
      <w:tblGrid>
        <w:gridCol w:w="1678"/>
        <w:gridCol w:w="1678"/>
        <w:gridCol w:w="1678"/>
        <w:gridCol w:w="1678"/>
        <w:gridCol w:w="1678"/>
        <w:gridCol w:w="1678"/>
      </w:tblGrid>
      <w:tr>
        <w:tc>
          <w:tcPr>
            <w:tcW w:type="dxa" w:w="1678"/>
            <w:shd w:fill="EAEAEA"/>
            <w:tcMar>
              <w:top w:w="50" w:type="dxa"/>
              <w:bottom w:w="50" w:type="dxa"/>
              <w:left w:w="60" w:type="dxa"/>
              <w:right w:w="60" w:type="dxa"/>
            </w:tcMar>
          </w:tcPr>
          <w:p>
            <w:r>
              <w:rPr>
                <w:rFonts w:ascii="Times New Roman" w:hAnsi="Times New Roman"/>
                <w:b/>
                <w:sz w:val="19"/>
              </w:rPr>
              <w:t>S.No.</w:t>
            </w:r>
          </w:p>
        </w:tc>
        <w:tc>
          <w:tcPr>
            <w:tcW w:type="dxa" w:w="1678"/>
            <w:shd w:fill="EAEAEA"/>
            <w:tcMar>
              <w:top w:w="50" w:type="dxa"/>
              <w:bottom w:w="50" w:type="dxa"/>
              <w:left w:w="60" w:type="dxa"/>
              <w:right w:w="60" w:type="dxa"/>
            </w:tcMar>
          </w:tcPr>
          <w:p>
            <w:r>
              <w:rPr>
                <w:rFonts w:ascii="Times New Roman" w:hAnsi="Times New Roman"/>
                <w:b/>
                <w:sz w:val="19"/>
              </w:rPr>
              <w:t>Author / Year</w:t>
            </w:r>
          </w:p>
        </w:tc>
        <w:tc>
          <w:tcPr>
            <w:tcW w:type="dxa" w:w="1678"/>
            <w:shd w:fill="EAEAEA"/>
            <w:tcMar>
              <w:top w:w="50" w:type="dxa"/>
              <w:bottom w:w="50" w:type="dxa"/>
              <w:left w:w="60" w:type="dxa"/>
              <w:right w:w="60" w:type="dxa"/>
            </w:tcMar>
          </w:tcPr>
          <w:p>
            <w:r>
              <w:rPr>
                <w:rFonts w:ascii="Times New Roman" w:hAnsi="Times New Roman"/>
                <w:b/>
                <w:sz w:val="19"/>
              </w:rPr>
              <w:t>Technique / Approach</w:t>
            </w:r>
          </w:p>
        </w:tc>
        <w:tc>
          <w:tcPr>
            <w:tcW w:type="dxa" w:w="1678"/>
            <w:shd w:fill="EAEAEA"/>
            <w:tcMar>
              <w:top w:w="50" w:type="dxa"/>
              <w:bottom w:w="50" w:type="dxa"/>
              <w:left w:w="60" w:type="dxa"/>
              <w:right w:w="60" w:type="dxa"/>
            </w:tcMar>
          </w:tcPr>
          <w:p>
            <w:r>
              <w:rPr>
                <w:rFonts w:ascii="Times New Roman" w:hAnsi="Times New Roman"/>
                <w:b/>
                <w:sz w:val="19"/>
              </w:rPr>
              <w:t>Dataset / Input</w:t>
            </w:r>
          </w:p>
        </w:tc>
        <w:tc>
          <w:tcPr>
            <w:tcW w:type="dxa" w:w="1678"/>
            <w:shd w:fill="EAEAEA"/>
            <w:tcMar>
              <w:top w:w="50" w:type="dxa"/>
              <w:bottom w:w="50" w:type="dxa"/>
              <w:left w:w="60" w:type="dxa"/>
              <w:right w:w="60" w:type="dxa"/>
            </w:tcMar>
          </w:tcPr>
          <w:p>
            <w:r>
              <w:rPr>
                <w:rFonts w:ascii="Times New Roman" w:hAnsi="Times New Roman"/>
                <w:b/>
                <w:sz w:val="19"/>
              </w:rPr>
              <w:t>Key Findings</w:t>
            </w:r>
          </w:p>
        </w:tc>
        <w:tc>
          <w:tcPr>
            <w:tcW w:type="dxa" w:w="1678"/>
            <w:shd w:fill="EAEAEA"/>
            <w:tcMar>
              <w:top w:w="50" w:type="dxa"/>
              <w:bottom w:w="50" w:type="dxa"/>
              <w:left w:w="60" w:type="dxa"/>
              <w:right w:w="60" w:type="dxa"/>
            </w:tcMar>
          </w:tcPr>
          <w:p>
            <w:r>
              <w:rPr>
                <w:rFonts w:ascii="Times New Roman" w:hAnsi="Times New Roman"/>
                <w:b/>
                <w:sz w:val="19"/>
              </w:rPr>
              <w:t>Limitations</w:t>
            </w:r>
          </w:p>
        </w:tc>
      </w:tr>
      <w:tr>
        <w:tc>
          <w:tcPr>
            <w:tcW w:type="dxa" w:w="1678"/>
            <w:tcMar>
              <w:top w:w="50" w:type="dxa"/>
              <w:bottom w:w="50" w:type="dxa"/>
              <w:left w:w="60" w:type="dxa"/>
              <w:right w:w="60" w:type="dxa"/>
            </w:tcMar>
          </w:tcPr>
          <w:p>
            <w:r>
              <w:rPr>
                <w:rFonts w:ascii="Times New Roman" w:hAnsi="Times New Roman"/>
                <w:sz w:val="19"/>
              </w:rPr>
              <w:t>1</w:t>
            </w:r>
          </w:p>
        </w:tc>
        <w:tc>
          <w:tcPr>
            <w:tcW w:type="dxa" w:w="1678"/>
            <w:tcMar>
              <w:top w:w="50" w:type="dxa"/>
              <w:bottom w:w="50" w:type="dxa"/>
              <w:left w:w="60" w:type="dxa"/>
              <w:right w:w="60" w:type="dxa"/>
            </w:tcMar>
          </w:tcPr>
          <w:p>
            <w:r>
              <w:rPr>
                <w:rFonts w:ascii="Times New Roman" w:hAnsi="Times New Roman"/>
                <w:sz w:val="19"/>
              </w:rPr>
              <w:t>S. Sundar, 2022</w:t>
            </w:r>
          </w:p>
        </w:tc>
        <w:tc>
          <w:tcPr>
            <w:tcW w:type="dxa" w:w="1678"/>
            <w:tcMar>
              <w:top w:w="50" w:type="dxa"/>
              <w:bottom w:w="50" w:type="dxa"/>
              <w:left w:w="60" w:type="dxa"/>
              <w:right w:w="60" w:type="dxa"/>
            </w:tcMar>
          </w:tcPr>
          <w:p>
            <w:r>
              <w:rPr>
                <w:rFonts w:ascii="Times New Roman" w:hAnsi="Times New Roman"/>
                <w:sz w:val="19"/>
              </w:rPr>
              <w:t>Low-cost IoT-based system using computer vision and instance segmentation for detection, classification and quantification of microplastics.</w:t>
            </w:r>
          </w:p>
        </w:tc>
        <w:tc>
          <w:tcPr>
            <w:tcW w:type="dxa" w:w="1678"/>
            <w:tcMar>
              <w:top w:w="50" w:type="dxa"/>
              <w:bottom w:w="50" w:type="dxa"/>
              <w:left w:w="60" w:type="dxa"/>
              <w:right w:w="60" w:type="dxa"/>
            </w:tcMar>
          </w:tcPr>
          <w:p>
            <w:r>
              <w:rPr>
                <w:rFonts w:ascii="Times New Roman" w:hAnsi="Times New Roman"/>
                <w:sz w:val="19"/>
              </w:rPr>
              <w:t>Images of microplastic particles captured using a low-cost imaging/IoT setup.</w:t>
            </w:r>
          </w:p>
        </w:tc>
        <w:tc>
          <w:tcPr>
            <w:tcW w:type="dxa" w:w="1678"/>
            <w:tcMar>
              <w:top w:w="50" w:type="dxa"/>
              <w:bottom w:w="50" w:type="dxa"/>
              <w:left w:w="60" w:type="dxa"/>
              <w:right w:w="60" w:type="dxa"/>
            </w:tcMar>
          </w:tcPr>
          <w:p>
            <w:r>
              <w:rPr>
                <w:rFonts w:ascii="Times New Roman" w:hAnsi="Times New Roman"/>
                <w:sz w:val="19"/>
              </w:rPr>
              <w:t>Demonstrated the feasibility of combining low-cost sensing, IoT and instance segmentation for automated microplastic analysis.</w:t>
            </w:r>
          </w:p>
        </w:tc>
        <w:tc>
          <w:tcPr>
            <w:tcW w:type="dxa" w:w="1678"/>
            <w:tcMar>
              <w:top w:w="50" w:type="dxa"/>
              <w:bottom w:w="50" w:type="dxa"/>
              <w:left w:w="60" w:type="dxa"/>
              <w:right w:w="60" w:type="dxa"/>
            </w:tcMar>
          </w:tcPr>
          <w:p>
            <w:r>
              <w:rPr>
                <w:rFonts w:ascii="Times New Roman" w:hAnsi="Times New Roman"/>
                <w:sz w:val="19"/>
              </w:rPr>
              <w:t>Limited by imaging quality, dataset size and the difficulty of distinguishing microplastics from visually similar particles in real environmental samples.</w:t>
            </w:r>
          </w:p>
        </w:tc>
      </w:tr>
      <w:tr>
        <w:tc>
          <w:tcPr>
            <w:tcW w:type="dxa" w:w="1678"/>
            <w:tcMar>
              <w:top w:w="50" w:type="dxa"/>
              <w:bottom w:w="50" w:type="dxa"/>
              <w:left w:w="60" w:type="dxa"/>
              <w:right w:w="60" w:type="dxa"/>
            </w:tcMar>
          </w:tcPr>
          <w:p>
            <w:r>
              <w:rPr>
                <w:rFonts w:ascii="Times New Roman" w:hAnsi="Times New Roman"/>
                <w:sz w:val="19"/>
              </w:rPr>
              <w:t>2</w:t>
            </w:r>
          </w:p>
        </w:tc>
        <w:tc>
          <w:tcPr>
            <w:tcW w:type="dxa" w:w="1678"/>
            <w:tcMar>
              <w:top w:w="50" w:type="dxa"/>
              <w:bottom w:w="50" w:type="dxa"/>
              <w:left w:w="60" w:type="dxa"/>
              <w:right w:w="60" w:type="dxa"/>
            </w:tcMar>
          </w:tcPr>
          <w:p>
            <w:r>
              <w:rPr>
                <w:rFonts w:ascii="Times New Roman" w:hAnsi="Times New Roman"/>
                <w:sz w:val="19"/>
              </w:rPr>
              <w:t>M. Valentino et al., 2022</w:t>
            </w:r>
          </w:p>
        </w:tc>
        <w:tc>
          <w:tcPr>
            <w:tcW w:type="dxa" w:w="1678"/>
            <w:tcMar>
              <w:top w:w="50" w:type="dxa"/>
              <w:bottom w:w="50" w:type="dxa"/>
              <w:left w:w="60" w:type="dxa"/>
              <w:right w:w="60" w:type="dxa"/>
            </w:tcMar>
          </w:tcPr>
          <w:p>
            <w:r>
              <w:rPr>
                <w:rFonts w:ascii="Times New Roman" w:hAnsi="Times New Roman"/>
                <w:sz w:val="19"/>
              </w:rPr>
              <w:t>Digital holographic imaging for intelligent monitoring of microplastics in marine water.</w:t>
            </w:r>
          </w:p>
        </w:tc>
        <w:tc>
          <w:tcPr>
            <w:tcW w:type="dxa" w:w="1678"/>
            <w:tcMar>
              <w:top w:w="50" w:type="dxa"/>
              <w:bottom w:w="50" w:type="dxa"/>
              <w:left w:w="60" w:type="dxa"/>
              <w:right w:w="60" w:type="dxa"/>
            </w:tcMar>
          </w:tcPr>
          <w:p>
            <w:r>
              <w:rPr>
                <w:rFonts w:ascii="Times New Roman" w:hAnsi="Times New Roman"/>
                <w:sz w:val="19"/>
              </w:rPr>
              <w:t>Digital holographic images of particles in marine-water environments.</w:t>
            </w:r>
          </w:p>
        </w:tc>
        <w:tc>
          <w:tcPr>
            <w:tcW w:type="dxa" w:w="1678"/>
            <w:tcMar>
              <w:top w:w="50" w:type="dxa"/>
              <w:bottom w:w="50" w:type="dxa"/>
              <w:left w:w="60" w:type="dxa"/>
              <w:right w:w="60" w:type="dxa"/>
            </w:tcMar>
          </w:tcPr>
          <w:p>
            <w:r>
              <w:rPr>
                <w:rFonts w:ascii="Times New Roman" w:hAnsi="Times New Roman"/>
                <w:sz w:val="19"/>
              </w:rPr>
              <w:t>Demonstrated the potential of holographic imaging for detecting and characterizing particles without conventional physical collection.</w:t>
            </w:r>
          </w:p>
        </w:tc>
        <w:tc>
          <w:tcPr>
            <w:tcW w:type="dxa" w:w="1678"/>
            <w:tcMar>
              <w:top w:w="50" w:type="dxa"/>
              <w:bottom w:w="50" w:type="dxa"/>
              <w:left w:w="60" w:type="dxa"/>
              <w:right w:w="60" w:type="dxa"/>
            </w:tcMar>
          </w:tcPr>
          <w:p>
            <w:r>
              <w:rPr>
                <w:rFonts w:ascii="Times New Roman" w:hAnsi="Times New Roman"/>
                <w:sz w:val="19"/>
              </w:rPr>
              <w:t>Holographic instrumentation is more complex than conventional microscopy; computational processing and practical field deployment remain challenging.</w:t>
            </w:r>
          </w:p>
        </w:tc>
      </w:tr>
      <w:tr>
        <w:tc>
          <w:tcPr>
            <w:tcW w:type="dxa" w:w="1678"/>
            <w:tcMar>
              <w:top w:w="50" w:type="dxa"/>
              <w:bottom w:w="50" w:type="dxa"/>
              <w:left w:w="60" w:type="dxa"/>
              <w:right w:w="60" w:type="dxa"/>
            </w:tcMar>
          </w:tcPr>
          <w:p>
            <w:r>
              <w:rPr>
                <w:rFonts w:ascii="Times New Roman" w:hAnsi="Times New Roman"/>
                <w:sz w:val="19"/>
              </w:rPr>
              <w:t>3</w:t>
            </w:r>
          </w:p>
        </w:tc>
        <w:tc>
          <w:tcPr>
            <w:tcW w:type="dxa" w:w="1678"/>
            <w:tcMar>
              <w:top w:w="50" w:type="dxa"/>
              <w:bottom w:w="50" w:type="dxa"/>
              <w:left w:w="60" w:type="dxa"/>
              <w:right w:w="60" w:type="dxa"/>
            </w:tcMar>
          </w:tcPr>
          <w:p>
            <w:r>
              <w:rPr>
                <w:rFonts w:ascii="Times New Roman" w:hAnsi="Times New Roman"/>
                <w:sz w:val="19"/>
              </w:rPr>
              <w:t>G. Gugliandolo et al., 2022</w:t>
            </w:r>
          </w:p>
        </w:tc>
        <w:tc>
          <w:tcPr>
            <w:tcW w:type="dxa" w:w="1678"/>
            <w:tcMar>
              <w:top w:w="50" w:type="dxa"/>
              <w:bottom w:w="50" w:type="dxa"/>
              <w:left w:w="60" w:type="dxa"/>
              <w:right w:w="60" w:type="dxa"/>
            </w:tcMar>
          </w:tcPr>
          <w:p>
            <w:r>
              <w:rPr>
                <w:rFonts w:ascii="Times New Roman" w:hAnsi="Times New Roman"/>
                <w:sz w:val="19"/>
              </w:rPr>
              <w:t>Low-cost digital microscope + single-board computer + LCD, using transmitted-light measurement for plastic identification/classification.</w:t>
            </w:r>
          </w:p>
        </w:tc>
        <w:tc>
          <w:tcPr>
            <w:tcW w:type="dxa" w:w="1678"/>
            <w:tcMar>
              <w:top w:w="50" w:type="dxa"/>
              <w:bottom w:w="50" w:type="dxa"/>
              <w:left w:w="60" w:type="dxa"/>
              <w:right w:w="60" w:type="dxa"/>
            </w:tcMar>
          </w:tcPr>
          <w:p>
            <w:r>
              <w:rPr>
                <w:rFonts w:ascii="Times New Roman" w:hAnsi="Times New Roman"/>
                <w:sz w:val="19"/>
              </w:rPr>
              <w:t>Samples of PP, PVC, PC and PE, together with organic algae samples.</w:t>
            </w:r>
          </w:p>
        </w:tc>
        <w:tc>
          <w:tcPr>
            <w:tcW w:type="dxa" w:w="1678"/>
            <w:tcMar>
              <w:top w:w="50" w:type="dxa"/>
              <w:bottom w:w="50" w:type="dxa"/>
              <w:left w:w="60" w:type="dxa"/>
              <w:right w:w="60" w:type="dxa"/>
            </w:tcMar>
          </w:tcPr>
          <w:p>
            <w:r>
              <w:rPr>
                <w:rFonts w:ascii="Times New Roman" w:hAnsi="Times New Roman"/>
                <w:sz w:val="19"/>
              </w:rPr>
              <w:t>Demonstrated a compact, low-cost measurement system and tested it against several plastic materials and algae. (Unifind)</w:t>
            </w:r>
          </w:p>
        </w:tc>
        <w:tc>
          <w:tcPr>
            <w:tcW w:type="dxa" w:w="1678"/>
            <w:tcMar>
              <w:top w:w="50" w:type="dxa"/>
              <w:bottom w:w="50" w:type="dxa"/>
              <w:left w:w="60" w:type="dxa"/>
              <w:right w:w="60" w:type="dxa"/>
            </w:tcMar>
          </w:tcPr>
          <w:p>
            <w:r>
              <w:rPr>
                <w:rFonts w:ascii="Times New Roman" w:hAnsi="Times New Roman"/>
                <w:sz w:val="19"/>
              </w:rPr>
              <w:t>Proof-of-concept study; limited number of materials/samples and not demonstrated as a comprehensive automated real-world monitoring system.</w:t>
            </w:r>
          </w:p>
        </w:tc>
      </w:tr>
      <w:tr>
        <w:tc>
          <w:tcPr>
            <w:tcW w:type="dxa" w:w="1678"/>
            <w:tcMar>
              <w:top w:w="50" w:type="dxa"/>
              <w:bottom w:w="50" w:type="dxa"/>
              <w:left w:w="60" w:type="dxa"/>
              <w:right w:w="60" w:type="dxa"/>
            </w:tcMar>
          </w:tcPr>
          <w:p>
            <w:r>
              <w:rPr>
                <w:rFonts w:ascii="Times New Roman" w:hAnsi="Times New Roman"/>
                <w:sz w:val="19"/>
              </w:rPr>
              <w:t>4</w:t>
            </w:r>
          </w:p>
        </w:tc>
        <w:tc>
          <w:tcPr>
            <w:tcW w:type="dxa" w:w="1678"/>
            <w:tcMar>
              <w:top w:w="50" w:type="dxa"/>
              <w:bottom w:w="50" w:type="dxa"/>
              <w:left w:w="60" w:type="dxa"/>
              <w:right w:w="60" w:type="dxa"/>
            </w:tcMar>
          </w:tcPr>
          <w:p>
            <w:r>
              <w:rPr>
                <w:rFonts w:ascii="Times New Roman" w:hAnsi="Times New Roman"/>
                <w:sz w:val="19"/>
              </w:rPr>
              <w:t>C. Bescond et al., 2024</w:t>
            </w:r>
          </w:p>
        </w:tc>
        <w:tc>
          <w:tcPr>
            <w:tcW w:type="dxa" w:w="1678"/>
            <w:tcMar>
              <w:top w:w="50" w:type="dxa"/>
              <w:bottom w:w="50" w:type="dxa"/>
              <w:left w:w="60" w:type="dxa"/>
              <w:right w:w="60" w:type="dxa"/>
            </w:tcMar>
          </w:tcPr>
          <w:p>
            <w:r>
              <w:rPr>
                <w:rFonts w:ascii="Times New Roman" w:hAnsi="Times New Roman"/>
                <w:sz w:val="19"/>
              </w:rPr>
              <w:t>Ultrasound and photoacoustic technology for in-situ detection and imaging of microplastics in water.</w:t>
            </w:r>
          </w:p>
        </w:tc>
        <w:tc>
          <w:tcPr>
            <w:tcW w:type="dxa" w:w="1678"/>
            <w:tcMar>
              <w:top w:w="50" w:type="dxa"/>
              <w:bottom w:w="50" w:type="dxa"/>
              <w:left w:w="60" w:type="dxa"/>
              <w:right w:w="60" w:type="dxa"/>
            </w:tcMar>
          </w:tcPr>
          <w:p>
            <w:r>
              <w:rPr>
                <w:rFonts w:ascii="Times New Roman" w:hAnsi="Times New Roman"/>
                <w:sz w:val="19"/>
              </w:rPr>
              <w:t>Microplastic particles/water samples investigated using acoustic and photoacoustic signals.</w:t>
            </w:r>
          </w:p>
        </w:tc>
        <w:tc>
          <w:tcPr>
            <w:tcW w:type="dxa" w:w="1678"/>
            <w:tcMar>
              <w:top w:w="50" w:type="dxa"/>
              <w:bottom w:w="50" w:type="dxa"/>
              <w:left w:w="60" w:type="dxa"/>
              <w:right w:w="60" w:type="dxa"/>
            </w:tcMar>
          </w:tcPr>
          <w:p>
            <w:r>
              <w:rPr>
                <w:rFonts w:ascii="Times New Roman" w:hAnsi="Times New Roman"/>
                <w:sz w:val="19"/>
              </w:rPr>
              <w:t>Explores a non-contact/in-situ sensing route that could overcome some limitations of laboratory-only methods.</w:t>
            </w:r>
          </w:p>
        </w:tc>
        <w:tc>
          <w:tcPr>
            <w:tcW w:type="dxa" w:w="1678"/>
            <w:tcMar>
              <w:top w:w="50" w:type="dxa"/>
              <w:bottom w:w="50" w:type="dxa"/>
              <w:left w:w="60" w:type="dxa"/>
              <w:right w:w="60" w:type="dxa"/>
            </w:tcMar>
          </w:tcPr>
          <w:p>
            <w:r>
              <w:rPr>
                <w:rFonts w:ascii="Times New Roman" w:hAnsi="Times New Roman"/>
                <w:sz w:val="19"/>
              </w:rPr>
              <w:t>Technology is relatively complex; system calibration, sensitivity to particle properties and practical field validation remain challenges.</w:t>
            </w:r>
          </w:p>
        </w:tc>
      </w:tr>
      <w:tr>
        <w:tc>
          <w:tcPr>
            <w:tcW w:type="dxa" w:w="1678"/>
            <w:tcMar>
              <w:top w:w="50" w:type="dxa"/>
              <w:bottom w:w="50" w:type="dxa"/>
              <w:left w:w="60" w:type="dxa"/>
              <w:right w:w="60" w:type="dxa"/>
            </w:tcMar>
          </w:tcPr>
          <w:p>
            <w:r>
              <w:rPr>
                <w:rFonts w:ascii="Times New Roman" w:hAnsi="Times New Roman"/>
                <w:sz w:val="19"/>
              </w:rPr>
              <w:t>5</w:t>
            </w:r>
          </w:p>
        </w:tc>
        <w:tc>
          <w:tcPr>
            <w:tcW w:type="dxa" w:w="1678"/>
            <w:tcMar>
              <w:top w:w="50" w:type="dxa"/>
              <w:bottom w:w="50" w:type="dxa"/>
              <w:left w:w="60" w:type="dxa"/>
              <w:right w:w="60" w:type="dxa"/>
            </w:tcMar>
          </w:tcPr>
          <w:p>
            <w:r>
              <w:rPr>
                <w:rFonts w:ascii="Times New Roman" w:hAnsi="Times New Roman"/>
                <w:sz w:val="19"/>
              </w:rPr>
              <w:t>J.-H. Fournier-Lupien et al., 2024</w:t>
            </w:r>
          </w:p>
        </w:tc>
        <w:tc>
          <w:tcPr>
            <w:tcW w:type="dxa" w:w="1678"/>
            <w:tcMar>
              <w:top w:w="50" w:type="dxa"/>
              <w:bottom w:w="50" w:type="dxa"/>
              <w:left w:w="60" w:type="dxa"/>
              <w:right w:w="60" w:type="dxa"/>
            </w:tcMar>
          </w:tcPr>
          <w:p>
            <w:r>
              <w:rPr>
                <w:rFonts w:ascii="Times New Roman" w:hAnsi="Times New Roman"/>
                <w:sz w:val="19"/>
              </w:rPr>
              <w:t>Raman spectroscopy + Machine Learning for in-situ microplastic identification.</w:t>
            </w:r>
          </w:p>
        </w:tc>
        <w:tc>
          <w:tcPr>
            <w:tcW w:type="dxa" w:w="1678"/>
            <w:tcMar>
              <w:top w:w="50" w:type="dxa"/>
              <w:bottom w:w="50" w:type="dxa"/>
              <w:left w:w="60" w:type="dxa"/>
              <w:right w:w="60" w:type="dxa"/>
            </w:tcMar>
          </w:tcPr>
          <w:p>
            <w:r>
              <w:rPr>
                <w:rFonts w:ascii="Times New Roman" w:hAnsi="Times New Roman"/>
                <w:sz w:val="19"/>
              </w:rPr>
              <w:t>Raman spectra/signatures of microplastic materials.</w:t>
            </w:r>
          </w:p>
        </w:tc>
        <w:tc>
          <w:tcPr>
            <w:tcW w:type="dxa" w:w="1678"/>
            <w:tcMar>
              <w:top w:w="50" w:type="dxa"/>
              <w:bottom w:w="50" w:type="dxa"/>
              <w:left w:w="60" w:type="dxa"/>
              <w:right w:w="60" w:type="dxa"/>
            </w:tcMar>
          </w:tcPr>
          <w:p>
            <w:r>
              <w:rPr>
                <w:rFonts w:ascii="Times New Roman" w:hAnsi="Times New Roman"/>
                <w:sz w:val="19"/>
              </w:rPr>
              <w:t>Raman provides chemical fingerprints while ML can automate identification; study investigates integration toward real-time/in-situ identification. (ResearchGate)</w:t>
            </w:r>
          </w:p>
        </w:tc>
        <w:tc>
          <w:tcPr>
            <w:tcW w:type="dxa" w:w="1678"/>
            <w:tcMar>
              <w:top w:w="50" w:type="dxa"/>
              <w:bottom w:w="50" w:type="dxa"/>
              <w:left w:w="60" w:type="dxa"/>
              <w:right w:w="60" w:type="dxa"/>
            </w:tcMar>
          </w:tcPr>
          <w:p>
            <w:r>
              <w:rPr>
                <w:rFonts w:ascii="Times New Roman" w:hAnsi="Times New Roman"/>
                <w:sz w:val="19"/>
              </w:rPr>
              <w:t>Raman systems are considerably more complex/costly than simple optical imaging; fluorescence, water conditions and spectral variability can affect measurements.</w:t>
            </w:r>
          </w:p>
        </w:tc>
      </w:tr>
      <w:tr>
        <w:tc>
          <w:tcPr>
            <w:tcW w:type="dxa" w:w="1678"/>
            <w:tcMar>
              <w:top w:w="50" w:type="dxa"/>
              <w:bottom w:w="50" w:type="dxa"/>
              <w:left w:w="60" w:type="dxa"/>
              <w:right w:w="60" w:type="dxa"/>
            </w:tcMar>
          </w:tcPr>
          <w:p>
            <w:r>
              <w:rPr>
                <w:rFonts w:ascii="Times New Roman" w:hAnsi="Times New Roman"/>
                <w:sz w:val="19"/>
              </w:rPr>
              <w:t>6</w:t>
            </w:r>
          </w:p>
        </w:tc>
        <w:tc>
          <w:tcPr>
            <w:tcW w:type="dxa" w:w="1678"/>
            <w:tcMar>
              <w:top w:w="50" w:type="dxa"/>
              <w:bottom w:w="50" w:type="dxa"/>
              <w:left w:w="60" w:type="dxa"/>
              <w:right w:w="60" w:type="dxa"/>
            </w:tcMar>
          </w:tcPr>
          <w:p>
            <w:r>
              <w:rPr>
                <w:rFonts w:ascii="Times New Roman" w:hAnsi="Times New Roman"/>
                <w:sz w:val="19"/>
              </w:rPr>
              <w:t>R. Muthu &amp; A. Geetha, 2024</w:t>
            </w:r>
          </w:p>
        </w:tc>
        <w:tc>
          <w:tcPr>
            <w:tcW w:type="dxa" w:w="1678"/>
            <w:tcMar>
              <w:top w:w="50" w:type="dxa"/>
              <w:bottom w:w="50" w:type="dxa"/>
              <w:left w:w="60" w:type="dxa"/>
              <w:right w:w="60" w:type="dxa"/>
            </w:tcMar>
          </w:tcPr>
          <w:p>
            <w:r>
              <w:rPr>
                <w:rFonts w:ascii="Times New Roman" w:hAnsi="Times New Roman"/>
                <w:sz w:val="19"/>
              </w:rPr>
              <w:t>Generative Adversarial Networks (GANs) for microplastic identification in seawater.</w:t>
            </w:r>
          </w:p>
        </w:tc>
        <w:tc>
          <w:tcPr>
            <w:tcW w:type="dxa" w:w="1678"/>
            <w:tcMar>
              <w:top w:w="50" w:type="dxa"/>
              <w:bottom w:w="50" w:type="dxa"/>
              <w:left w:w="60" w:type="dxa"/>
              <w:right w:w="60" w:type="dxa"/>
            </w:tcMar>
          </w:tcPr>
          <w:p>
            <w:r>
              <w:rPr>
                <w:rFonts w:ascii="Times New Roman" w:hAnsi="Times New Roman"/>
                <w:sz w:val="19"/>
              </w:rPr>
              <w:t>Seawater/sediment microplastic samples and image/data representations; GAN-based approach.</w:t>
            </w:r>
          </w:p>
        </w:tc>
        <w:tc>
          <w:tcPr>
            <w:tcW w:type="dxa" w:w="1678"/>
            <w:tcMar>
              <w:top w:w="50" w:type="dxa"/>
              <w:bottom w:w="50" w:type="dxa"/>
              <w:left w:w="60" w:type="dxa"/>
              <w:right w:w="60" w:type="dxa"/>
            </w:tcMar>
          </w:tcPr>
          <w:p>
            <w:r>
              <w:rPr>
                <w:rFonts w:ascii="Times New Roman" w:hAnsi="Times New Roman"/>
                <w:sz w:val="19"/>
              </w:rPr>
              <w:t>Investigates GANs as an AI approach for improving automated microplastic identification; highlights difficulties caused by small and translucent particles. (ResearchGate)</w:t>
            </w:r>
          </w:p>
        </w:tc>
        <w:tc>
          <w:tcPr>
            <w:tcW w:type="dxa" w:w="1678"/>
            <w:tcMar>
              <w:top w:w="50" w:type="dxa"/>
              <w:bottom w:w="50" w:type="dxa"/>
              <w:left w:w="60" w:type="dxa"/>
              <w:right w:w="60" w:type="dxa"/>
            </w:tcMar>
          </w:tcPr>
          <w:p>
            <w:r>
              <w:rPr>
                <w:rFonts w:ascii="Times New Roman" w:hAnsi="Times New Roman"/>
                <w:sz w:val="19"/>
              </w:rPr>
              <w:t>GAN training can be computationally demanding; generated samples may not fully represent real environmental variability.</w:t>
            </w:r>
          </w:p>
        </w:tc>
      </w:tr>
      <w:tr>
        <w:tc>
          <w:tcPr>
            <w:tcW w:type="dxa" w:w="1678"/>
            <w:tcMar>
              <w:top w:w="50" w:type="dxa"/>
              <w:bottom w:w="50" w:type="dxa"/>
              <w:left w:w="60" w:type="dxa"/>
              <w:right w:w="60" w:type="dxa"/>
            </w:tcMar>
          </w:tcPr>
          <w:p>
            <w:r>
              <w:rPr>
                <w:rFonts w:ascii="Times New Roman" w:hAnsi="Times New Roman"/>
                <w:sz w:val="19"/>
              </w:rPr>
              <w:t>7</w:t>
            </w:r>
          </w:p>
        </w:tc>
        <w:tc>
          <w:tcPr>
            <w:tcW w:type="dxa" w:w="1678"/>
            <w:tcMar>
              <w:top w:w="50" w:type="dxa"/>
              <w:bottom w:w="50" w:type="dxa"/>
              <w:left w:w="60" w:type="dxa"/>
              <w:right w:w="60" w:type="dxa"/>
            </w:tcMar>
          </w:tcPr>
          <w:p>
            <w:r>
              <w:rPr>
                <w:rFonts w:ascii="Times New Roman" w:hAnsi="Times New Roman"/>
                <w:sz w:val="19"/>
              </w:rPr>
              <w:t>H. Rezvani et al., 2024</w:t>
            </w:r>
          </w:p>
        </w:tc>
        <w:tc>
          <w:tcPr>
            <w:tcW w:type="dxa" w:w="1678"/>
            <w:tcMar>
              <w:top w:w="50" w:type="dxa"/>
              <w:bottom w:w="50" w:type="dxa"/>
              <w:left w:w="60" w:type="dxa"/>
              <w:right w:w="60" w:type="dxa"/>
            </w:tcMar>
          </w:tcPr>
          <w:p>
            <w:r>
              <w:rPr>
                <w:rFonts w:ascii="Times New Roman" w:hAnsi="Times New Roman"/>
                <w:sz w:val="19"/>
              </w:rPr>
              <w:t>Deep-learning-based object detection and classification of micro- and nanoplastics using morphological information.</w:t>
            </w:r>
          </w:p>
        </w:tc>
        <w:tc>
          <w:tcPr>
            <w:tcW w:type="dxa" w:w="1678"/>
            <w:tcMar>
              <w:top w:w="50" w:type="dxa"/>
              <w:bottom w:w="50" w:type="dxa"/>
              <w:left w:w="60" w:type="dxa"/>
              <w:right w:w="60" w:type="dxa"/>
            </w:tcMar>
          </w:tcPr>
          <w:p>
            <w:r>
              <w:rPr>
                <w:rFonts w:ascii="Times New Roman" w:hAnsi="Times New Roman"/>
                <w:sz w:val="19"/>
              </w:rPr>
              <w:t>MiNa dataset consisting of SEM images of micro/nanoplastics under realistic aquatic conditions, with different polymer types and sizes. (arXiv)</w:t>
            </w:r>
          </w:p>
        </w:tc>
        <w:tc>
          <w:tcPr>
            <w:tcW w:type="dxa" w:w="1678"/>
            <w:tcMar>
              <w:top w:w="50" w:type="dxa"/>
              <w:bottom w:w="50" w:type="dxa"/>
              <w:left w:w="60" w:type="dxa"/>
              <w:right w:w="60" w:type="dxa"/>
            </w:tcMar>
          </w:tcPr>
          <w:p>
            <w:r>
              <w:rPr>
                <w:rFonts w:ascii="Times New Roman" w:hAnsi="Times New Roman"/>
                <w:sz w:val="19"/>
              </w:rPr>
              <w:t>Introduced an open-source dataset specifically intended for automated detection/classification and demonstrated the use of object-detection algorithms.</w:t>
            </w:r>
          </w:p>
        </w:tc>
        <w:tc>
          <w:tcPr>
            <w:tcW w:type="dxa" w:w="1678"/>
            <w:tcMar>
              <w:top w:w="50" w:type="dxa"/>
              <w:bottom w:w="50" w:type="dxa"/>
              <w:left w:w="60" w:type="dxa"/>
              <w:right w:w="60" w:type="dxa"/>
            </w:tcMar>
          </w:tcPr>
          <w:p>
            <w:r>
              <w:rPr>
                <w:rFonts w:ascii="Times New Roman" w:hAnsi="Times New Roman"/>
                <w:sz w:val="19"/>
              </w:rPr>
              <w:t>SEM images are not equivalent to low-cost optical microscope images; domain shift between laboratory SEM data and field-acquired images remains a major concern.</w:t>
            </w:r>
          </w:p>
        </w:tc>
      </w:tr>
      <w:tr>
        <w:tc>
          <w:tcPr>
            <w:tcW w:type="dxa" w:w="1678"/>
            <w:tcMar>
              <w:top w:w="50" w:type="dxa"/>
              <w:bottom w:w="50" w:type="dxa"/>
              <w:left w:w="60" w:type="dxa"/>
              <w:right w:w="60" w:type="dxa"/>
            </w:tcMar>
          </w:tcPr>
          <w:p>
            <w:r>
              <w:rPr>
                <w:rFonts w:ascii="Times New Roman" w:hAnsi="Times New Roman"/>
                <w:sz w:val="19"/>
              </w:rPr>
              <w:t>8</w:t>
            </w:r>
          </w:p>
        </w:tc>
        <w:tc>
          <w:tcPr>
            <w:tcW w:type="dxa" w:w="1678"/>
            <w:tcMar>
              <w:top w:w="50" w:type="dxa"/>
              <w:bottom w:w="50" w:type="dxa"/>
              <w:left w:w="60" w:type="dxa"/>
              <w:right w:w="60" w:type="dxa"/>
            </w:tcMar>
          </w:tcPr>
          <w:p>
            <w:r>
              <w:rPr>
                <w:rFonts w:ascii="Times New Roman" w:hAnsi="Times New Roman"/>
                <w:sz w:val="19"/>
              </w:rPr>
              <w:t>J.-H. Fournier-Lupien &amp; C. Bescond, 2025</w:t>
            </w:r>
          </w:p>
        </w:tc>
        <w:tc>
          <w:tcPr>
            <w:tcW w:type="dxa" w:w="1678"/>
            <w:tcMar>
              <w:top w:w="50" w:type="dxa"/>
              <w:bottom w:w="50" w:type="dxa"/>
              <w:left w:w="60" w:type="dxa"/>
              <w:right w:w="60" w:type="dxa"/>
            </w:tcMar>
          </w:tcPr>
          <w:p>
            <w:r>
              <w:rPr>
                <w:rFonts w:ascii="Times New Roman" w:hAnsi="Times New Roman"/>
                <w:sz w:val="19"/>
              </w:rPr>
              <w:t>Acoustic imaging + Deep Neural Network for estimating microplastic particle size.</w:t>
            </w:r>
          </w:p>
        </w:tc>
        <w:tc>
          <w:tcPr>
            <w:tcW w:type="dxa" w:w="1678"/>
            <w:tcMar>
              <w:top w:w="50" w:type="dxa"/>
              <w:bottom w:w="50" w:type="dxa"/>
              <w:left w:w="60" w:type="dxa"/>
              <w:right w:w="60" w:type="dxa"/>
            </w:tcMar>
          </w:tcPr>
          <w:p>
            <w:r>
              <w:rPr>
                <w:rFonts w:ascii="Times New Roman" w:hAnsi="Times New Roman"/>
                <w:sz w:val="19"/>
              </w:rPr>
              <w:t>Acoustic images/signals from microplastic particles.</w:t>
            </w:r>
          </w:p>
        </w:tc>
        <w:tc>
          <w:tcPr>
            <w:tcW w:type="dxa" w:w="1678"/>
            <w:tcMar>
              <w:top w:w="50" w:type="dxa"/>
              <w:bottom w:w="50" w:type="dxa"/>
              <w:left w:w="60" w:type="dxa"/>
              <w:right w:w="60" w:type="dxa"/>
            </w:tcMar>
          </w:tcPr>
          <w:p>
            <w:r>
              <w:rPr>
                <w:rFonts w:ascii="Times New Roman" w:hAnsi="Times New Roman"/>
                <w:sz w:val="19"/>
              </w:rPr>
              <w:t>Demonstrates the possibility of combining acoustic imaging with deep learning for automated particle sizing.</w:t>
            </w:r>
          </w:p>
        </w:tc>
        <w:tc>
          <w:tcPr>
            <w:tcW w:type="dxa" w:w="1678"/>
            <w:tcMar>
              <w:top w:w="50" w:type="dxa"/>
              <w:bottom w:w="50" w:type="dxa"/>
              <w:left w:w="60" w:type="dxa"/>
              <w:right w:w="60" w:type="dxa"/>
            </w:tcMar>
          </w:tcPr>
          <w:p>
            <w:r>
              <w:rPr>
                <w:rFonts w:ascii="Times New Roman" w:hAnsi="Times New Roman"/>
                <w:sz w:val="19"/>
              </w:rPr>
              <w:t>Acoustic imaging is less straightforward to integrate into a low-cost optical microscope; limited publicly available information/data and real-world validation.</w:t>
            </w:r>
          </w:p>
        </w:tc>
      </w:tr>
      <w:tr>
        <w:tc>
          <w:tcPr>
            <w:tcW w:type="dxa" w:w="1678"/>
            <w:tcMar>
              <w:top w:w="50" w:type="dxa"/>
              <w:bottom w:w="50" w:type="dxa"/>
              <w:left w:w="60" w:type="dxa"/>
              <w:right w:w="60" w:type="dxa"/>
            </w:tcMar>
          </w:tcPr>
          <w:p>
            <w:r>
              <w:rPr>
                <w:rFonts w:ascii="Times New Roman" w:hAnsi="Times New Roman"/>
                <w:sz w:val="19"/>
              </w:rPr>
              <w:t>9</w:t>
            </w:r>
          </w:p>
        </w:tc>
        <w:tc>
          <w:tcPr>
            <w:tcW w:type="dxa" w:w="1678"/>
            <w:tcMar>
              <w:top w:w="50" w:type="dxa"/>
              <w:bottom w:w="50" w:type="dxa"/>
              <w:left w:w="60" w:type="dxa"/>
              <w:right w:w="60" w:type="dxa"/>
            </w:tcMar>
          </w:tcPr>
          <w:p>
            <w:r>
              <w:rPr>
                <w:rFonts w:ascii="Times New Roman" w:hAnsi="Times New Roman"/>
                <w:sz w:val="19"/>
              </w:rPr>
              <w:t>I. Abimbola et al., 2025</w:t>
            </w:r>
          </w:p>
        </w:tc>
        <w:tc>
          <w:tcPr>
            <w:tcW w:type="dxa" w:w="1678"/>
            <w:tcMar>
              <w:top w:w="50" w:type="dxa"/>
              <w:bottom w:w="50" w:type="dxa"/>
              <w:left w:w="60" w:type="dxa"/>
              <w:right w:w="60" w:type="dxa"/>
            </w:tcMar>
          </w:tcPr>
          <w:p>
            <w:r>
              <w:rPr>
                <w:rFonts w:ascii="Times New Roman" w:hAnsi="Times New Roman"/>
                <w:sz w:val="19"/>
              </w:rPr>
              <w:t>Digital holographic imaging + Machine/Deep Learning for microplastic size and shape analysis.</w:t>
            </w:r>
          </w:p>
        </w:tc>
        <w:tc>
          <w:tcPr>
            <w:tcW w:type="dxa" w:w="1678"/>
            <w:tcMar>
              <w:top w:w="50" w:type="dxa"/>
              <w:bottom w:w="50" w:type="dxa"/>
              <w:left w:w="60" w:type="dxa"/>
              <w:right w:w="60" w:type="dxa"/>
            </w:tcMar>
          </w:tcPr>
          <w:p>
            <w:r>
              <w:rPr>
                <w:rFonts w:ascii="Times New Roman" w:hAnsi="Times New Roman"/>
                <w:sz w:val="19"/>
              </w:rPr>
              <w:t>Holographic images of microplastics suspended in water; MobileNetV2 and ResNet101 used for shape classification.</w:t>
            </w:r>
          </w:p>
        </w:tc>
        <w:tc>
          <w:tcPr>
            <w:tcW w:type="dxa" w:w="1678"/>
            <w:tcMar>
              <w:top w:w="50" w:type="dxa"/>
              <w:bottom w:w="50" w:type="dxa"/>
              <w:left w:w="60" w:type="dxa"/>
              <w:right w:w="60" w:type="dxa"/>
            </w:tcMar>
          </w:tcPr>
          <w:p>
            <w:r>
              <w:rPr>
                <w:rFonts w:ascii="Times New Roman" w:hAnsi="Times New Roman"/>
                <w:sz w:val="19"/>
              </w:rPr>
              <w:t>Portable holographic imaging was used to capture particles; MobileNetV2 outperformed ResNet101 in classification accuracy and computational efficiency. (ScienceDirect)</w:t>
            </w:r>
          </w:p>
        </w:tc>
        <w:tc>
          <w:tcPr>
            <w:tcW w:type="dxa" w:w="1678"/>
            <w:tcMar>
              <w:top w:w="50" w:type="dxa"/>
              <w:bottom w:w="50" w:type="dxa"/>
              <w:left w:w="60" w:type="dxa"/>
              <w:right w:w="60" w:type="dxa"/>
            </w:tcMar>
          </w:tcPr>
          <w:p>
            <w:r>
              <w:rPr>
                <w:rFonts w:ascii="Times New Roman" w:hAnsi="Times New Roman"/>
                <w:sz w:val="19"/>
              </w:rPr>
              <w:t>Requires holographic imaging hardware; generalization to different water conditions and conventional microscopic images requires further validation.</w:t>
            </w:r>
          </w:p>
        </w:tc>
      </w:tr>
      <w:tr>
        <w:tc>
          <w:tcPr>
            <w:tcW w:type="dxa" w:w="1678"/>
            <w:tcMar>
              <w:top w:w="50" w:type="dxa"/>
              <w:bottom w:w="50" w:type="dxa"/>
              <w:left w:w="60" w:type="dxa"/>
              <w:right w:w="60" w:type="dxa"/>
            </w:tcMar>
          </w:tcPr>
          <w:p>
            <w:r>
              <w:rPr>
                <w:rFonts w:ascii="Times New Roman" w:hAnsi="Times New Roman"/>
                <w:sz w:val="19"/>
              </w:rPr>
              <w:t>10</w:t>
            </w:r>
          </w:p>
        </w:tc>
        <w:tc>
          <w:tcPr>
            <w:tcW w:type="dxa" w:w="1678"/>
            <w:tcMar>
              <w:top w:w="50" w:type="dxa"/>
              <w:bottom w:w="50" w:type="dxa"/>
              <w:left w:w="60" w:type="dxa"/>
              <w:right w:w="60" w:type="dxa"/>
            </w:tcMar>
          </w:tcPr>
          <w:p>
            <w:r>
              <w:rPr>
                <w:rFonts w:ascii="Times New Roman" w:hAnsi="Times New Roman"/>
                <w:sz w:val="19"/>
              </w:rPr>
              <w:t>R. Marwah et al., 2025</w:t>
            </w:r>
          </w:p>
        </w:tc>
        <w:tc>
          <w:tcPr>
            <w:tcW w:type="dxa" w:w="1678"/>
            <w:tcMar>
              <w:top w:w="50" w:type="dxa"/>
              <w:bottom w:w="50" w:type="dxa"/>
              <w:left w:w="60" w:type="dxa"/>
              <w:right w:w="60" w:type="dxa"/>
            </w:tcMar>
          </w:tcPr>
          <w:p>
            <w:r>
              <w:rPr>
                <w:rFonts w:ascii="Times New Roman" w:hAnsi="Times New Roman"/>
                <w:sz w:val="19"/>
              </w:rPr>
              <w:t>MicroDetect-Net (MDN) using fluorescence microscopy, Nile Red staining and CNN-based segmentation.</w:t>
            </w:r>
          </w:p>
        </w:tc>
        <w:tc>
          <w:tcPr>
            <w:tcW w:type="dxa" w:w="1678"/>
            <w:tcMar>
              <w:top w:w="50" w:type="dxa"/>
              <w:bottom w:w="50" w:type="dxa"/>
              <w:left w:w="60" w:type="dxa"/>
              <w:right w:w="60" w:type="dxa"/>
            </w:tcMar>
          </w:tcPr>
          <w:p>
            <w:r>
              <w:rPr>
                <w:rFonts w:ascii="Times New Roman" w:hAnsi="Times New Roman"/>
                <w:sz w:val="19"/>
              </w:rPr>
              <w:t>276 Nile-Red-stained fluorescent blood images containing microplastic fragments.</w:t>
            </w:r>
          </w:p>
        </w:tc>
        <w:tc>
          <w:tcPr>
            <w:tcW w:type="dxa" w:w="1678"/>
            <w:tcMar>
              <w:top w:w="50" w:type="dxa"/>
              <w:bottom w:w="50" w:type="dxa"/>
              <w:left w:w="60" w:type="dxa"/>
              <w:right w:w="60" w:type="dxa"/>
            </w:tcMar>
          </w:tcPr>
          <w:p>
            <w:r>
              <w:rPr>
                <w:rFonts w:ascii="Times New Roman" w:hAnsi="Times New Roman"/>
                <w:sz w:val="19"/>
              </w:rPr>
              <w:t>Reported 92% accuracy, IoU of 87.4%, F1-score of 92.1%, precision of 90.6% and recall of 93.7%. (arXiv)</w:t>
            </w:r>
          </w:p>
        </w:tc>
        <w:tc>
          <w:tcPr>
            <w:tcW w:type="dxa" w:w="1678"/>
            <w:tcMar>
              <w:top w:w="50" w:type="dxa"/>
              <w:bottom w:w="50" w:type="dxa"/>
              <w:left w:w="60" w:type="dxa"/>
              <w:right w:w="60" w:type="dxa"/>
            </w:tcMar>
          </w:tcPr>
          <w:p>
            <w:r>
              <w:rPr>
                <w:rFonts w:ascii="Times New Roman" w:hAnsi="Times New Roman"/>
                <w:sz w:val="19"/>
              </w:rPr>
              <w:t>Dataset is small and based on clam blood rather than environmental water; Nile Red fluorescence requires additional sample preparation and imaging equipment.</w:t>
            </w:r>
          </w:p>
        </w:tc>
      </w:tr>
      <w:tr>
        <w:tc>
          <w:tcPr>
            <w:tcW w:type="dxa" w:w="1678"/>
            <w:tcMar>
              <w:top w:w="50" w:type="dxa"/>
              <w:bottom w:w="50" w:type="dxa"/>
              <w:left w:w="60" w:type="dxa"/>
              <w:right w:w="60" w:type="dxa"/>
            </w:tcMar>
          </w:tcPr>
          <w:p>
            <w:r>
              <w:rPr>
                <w:rFonts w:ascii="Times New Roman" w:hAnsi="Times New Roman"/>
                <w:sz w:val="19"/>
              </w:rPr>
              <w:t>11</w:t>
            </w:r>
          </w:p>
        </w:tc>
        <w:tc>
          <w:tcPr>
            <w:tcW w:type="dxa" w:w="1678"/>
            <w:tcMar>
              <w:top w:w="50" w:type="dxa"/>
              <w:bottom w:w="50" w:type="dxa"/>
              <w:left w:w="60" w:type="dxa"/>
              <w:right w:w="60" w:type="dxa"/>
            </w:tcMar>
          </w:tcPr>
          <w:p>
            <w:r>
              <w:rPr>
                <w:rFonts w:ascii="Times New Roman" w:hAnsi="Times New Roman"/>
                <w:sz w:val="19"/>
              </w:rPr>
              <w:t>B. de Vargas Guterres et al., 2026</w:t>
            </w:r>
          </w:p>
        </w:tc>
        <w:tc>
          <w:tcPr>
            <w:tcW w:type="dxa" w:w="1678"/>
            <w:tcMar>
              <w:top w:w="50" w:type="dxa"/>
              <w:bottom w:w="50" w:type="dxa"/>
              <w:left w:w="60" w:type="dxa"/>
              <w:right w:w="60" w:type="dxa"/>
            </w:tcMar>
          </w:tcPr>
          <w:p>
            <w:r>
              <w:rPr>
                <w:rFonts w:ascii="Times New Roman" w:hAnsi="Times New Roman"/>
                <w:sz w:val="19"/>
              </w:rPr>
              <w:t>Zero-plastic, an AI-assisted flow-imaging microscopy prototype using embedded computing and AI-based segmentation.</w:t>
            </w:r>
          </w:p>
        </w:tc>
        <w:tc>
          <w:tcPr>
            <w:tcW w:type="dxa" w:w="1678"/>
            <w:tcMar>
              <w:top w:w="50" w:type="dxa"/>
              <w:bottom w:w="50" w:type="dxa"/>
              <w:left w:w="60" w:type="dxa"/>
              <w:right w:w="60" w:type="dxa"/>
            </w:tcMar>
          </w:tcPr>
          <w:p>
            <w:r>
              <w:rPr>
                <w:rFonts w:ascii="Times New Roman" w:hAnsi="Times New Roman"/>
                <w:sz w:val="19"/>
              </w:rPr>
              <w:t>Controlled polystyrene microspheres, primarily 3–20 μm; optical system designed for 3–200 μm.</w:t>
            </w:r>
          </w:p>
        </w:tc>
        <w:tc>
          <w:tcPr>
            <w:tcW w:type="dxa" w:w="1678"/>
            <w:tcMar>
              <w:top w:w="50" w:type="dxa"/>
              <w:bottom w:w="50" w:type="dxa"/>
              <w:left w:w="60" w:type="dxa"/>
              <w:right w:w="60" w:type="dxa"/>
            </w:tcMar>
          </w:tcPr>
          <w:p>
            <w:r>
              <w:rPr>
                <w:rFonts w:ascii="Times New Roman" w:hAnsi="Times New Roman"/>
                <w:sz w:val="19"/>
              </w:rPr>
              <w:t>Developed a low-cost prototype using a Raspberry Pi 4B/IMX477 imaging subsystem and NVIDIA Jetson-based AI processing. Demonstrated comparison with SEM and automated particle-size estimation. (Springer)</w:t>
            </w:r>
          </w:p>
        </w:tc>
        <w:tc>
          <w:tcPr>
            <w:tcW w:type="dxa" w:w="1678"/>
            <w:tcMar>
              <w:top w:w="50" w:type="dxa"/>
              <w:bottom w:w="50" w:type="dxa"/>
              <w:left w:w="60" w:type="dxa"/>
              <w:right w:w="60" w:type="dxa"/>
            </w:tcMar>
          </w:tcPr>
          <w:p>
            <w:r>
              <w:rPr>
                <w:rFonts w:ascii="Times New Roman" w:hAnsi="Times New Roman"/>
                <w:sz w:val="19"/>
              </w:rPr>
              <w:t>Validation was primarily under controlled laboratory conditions using spherical PS particles; the authors explicitly describe it as a lab-based prototype rather than a field-ready instrument. Distinguishing MPs from debris/biological particles remains an open problem. (Springer)</w:t>
            </w:r>
          </w:p>
        </w:tc>
      </w:tr>
      <w:tr>
        <w:tc>
          <w:tcPr>
            <w:tcW w:type="dxa" w:w="1678"/>
            <w:tcMar>
              <w:top w:w="50" w:type="dxa"/>
              <w:bottom w:w="50" w:type="dxa"/>
              <w:left w:w="60" w:type="dxa"/>
              <w:right w:w="60" w:type="dxa"/>
            </w:tcMar>
          </w:tcPr>
          <w:p>
            <w:r>
              <w:rPr>
                <w:rFonts w:ascii="Times New Roman" w:hAnsi="Times New Roman"/>
                <w:sz w:val="19"/>
              </w:rPr>
              <w:t>12</w:t>
            </w:r>
          </w:p>
        </w:tc>
        <w:tc>
          <w:tcPr>
            <w:tcW w:type="dxa" w:w="1678"/>
            <w:tcMar>
              <w:top w:w="50" w:type="dxa"/>
              <w:bottom w:w="50" w:type="dxa"/>
              <w:left w:w="60" w:type="dxa"/>
              <w:right w:w="60" w:type="dxa"/>
            </w:tcMar>
          </w:tcPr>
          <w:p>
            <w:r>
              <w:rPr>
                <w:rFonts w:ascii="Times New Roman" w:hAnsi="Times New Roman"/>
                <w:sz w:val="19"/>
              </w:rPr>
              <w:t>J. Appel et al., 2026</w:t>
            </w:r>
          </w:p>
        </w:tc>
        <w:tc>
          <w:tcPr>
            <w:tcW w:type="dxa" w:w="1678"/>
            <w:tcMar>
              <w:top w:w="50" w:type="dxa"/>
              <w:bottom w:w="50" w:type="dxa"/>
              <w:left w:w="60" w:type="dxa"/>
              <w:right w:w="60" w:type="dxa"/>
            </w:tcMar>
          </w:tcPr>
          <w:p>
            <w:r>
              <w:rPr>
                <w:rFonts w:ascii="Times New Roman" w:hAnsi="Times New Roman"/>
                <w:sz w:val="19"/>
              </w:rPr>
              <w:t>Explainable Deep Learning + polarization-resolved digital holographic microscopy for microplastic/natural microfiber classification.</w:t>
            </w:r>
          </w:p>
        </w:tc>
        <w:tc>
          <w:tcPr>
            <w:tcW w:type="dxa" w:w="1678"/>
            <w:tcMar>
              <w:top w:w="50" w:type="dxa"/>
              <w:bottom w:w="50" w:type="dxa"/>
              <w:left w:w="60" w:type="dxa"/>
              <w:right w:w="60" w:type="dxa"/>
            </w:tcMar>
          </w:tcPr>
          <w:p>
            <w:r>
              <w:rPr>
                <w:rFonts w:ascii="Times New Roman" w:hAnsi="Times New Roman"/>
                <w:sz w:val="19"/>
              </w:rPr>
              <w:t>296 fibers covering six material classes including PA6, PET, PA6.6, PP, cotton and wool; 72-dimensional polarization features.</w:t>
            </w:r>
          </w:p>
        </w:tc>
        <w:tc>
          <w:tcPr>
            <w:tcW w:type="dxa" w:w="1678"/>
            <w:tcMar>
              <w:top w:w="50" w:type="dxa"/>
              <w:bottom w:w="50" w:type="dxa"/>
              <w:left w:w="60" w:type="dxa"/>
              <w:right w:w="60" w:type="dxa"/>
            </w:tcMar>
          </w:tcPr>
          <w:p>
            <w:r>
              <w:rPr>
                <w:rFonts w:ascii="Times New Roman" w:hAnsi="Times New Roman"/>
                <w:sz w:val="19"/>
              </w:rPr>
              <w:t>Fully connected DNN achieved 96.7% validation accuracy; SHAP analysis identified dominant polarization features and a reduced-feature model retained 93.3% accuracy. (PubMed)</w:t>
            </w:r>
          </w:p>
        </w:tc>
        <w:tc>
          <w:tcPr>
            <w:tcW w:type="dxa" w:w="1678"/>
            <w:tcMar>
              <w:top w:w="50" w:type="dxa"/>
              <w:bottom w:w="50" w:type="dxa"/>
              <w:left w:w="60" w:type="dxa"/>
              <w:right w:w="60" w:type="dxa"/>
            </w:tcMar>
          </w:tcPr>
          <w:p>
            <w:r>
              <w:rPr>
                <w:rFonts w:ascii="Times New Roman" w:hAnsi="Times New Roman"/>
                <w:sz w:val="19"/>
              </w:rPr>
              <w:t>Specialized polarization-resolved holographic hardware and feature extraction are complex; dataset is relatively small and focused specifically on fibers.</w:t>
            </w:r>
          </w:p>
        </w:tc>
      </w:tr>
      <w:tr>
        <w:tc>
          <w:tcPr>
            <w:tcW w:type="dxa" w:w="1678"/>
            <w:tcMar>
              <w:top w:w="50" w:type="dxa"/>
              <w:bottom w:w="50" w:type="dxa"/>
              <w:left w:w="60" w:type="dxa"/>
              <w:right w:w="60" w:type="dxa"/>
            </w:tcMar>
          </w:tcPr>
          <w:p>
            <w:r>
              <w:rPr>
                <w:rFonts w:ascii="Times New Roman" w:hAnsi="Times New Roman"/>
                <w:sz w:val="19"/>
              </w:rPr>
              <w:t>13</w:t>
            </w:r>
          </w:p>
        </w:tc>
        <w:tc>
          <w:tcPr>
            <w:tcW w:type="dxa" w:w="1678"/>
            <w:tcMar>
              <w:top w:w="50" w:type="dxa"/>
              <w:bottom w:w="50" w:type="dxa"/>
              <w:left w:w="60" w:type="dxa"/>
              <w:right w:w="60" w:type="dxa"/>
            </w:tcMar>
          </w:tcPr>
          <w:p>
            <w:r>
              <w:rPr>
                <w:rFonts w:ascii="Times New Roman" w:hAnsi="Times New Roman"/>
                <w:sz w:val="19"/>
              </w:rPr>
              <w:t>S. Primpke et al., 2017</w:t>
            </w:r>
          </w:p>
        </w:tc>
        <w:tc>
          <w:tcPr>
            <w:tcW w:type="dxa" w:w="1678"/>
            <w:tcMar>
              <w:top w:w="50" w:type="dxa"/>
              <w:bottom w:w="50" w:type="dxa"/>
              <w:left w:w="60" w:type="dxa"/>
              <w:right w:w="60" w:type="dxa"/>
            </w:tcMar>
          </w:tcPr>
          <w:p>
            <w:r>
              <w:rPr>
                <w:rFonts w:ascii="Times New Roman" w:hAnsi="Times New Roman"/>
                <w:sz w:val="19"/>
              </w:rPr>
              <w:t>Automated FPA μFTIR microscopy + image analysis.</w:t>
            </w:r>
          </w:p>
        </w:tc>
        <w:tc>
          <w:tcPr>
            <w:tcW w:type="dxa" w:w="1678"/>
            <w:tcMar>
              <w:top w:w="50" w:type="dxa"/>
              <w:bottom w:w="50" w:type="dxa"/>
              <w:left w:w="60" w:type="dxa"/>
              <w:right w:w="60" w:type="dxa"/>
            </w:tcMar>
          </w:tcPr>
          <w:p>
            <w:r>
              <w:rPr>
                <w:rFonts w:ascii="Times New Roman" w:hAnsi="Times New Roman"/>
                <w:sz w:val="19"/>
              </w:rPr>
              <w:t>FTIR mapping data from microplastics enriched on membrane filters; datasets containing up to 1.8 million spectra were analyzed.</w:t>
            </w:r>
          </w:p>
        </w:tc>
        <w:tc>
          <w:tcPr>
            <w:tcW w:type="dxa" w:w="1678"/>
            <w:tcMar>
              <w:top w:w="50" w:type="dxa"/>
              <w:bottom w:w="50" w:type="dxa"/>
              <w:left w:w="60" w:type="dxa"/>
              <w:right w:w="60" w:type="dxa"/>
            </w:tcMar>
          </w:tcPr>
          <w:p>
            <w:r>
              <w:rPr>
                <w:rFonts w:ascii="Times New Roman" w:hAnsi="Times New Roman"/>
                <w:sz w:val="19"/>
              </w:rPr>
              <w:t>Automated spectral matching and image analysis reduced analysis time and provided particle number and size information for detected polymers. (Royal Society of Chemistry Publishing)</w:t>
            </w:r>
          </w:p>
        </w:tc>
        <w:tc>
          <w:tcPr>
            <w:tcW w:type="dxa" w:w="1678"/>
            <w:tcMar>
              <w:top w:w="50" w:type="dxa"/>
              <w:bottom w:w="50" w:type="dxa"/>
              <w:left w:w="60" w:type="dxa"/>
              <w:right w:w="60" w:type="dxa"/>
            </w:tcMar>
          </w:tcPr>
          <w:p>
            <w:r>
              <w:rPr>
                <w:rFonts w:ascii="Times New Roman" w:hAnsi="Times New Roman"/>
                <w:sz w:val="19"/>
              </w:rPr>
              <w:t>Requires expensive FTIR microscopy and specialized instrumentation; automation can introduce false negatives and remains laboratory-oriented. (ScienceDirect)</w:t>
            </w:r>
          </w:p>
        </w:tc>
      </w:tr>
      <w:tr>
        <w:tc>
          <w:tcPr>
            <w:tcW w:type="dxa" w:w="1678"/>
            <w:tcMar>
              <w:top w:w="50" w:type="dxa"/>
              <w:bottom w:w="50" w:type="dxa"/>
              <w:left w:w="60" w:type="dxa"/>
              <w:right w:w="60" w:type="dxa"/>
            </w:tcMar>
          </w:tcPr>
          <w:p>
            <w:r>
              <w:rPr>
                <w:rFonts w:ascii="Times New Roman" w:hAnsi="Times New Roman"/>
                <w:sz w:val="19"/>
              </w:rPr>
              <w:t>14</w:t>
            </w:r>
          </w:p>
        </w:tc>
        <w:tc>
          <w:tcPr>
            <w:tcW w:type="dxa" w:w="1678"/>
            <w:tcMar>
              <w:top w:w="50" w:type="dxa"/>
              <w:bottom w:w="50" w:type="dxa"/>
              <w:left w:w="60" w:type="dxa"/>
              <w:right w:w="60" w:type="dxa"/>
            </w:tcMar>
          </w:tcPr>
          <w:p>
            <w:r>
              <w:rPr>
                <w:rFonts w:ascii="Times New Roman" w:hAnsi="Times New Roman"/>
                <w:sz w:val="19"/>
              </w:rPr>
              <w:t>L. Käppler et al., 2016</w:t>
            </w:r>
          </w:p>
        </w:tc>
        <w:tc>
          <w:tcPr>
            <w:tcW w:type="dxa" w:w="1678"/>
            <w:tcMar>
              <w:top w:w="50" w:type="dxa"/>
              <w:bottom w:w="50" w:type="dxa"/>
              <w:left w:w="60" w:type="dxa"/>
              <w:right w:w="60" w:type="dxa"/>
            </w:tcMar>
          </w:tcPr>
          <w:p>
            <w:r>
              <w:rPr>
                <w:rFonts w:ascii="Times New Roman" w:hAnsi="Times New Roman"/>
                <w:sz w:val="19"/>
              </w:rPr>
              <w:t>Comparative FTIR and Raman vibrational microspectroscopy for environmental microplastics.</w:t>
            </w:r>
          </w:p>
        </w:tc>
        <w:tc>
          <w:tcPr>
            <w:tcW w:type="dxa" w:w="1678"/>
            <w:tcMar>
              <w:top w:w="50" w:type="dxa"/>
              <w:bottom w:w="50" w:type="dxa"/>
              <w:left w:w="60" w:type="dxa"/>
              <w:right w:w="60" w:type="dxa"/>
            </w:tcMar>
          </w:tcPr>
          <w:p>
            <w:r>
              <w:rPr>
                <w:rFonts w:ascii="Times New Roman" w:hAnsi="Times New Roman"/>
                <w:sz w:val="19"/>
              </w:rPr>
              <w:t>Environmental microplastic samples analyzed using vibrational spectroscopy.</w:t>
            </w:r>
          </w:p>
        </w:tc>
        <w:tc>
          <w:tcPr>
            <w:tcW w:type="dxa" w:w="1678"/>
            <w:tcMar>
              <w:top w:w="50" w:type="dxa"/>
              <w:bottom w:w="50" w:type="dxa"/>
              <w:left w:w="60" w:type="dxa"/>
              <w:right w:w="60" w:type="dxa"/>
            </w:tcMar>
          </w:tcPr>
          <w:p>
            <w:r>
              <w:rPr>
                <w:rFonts w:ascii="Times New Roman" w:hAnsi="Times New Roman"/>
                <w:sz w:val="19"/>
              </w:rPr>
              <w:t>Demonstrated the usefulness of FTIR and Raman for chemical identification and comparison of spectroscopic approaches. (PubMed)</w:t>
            </w:r>
          </w:p>
        </w:tc>
        <w:tc>
          <w:tcPr>
            <w:tcW w:type="dxa" w:w="1678"/>
            <w:tcMar>
              <w:top w:w="50" w:type="dxa"/>
              <w:bottom w:w="50" w:type="dxa"/>
              <w:left w:w="60" w:type="dxa"/>
              <w:right w:w="60" w:type="dxa"/>
            </w:tcMar>
          </w:tcPr>
          <w:p>
            <w:r>
              <w:rPr>
                <w:rFonts w:ascii="Times New Roman" w:hAnsi="Times New Roman"/>
                <w:sz w:val="19"/>
              </w:rPr>
              <w:t>Spectroscopic systems are more expensive and technically demanding than simple image-based approaches; sample preparation and spectral interpretation are required.</w:t>
            </w:r>
          </w:p>
        </w:tc>
      </w:tr>
      <w:tr>
        <w:tc>
          <w:tcPr>
            <w:tcW w:type="dxa" w:w="1678"/>
            <w:tcMar>
              <w:top w:w="50" w:type="dxa"/>
              <w:bottom w:w="50" w:type="dxa"/>
              <w:left w:w="60" w:type="dxa"/>
              <w:right w:w="60" w:type="dxa"/>
            </w:tcMar>
          </w:tcPr>
          <w:p>
            <w:r>
              <w:rPr>
                <w:rFonts w:ascii="Times New Roman" w:hAnsi="Times New Roman"/>
                <w:sz w:val="19"/>
              </w:rPr>
              <w:t>15</w:t>
            </w:r>
          </w:p>
        </w:tc>
        <w:tc>
          <w:tcPr>
            <w:tcW w:type="dxa" w:w="1678"/>
            <w:tcMar>
              <w:top w:w="50" w:type="dxa"/>
              <w:bottom w:w="50" w:type="dxa"/>
              <w:left w:w="60" w:type="dxa"/>
              <w:right w:w="60" w:type="dxa"/>
            </w:tcMar>
          </w:tcPr>
          <w:p>
            <w:r>
              <w:rPr>
                <w:rFonts w:ascii="Times New Roman" w:hAnsi="Times New Roman"/>
                <w:sz w:val="19"/>
              </w:rPr>
              <w:t>T. Cowger et al., 2021</w:t>
            </w:r>
          </w:p>
        </w:tc>
        <w:tc>
          <w:tcPr>
            <w:tcW w:type="dxa" w:w="1678"/>
            <w:tcMar>
              <w:top w:w="50" w:type="dxa"/>
              <w:bottom w:w="50" w:type="dxa"/>
              <w:left w:w="60" w:type="dxa"/>
              <w:right w:w="60" w:type="dxa"/>
            </w:tcMar>
          </w:tcPr>
          <w:p>
            <w:r>
              <w:rPr>
                <w:rFonts w:ascii="Times New Roman" w:hAnsi="Times New Roman"/>
                <w:sz w:val="19"/>
              </w:rPr>
              <w:t>Spectral classification / Open Specy for Raman and infrared microplastic identification.</w:t>
            </w:r>
          </w:p>
        </w:tc>
        <w:tc>
          <w:tcPr>
            <w:tcW w:type="dxa" w:w="1678"/>
            <w:tcMar>
              <w:top w:w="50" w:type="dxa"/>
              <w:bottom w:w="50" w:type="dxa"/>
              <w:left w:w="60" w:type="dxa"/>
              <w:right w:w="60" w:type="dxa"/>
            </w:tcMar>
          </w:tcPr>
          <w:p>
            <w:r>
              <w:rPr>
                <w:rFonts w:ascii="Times New Roman" w:hAnsi="Times New Roman"/>
                <w:sz w:val="19"/>
              </w:rPr>
              <w:t>Raman and FTIR spectra contributed to an open spectral library.</w:t>
            </w:r>
          </w:p>
        </w:tc>
        <w:tc>
          <w:tcPr>
            <w:tcW w:type="dxa" w:w="1678"/>
            <w:tcMar>
              <w:top w:w="50" w:type="dxa"/>
              <w:bottom w:w="50" w:type="dxa"/>
              <w:left w:w="60" w:type="dxa"/>
              <w:right w:w="60" w:type="dxa"/>
            </w:tcMar>
          </w:tcPr>
          <w:p>
            <w:r>
              <w:rPr>
                <w:rFonts w:ascii="Times New Roman" w:hAnsi="Times New Roman"/>
                <w:sz w:val="19"/>
              </w:rPr>
              <w:t>Highlighted the lack of adequate spectral libraries and introduced Open Specy as an open-source solution for processing, sharing and identifying spectra. (PubMed)</w:t>
            </w:r>
          </w:p>
        </w:tc>
        <w:tc>
          <w:tcPr>
            <w:tcW w:type="dxa" w:w="1678"/>
            <w:tcMar>
              <w:top w:w="50" w:type="dxa"/>
              <w:bottom w:w="50" w:type="dxa"/>
              <w:left w:w="60" w:type="dxa"/>
              <w:right w:w="60" w:type="dxa"/>
            </w:tcMar>
          </w:tcPr>
          <w:p>
            <w:r>
              <w:rPr>
                <w:rFonts w:ascii="Times New Roman" w:hAnsi="Times New Roman"/>
                <w:sz w:val="19"/>
              </w:rPr>
              <w:t>Spectral matching accuracy depends strongly on library coverage; environmental plastic diversity is not fully represented.</w:t>
            </w:r>
          </w:p>
        </w:tc>
      </w:tr>
      <w:tr>
        <w:tc>
          <w:tcPr>
            <w:tcW w:type="dxa" w:w="1678"/>
            <w:tcMar>
              <w:top w:w="50" w:type="dxa"/>
              <w:bottom w:w="50" w:type="dxa"/>
              <w:left w:w="60" w:type="dxa"/>
              <w:right w:w="60" w:type="dxa"/>
            </w:tcMar>
          </w:tcPr>
          <w:p>
            <w:r>
              <w:rPr>
                <w:rFonts w:ascii="Times New Roman" w:hAnsi="Times New Roman"/>
                <w:sz w:val="19"/>
              </w:rPr>
              <w:t>16</w:t>
            </w:r>
          </w:p>
        </w:tc>
        <w:tc>
          <w:tcPr>
            <w:tcW w:type="dxa" w:w="1678"/>
            <w:tcMar>
              <w:top w:w="50" w:type="dxa"/>
              <w:bottom w:w="50" w:type="dxa"/>
              <w:left w:w="60" w:type="dxa"/>
              <w:right w:w="60" w:type="dxa"/>
            </w:tcMar>
          </w:tcPr>
          <w:p>
            <w:r>
              <w:rPr>
                <w:rFonts w:ascii="Times New Roman" w:hAnsi="Times New Roman"/>
                <w:sz w:val="19"/>
              </w:rPr>
              <w:t>Y. LeCun, Y. Bengio &amp; G. Hinton, 2015</w:t>
            </w:r>
          </w:p>
        </w:tc>
        <w:tc>
          <w:tcPr>
            <w:tcW w:type="dxa" w:w="1678"/>
            <w:tcMar>
              <w:top w:w="50" w:type="dxa"/>
              <w:bottom w:w="50" w:type="dxa"/>
              <w:left w:w="60" w:type="dxa"/>
              <w:right w:w="60" w:type="dxa"/>
            </w:tcMar>
          </w:tcPr>
          <w:p>
            <w:r>
              <w:rPr>
                <w:rFonts w:ascii="Times New Roman" w:hAnsi="Times New Roman"/>
                <w:sz w:val="19"/>
              </w:rPr>
              <w:t>Deep Learning — review of multi-layer representation learning, particularly CNNs.</w:t>
            </w:r>
          </w:p>
        </w:tc>
        <w:tc>
          <w:tcPr>
            <w:tcW w:type="dxa" w:w="1678"/>
            <w:tcMar>
              <w:top w:w="50" w:type="dxa"/>
              <w:bottom w:w="50" w:type="dxa"/>
              <w:left w:w="60" w:type="dxa"/>
              <w:right w:w="60" w:type="dxa"/>
            </w:tcMar>
          </w:tcPr>
          <w:p>
            <w:r>
              <w:rPr>
                <w:rFonts w:ascii="Times New Roman" w:hAnsi="Times New Roman"/>
                <w:sz w:val="19"/>
              </w:rPr>
              <w:t>Large-scale image, speech and other datasets; not a microplastic dataset.</w:t>
            </w:r>
          </w:p>
        </w:tc>
        <w:tc>
          <w:tcPr>
            <w:tcW w:type="dxa" w:w="1678"/>
            <w:tcMar>
              <w:top w:w="50" w:type="dxa"/>
              <w:bottom w:w="50" w:type="dxa"/>
              <w:left w:w="60" w:type="dxa"/>
              <w:right w:w="60" w:type="dxa"/>
            </w:tcMar>
          </w:tcPr>
          <w:p>
            <w:r>
              <w:rPr>
                <w:rFonts w:ascii="Times New Roman" w:hAnsi="Times New Roman"/>
                <w:sz w:val="19"/>
              </w:rPr>
              <w:t>Established the importance of deep hierarchical feature learning and CNNs for visual recognition and object detection. (Nature)</w:t>
            </w:r>
          </w:p>
        </w:tc>
        <w:tc>
          <w:tcPr>
            <w:tcW w:type="dxa" w:w="1678"/>
            <w:tcMar>
              <w:top w:w="50" w:type="dxa"/>
              <w:bottom w:w="50" w:type="dxa"/>
              <w:left w:w="60" w:type="dxa"/>
              <w:right w:w="60" w:type="dxa"/>
            </w:tcMar>
          </w:tcPr>
          <w:p>
            <w:r>
              <w:rPr>
                <w:rFonts w:ascii="Times New Roman" w:hAnsi="Times New Roman"/>
                <w:sz w:val="19"/>
              </w:rPr>
              <w:t>General deep-learning framework rather than a microplastic-specific solution; computational and data requirements can be significant.</w:t>
            </w:r>
          </w:p>
        </w:tc>
      </w:tr>
      <w:tr>
        <w:tc>
          <w:tcPr>
            <w:tcW w:type="dxa" w:w="1678"/>
            <w:tcMar>
              <w:top w:w="50" w:type="dxa"/>
              <w:bottom w:w="50" w:type="dxa"/>
              <w:left w:w="60" w:type="dxa"/>
              <w:right w:w="60" w:type="dxa"/>
            </w:tcMar>
          </w:tcPr>
          <w:p>
            <w:r>
              <w:rPr>
                <w:rFonts w:ascii="Times New Roman" w:hAnsi="Times New Roman"/>
                <w:sz w:val="19"/>
              </w:rPr>
              <w:t>17</w:t>
            </w:r>
          </w:p>
        </w:tc>
        <w:tc>
          <w:tcPr>
            <w:tcW w:type="dxa" w:w="1678"/>
            <w:tcMar>
              <w:top w:w="50" w:type="dxa"/>
              <w:bottom w:w="50" w:type="dxa"/>
              <w:left w:w="60" w:type="dxa"/>
              <w:right w:w="60" w:type="dxa"/>
            </w:tcMar>
          </w:tcPr>
          <w:p>
            <w:r>
              <w:rPr>
                <w:rFonts w:ascii="Times New Roman" w:hAnsi="Times New Roman"/>
                <w:sz w:val="19"/>
              </w:rPr>
              <w:t>K. He et al., 2016</w:t>
            </w:r>
          </w:p>
        </w:tc>
        <w:tc>
          <w:tcPr>
            <w:tcW w:type="dxa" w:w="1678"/>
            <w:tcMar>
              <w:top w:w="50" w:type="dxa"/>
              <w:bottom w:w="50" w:type="dxa"/>
              <w:left w:w="60" w:type="dxa"/>
              <w:right w:w="60" w:type="dxa"/>
            </w:tcMar>
          </w:tcPr>
          <w:p>
            <w:r>
              <w:rPr>
                <w:rFonts w:ascii="Times New Roman" w:hAnsi="Times New Roman"/>
                <w:sz w:val="19"/>
              </w:rPr>
              <w:t>ResNet / residual learning for deep image recognition.</w:t>
            </w:r>
          </w:p>
        </w:tc>
        <w:tc>
          <w:tcPr>
            <w:tcW w:type="dxa" w:w="1678"/>
            <w:tcMar>
              <w:top w:w="50" w:type="dxa"/>
              <w:bottom w:w="50" w:type="dxa"/>
              <w:left w:w="60" w:type="dxa"/>
              <w:right w:w="60" w:type="dxa"/>
            </w:tcMar>
          </w:tcPr>
          <w:p>
            <w:r>
              <w:rPr>
                <w:rFonts w:ascii="Times New Roman" w:hAnsi="Times New Roman"/>
                <w:sz w:val="19"/>
              </w:rPr>
              <w:t>ImageNet and CIFAR-10; also evaluated for object detection.</w:t>
            </w:r>
          </w:p>
        </w:tc>
        <w:tc>
          <w:tcPr>
            <w:tcW w:type="dxa" w:w="1678"/>
            <w:tcMar>
              <w:top w:w="50" w:type="dxa"/>
              <w:bottom w:w="50" w:type="dxa"/>
              <w:left w:w="60" w:type="dxa"/>
              <w:right w:w="60" w:type="dxa"/>
            </w:tcMar>
          </w:tcPr>
          <w:p>
            <w:r>
              <w:rPr>
                <w:rFonts w:ascii="Times New Roman" w:hAnsi="Times New Roman"/>
                <w:sz w:val="19"/>
              </w:rPr>
              <w:t>Residual connections allowed much deeper networks to be trained effectively; ResNet achieved strong image-recognition and detection performance. (Microsoft)</w:t>
            </w:r>
          </w:p>
        </w:tc>
        <w:tc>
          <w:tcPr>
            <w:tcW w:type="dxa" w:w="1678"/>
            <w:tcMar>
              <w:top w:w="50" w:type="dxa"/>
              <w:bottom w:w="50" w:type="dxa"/>
              <w:left w:w="60" w:type="dxa"/>
              <w:right w:w="60" w:type="dxa"/>
            </w:tcMar>
          </w:tcPr>
          <w:p>
            <w:r>
              <w:rPr>
                <w:rFonts w:ascii="Times New Roman" w:hAnsi="Times New Roman"/>
                <w:sz w:val="19"/>
              </w:rPr>
              <w:t>Deep ResNet models can be computationally heavy for low-cost Edge devices; may be excessive for a small microplastic dataset.</w:t>
            </w:r>
          </w:p>
        </w:tc>
      </w:tr>
      <w:tr>
        <w:tc>
          <w:tcPr>
            <w:tcW w:type="dxa" w:w="1678"/>
            <w:tcMar>
              <w:top w:w="50" w:type="dxa"/>
              <w:bottom w:w="50" w:type="dxa"/>
              <w:left w:w="60" w:type="dxa"/>
              <w:right w:w="60" w:type="dxa"/>
            </w:tcMar>
          </w:tcPr>
          <w:p>
            <w:r>
              <w:rPr>
                <w:rFonts w:ascii="Times New Roman" w:hAnsi="Times New Roman"/>
                <w:sz w:val="19"/>
              </w:rPr>
              <w:t>18</w:t>
            </w:r>
          </w:p>
        </w:tc>
        <w:tc>
          <w:tcPr>
            <w:tcW w:type="dxa" w:w="1678"/>
            <w:tcMar>
              <w:top w:w="50" w:type="dxa"/>
              <w:bottom w:w="50" w:type="dxa"/>
              <w:left w:w="60" w:type="dxa"/>
              <w:right w:w="60" w:type="dxa"/>
            </w:tcMar>
          </w:tcPr>
          <w:p>
            <w:r>
              <w:rPr>
                <w:rFonts w:ascii="Times New Roman" w:hAnsi="Times New Roman"/>
                <w:sz w:val="19"/>
              </w:rPr>
              <w:t>A. Howard et al., 2017</w:t>
            </w:r>
          </w:p>
        </w:tc>
        <w:tc>
          <w:tcPr>
            <w:tcW w:type="dxa" w:w="1678"/>
            <w:tcMar>
              <w:top w:w="50" w:type="dxa"/>
              <w:bottom w:w="50" w:type="dxa"/>
              <w:left w:w="60" w:type="dxa"/>
              <w:right w:w="60" w:type="dxa"/>
            </w:tcMar>
          </w:tcPr>
          <w:p>
            <w:r>
              <w:rPr>
                <w:rFonts w:ascii="Times New Roman" w:hAnsi="Times New Roman"/>
                <w:sz w:val="19"/>
              </w:rPr>
              <w:t>MobileNet, using depthwise-separable convolutions for lightweight vision.</w:t>
            </w:r>
          </w:p>
        </w:tc>
        <w:tc>
          <w:tcPr>
            <w:tcW w:type="dxa" w:w="1678"/>
            <w:tcMar>
              <w:top w:w="50" w:type="dxa"/>
              <w:bottom w:w="50" w:type="dxa"/>
              <w:left w:w="60" w:type="dxa"/>
              <w:right w:w="60" w:type="dxa"/>
            </w:tcMar>
          </w:tcPr>
          <w:p>
            <w:r>
              <w:rPr>
                <w:rFonts w:ascii="Times New Roman" w:hAnsi="Times New Roman"/>
                <w:sz w:val="19"/>
              </w:rPr>
              <w:t>ImageNet and multiple vision tasks.</w:t>
            </w:r>
          </w:p>
        </w:tc>
        <w:tc>
          <w:tcPr>
            <w:tcW w:type="dxa" w:w="1678"/>
            <w:tcMar>
              <w:top w:w="50" w:type="dxa"/>
              <w:bottom w:w="50" w:type="dxa"/>
              <w:left w:w="60" w:type="dxa"/>
              <w:right w:w="60" w:type="dxa"/>
            </w:tcMar>
          </w:tcPr>
          <w:p>
            <w:r>
              <w:rPr>
                <w:rFonts w:ascii="Times New Roman" w:hAnsi="Times New Roman"/>
                <w:sz w:val="19"/>
              </w:rPr>
              <w:t>Designed specifically for mobile/embedded applications, providing a controllable accuracy–latency trade-off. (arXiv)</w:t>
            </w:r>
          </w:p>
        </w:tc>
        <w:tc>
          <w:tcPr>
            <w:tcW w:type="dxa" w:w="1678"/>
            <w:tcMar>
              <w:top w:w="50" w:type="dxa"/>
              <w:bottom w:w="50" w:type="dxa"/>
              <w:left w:w="60" w:type="dxa"/>
              <w:right w:w="60" w:type="dxa"/>
            </w:tcMar>
          </w:tcPr>
          <w:p>
            <w:r>
              <w:rPr>
                <w:rFonts w:ascii="Times New Roman" w:hAnsi="Times New Roman"/>
                <w:sz w:val="19"/>
              </w:rPr>
              <w:t>Lightweight models may sacrifice some accuracy compared with larger networks; performance depends strongly on dataset and hardware.</w:t>
            </w:r>
          </w:p>
        </w:tc>
      </w:tr>
      <w:tr>
        <w:tc>
          <w:tcPr>
            <w:tcW w:type="dxa" w:w="1678"/>
            <w:tcMar>
              <w:top w:w="50" w:type="dxa"/>
              <w:bottom w:w="50" w:type="dxa"/>
              <w:left w:w="60" w:type="dxa"/>
              <w:right w:w="60" w:type="dxa"/>
            </w:tcMar>
          </w:tcPr>
          <w:p>
            <w:r>
              <w:rPr>
                <w:rFonts w:ascii="Times New Roman" w:hAnsi="Times New Roman"/>
                <w:sz w:val="19"/>
              </w:rPr>
              <w:t>19</w:t>
            </w:r>
          </w:p>
        </w:tc>
        <w:tc>
          <w:tcPr>
            <w:tcW w:type="dxa" w:w="1678"/>
            <w:tcMar>
              <w:top w:w="50" w:type="dxa"/>
              <w:bottom w:w="50" w:type="dxa"/>
              <w:left w:w="60" w:type="dxa"/>
              <w:right w:w="60" w:type="dxa"/>
            </w:tcMar>
          </w:tcPr>
          <w:p>
            <w:r>
              <w:rPr>
                <w:rFonts w:ascii="Times New Roman" w:hAnsi="Times New Roman"/>
                <w:sz w:val="19"/>
              </w:rPr>
              <w:t>J. Redmon et al., 2016</w:t>
            </w:r>
          </w:p>
        </w:tc>
        <w:tc>
          <w:tcPr>
            <w:tcW w:type="dxa" w:w="1678"/>
            <w:tcMar>
              <w:top w:w="50" w:type="dxa"/>
              <w:bottom w:w="50" w:type="dxa"/>
              <w:left w:w="60" w:type="dxa"/>
              <w:right w:w="60" w:type="dxa"/>
            </w:tcMar>
          </w:tcPr>
          <w:p>
            <w:r>
              <w:rPr>
                <w:rFonts w:ascii="Times New Roman" w:hAnsi="Times New Roman"/>
                <w:sz w:val="19"/>
              </w:rPr>
              <w:t>YOLO single-stage real-time object detection.</w:t>
            </w:r>
          </w:p>
        </w:tc>
        <w:tc>
          <w:tcPr>
            <w:tcW w:type="dxa" w:w="1678"/>
            <w:tcMar>
              <w:top w:w="50" w:type="dxa"/>
              <w:bottom w:w="50" w:type="dxa"/>
              <w:left w:w="60" w:type="dxa"/>
              <w:right w:w="60" w:type="dxa"/>
            </w:tcMar>
          </w:tcPr>
          <w:p>
            <w:r>
              <w:rPr>
                <w:rFonts w:ascii="Times New Roman" w:hAnsi="Times New Roman"/>
                <w:sz w:val="19"/>
              </w:rPr>
              <w:t>PASCAL VOC and other object-detection benchmarks.</w:t>
            </w:r>
          </w:p>
        </w:tc>
        <w:tc>
          <w:tcPr>
            <w:tcW w:type="dxa" w:w="1678"/>
            <w:tcMar>
              <w:top w:w="50" w:type="dxa"/>
              <w:bottom w:w="50" w:type="dxa"/>
              <w:left w:w="60" w:type="dxa"/>
              <w:right w:w="60" w:type="dxa"/>
            </w:tcMar>
          </w:tcPr>
          <w:p>
            <w:r>
              <w:rPr>
                <w:rFonts w:ascii="Times New Roman" w:hAnsi="Times New Roman"/>
                <w:sz w:val="19"/>
              </w:rPr>
              <w:t>Performs detection and classification in a single network; original YOLO demonstrated real-time processing and high speed. (Open Access CVF)</w:t>
            </w:r>
          </w:p>
        </w:tc>
        <w:tc>
          <w:tcPr>
            <w:tcW w:type="dxa" w:w="1678"/>
            <w:tcMar>
              <w:top w:w="50" w:type="dxa"/>
              <w:bottom w:w="50" w:type="dxa"/>
              <w:left w:w="60" w:type="dxa"/>
              <w:right w:w="60" w:type="dxa"/>
            </w:tcMar>
          </w:tcPr>
          <w:p>
            <w:r>
              <w:rPr>
                <w:rFonts w:ascii="Times New Roman" w:hAnsi="Times New Roman"/>
                <w:sz w:val="19"/>
              </w:rPr>
              <w:t>Original YOLO had greater localization errors than some competing detectors, particularly for small objects—an important concern for tiny microplastics. (Open Access CVF)</w:t>
            </w:r>
          </w:p>
        </w:tc>
      </w:tr>
      <w:tr>
        <w:tc>
          <w:tcPr>
            <w:tcW w:type="dxa" w:w="1678"/>
            <w:tcMar>
              <w:top w:w="50" w:type="dxa"/>
              <w:bottom w:w="50" w:type="dxa"/>
              <w:left w:w="60" w:type="dxa"/>
              <w:right w:w="60" w:type="dxa"/>
            </w:tcMar>
          </w:tcPr>
          <w:p>
            <w:r>
              <w:rPr>
                <w:rFonts w:ascii="Times New Roman" w:hAnsi="Times New Roman"/>
                <w:sz w:val="19"/>
              </w:rPr>
              <w:t>20</w:t>
            </w:r>
          </w:p>
        </w:tc>
        <w:tc>
          <w:tcPr>
            <w:tcW w:type="dxa" w:w="1678"/>
            <w:tcMar>
              <w:top w:w="50" w:type="dxa"/>
              <w:bottom w:w="50" w:type="dxa"/>
              <w:left w:w="60" w:type="dxa"/>
              <w:right w:w="60" w:type="dxa"/>
            </w:tcMar>
          </w:tcPr>
          <w:p>
            <w:r>
              <w:rPr>
                <w:rFonts w:ascii="Times New Roman" w:hAnsi="Times New Roman"/>
                <w:sz w:val="19"/>
              </w:rPr>
              <w:t>O. Ronneberger et al., 2015</w:t>
            </w:r>
          </w:p>
        </w:tc>
        <w:tc>
          <w:tcPr>
            <w:tcW w:type="dxa" w:w="1678"/>
            <w:tcMar>
              <w:top w:w="50" w:type="dxa"/>
              <w:bottom w:w="50" w:type="dxa"/>
              <w:left w:w="60" w:type="dxa"/>
              <w:right w:w="60" w:type="dxa"/>
            </w:tcMar>
          </w:tcPr>
          <w:p>
            <w:r>
              <w:rPr>
                <w:rFonts w:ascii="Times New Roman" w:hAnsi="Times New Roman"/>
                <w:sz w:val="19"/>
              </w:rPr>
              <w:t>U-Net encoder–decoder architecture for pixel-level segmentation.</w:t>
            </w:r>
          </w:p>
        </w:tc>
        <w:tc>
          <w:tcPr>
            <w:tcW w:type="dxa" w:w="1678"/>
            <w:tcMar>
              <w:top w:w="50" w:type="dxa"/>
              <w:bottom w:w="50" w:type="dxa"/>
              <w:left w:w="60" w:type="dxa"/>
              <w:right w:w="60" w:type="dxa"/>
            </w:tcMar>
          </w:tcPr>
          <w:p>
            <w:r>
              <w:rPr>
                <w:rFonts w:ascii="Times New Roman" w:hAnsi="Times New Roman"/>
                <w:sz w:val="19"/>
              </w:rPr>
              <w:t>Biomedical microscopy datasets including EM segmentation and cell-tracking images.</w:t>
            </w:r>
          </w:p>
        </w:tc>
        <w:tc>
          <w:tcPr>
            <w:tcW w:type="dxa" w:w="1678"/>
            <w:tcMar>
              <w:top w:w="50" w:type="dxa"/>
              <w:bottom w:w="50" w:type="dxa"/>
              <w:left w:w="60" w:type="dxa"/>
              <w:right w:w="60" w:type="dxa"/>
            </w:tcMar>
          </w:tcPr>
          <w:p>
            <w:r>
              <w:rPr>
                <w:rFonts w:ascii="Times New Roman" w:hAnsi="Times New Roman"/>
                <w:sz w:val="19"/>
              </w:rPr>
              <w:t>Strong localization and segmentation performance with relatively few training images; extensive data augmentation improves training efficiency. (lmb.informatik.uni-freiburg.de)</w:t>
            </w:r>
          </w:p>
        </w:tc>
        <w:tc>
          <w:tcPr>
            <w:tcW w:type="dxa" w:w="1678"/>
            <w:tcMar>
              <w:top w:w="50" w:type="dxa"/>
              <w:bottom w:w="50" w:type="dxa"/>
              <w:left w:w="60" w:type="dxa"/>
              <w:right w:w="60" w:type="dxa"/>
            </w:tcMar>
          </w:tcPr>
          <w:p>
            <w:r>
              <w:rPr>
                <w:rFonts w:ascii="Times New Roman" w:hAnsi="Times New Roman"/>
                <w:sz w:val="19"/>
              </w:rPr>
              <w:t>Originally designed for biomedical segmentation rather than microplastics; pixel-level annotation is time-consuming.</w:t>
            </w:r>
          </w:p>
        </w:tc>
      </w:tr>
      <w:tr>
        <w:tc>
          <w:tcPr>
            <w:tcW w:type="dxa" w:w="1678"/>
            <w:tcMar>
              <w:top w:w="50" w:type="dxa"/>
              <w:bottom w:w="50" w:type="dxa"/>
              <w:left w:w="60" w:type="dxa"/>
              <w:right w:w="60" w:type="dxa"/>
            </w:tcMar>
          </w:tcPr>
          <w:p>
            <w:r>
              <w:rPr>
                <w:rFonts w:ascii="Times New Roman" w:hAnsi="Times New Roman"/>
                <w:sz w:val="19"/>
              </w:rPr>
              <w:t>21</w:t>
            </w:r>
          </w:p>
        </w:tc>
        <w:tc>
          <w:tcPr>
            <w:tcW w:type="dxa" w:w="1678"/>
            <w:tcMar>
              <w:top w:w="50" w:type="dxa"/>
              <w:bottom w:w="50" w:type="dxa"/>
              <w:left w:w="60" w:type="dxa"/>
              <w:right w:w="60" w:type="dxa"/>
            </w:tcMar>
          </w:tcPr>
          <w:p>
            <w:r>
              <w:rPr>
                <w:rFonts w:ascii="Times New Roman" w:hAnsi="Times New Roman"/>
                <w:sz w:val="19"/>
              </w:rPr>
              <w:t>K. He et al., 2017</w:t>
            </w:r>
          </w:p>
        </w:tc>
        <w:tc>
          <w:tcPr>
            <w:tcW w:type="dxa" w:w="1678"/>
            <w:tcMar>
              <w:top w:w="50" w:type="dxa"/>
              <w:bottom w:w="50" w:type="dxa"/>
              <w:left w:w="60" w:type="dxa"/>
              <w:right w:w="60" w:type="dxa"/>
            </w:tcMar>
          </w:tcPr>
          <w:p>
            <w:r>
              <w:rPr>
                <w:rFonts w:ascii="Times New Roman" w:hAnsi="Times New Roman"/>
                <w:sz w:val="19"/>
              </w:rPr>
              <w:t>Mask R-CNN for object detection + instance segmentation.</w:t>
            </w:r>
          </w:p>
        </w:tc>
        <w:tc>
          <w:tcPr>
            <w:tcW w:type="dxa" w:w="1678"/>
            <w:tcMar>
              <w:top w:w="50" w:type="dxa"/>
              <w:bottom w:w="50" w:type="dxa"/>
              <w:left w:w="60" w:type="dxa"/>
              <w:right w:w="60" w:type="dxa"/>
            </w:tcMar>
          </w:tcPr>
          <w:p>
            <w:r>
              <w:rPr>
                <w:rFonts w:ascii="Times New Roman" w:hAnsi="Times New Roman"/>
                <w:sz w:val="19"/>
              </w:rPr>
              <w:t>COCO object-detection/segmentation benchmark.</w:t>
            </w:r>
          </w:p>
        </w:tc>
        <w:tc>
          <w:tcPr>
            <w:tcW w:type="dxa" w:w="1678"/>
            <w:tcMar>
              <w:top w:w="50" w:type="dxa"/>
              <w:bottom w:w="50" w:type="dxa"/>
              <w:left w:w="60" w:type="dxa"/>
              <w:right w:w="60" w:type="dxa"/>
            </w:tcMar>
          </w:tcPr>
          <w:p>
            <w:r>
              <w:rPr>
                <w:rFonts w:ascii="Times New Roman" w:hAnsi="Times New Roman"/>
                <w:sz w:val="19"/>
              </w:rPr>
              <w:t>Detects objects while generating an individual segmentation mask for each object; useful when separate microplastic particles must be counted and measured. (Open Access CVF)</w:t>
            </w:r>
          </w:p>
        </w:tc>
        <w:tc>
          <w:tcPr>
            <w:tcW w:type="dxa" w:w="1678"/>
            <w:tcMar>
              <w:top w:w="50" w:type="dxa"/>
              <w:bottom w:w="50" w:type="dxa"/>
              <w:left w:w="60" w:type="dxa"/>
              <w:right w:w="60" w:type="dxa"/>
            </w:tcMar>
          </w:tcPr>
          <w:p>
            <w:r>
              <w:rPr>
                <w:rFonts w:ascii="Times New Roman" w:hAnsi="Times New Roman"/>
                <w:sz w:val="19"/>
              </w:rPr>
              <w:t>Computationally heavier than lightweight detectors; original implementation achieved around 5 fps, making direct low-cost Edge deployment challenging. (Open Access CVF)</w:t>
            </w:r>
          </w:p>
        </w:tc>
      </w:tr>
      <w:tr>
        <w:tc>
          <w:tcPr>
            <w:tcW w:type="dxa" w:w="1678"/>
            <w:tcMar>
              <w:top w:w="50" w:type="dxa"/>
              <w:bottom w:w="50" w:type="dxa"/>
              <w:left w:w="60" w:type="dxa"/>
              <w:right w:w="60" w:type="dxa"/>
            </w:tcMar>
          </w:tcPr>
          <w:p>
            <w:r>
              <w:rPr>
                <w:rFonts w:ascii="Times New Roman" w:hAnsi="Times New Roman"/>
                <w:sz w:val="19"/>
              </w:rPr>
              <w:t>22</w:t>
            </w:r>
          </w:p>
        </w:tc>
        <w:tc>
          <w:tcPr>
            <w:tcW w:type="dxa" w:w="1678"/>
            <w:tcMar>
              <w:top w:w="50" w:type="dxa"/>
              <w:bottom w:w="50" w:type="dxa"/>
              <w:left w:w="60" w:type="dxa"/>
              <w:right w:w="60" w:type="dxa"/>
            </w:tcMar>
          </w:tcPr>
          <w:p>
            <w:r>
              <w:rPr>
                <w:rFonts w:ascii="Times New Roman" w:hAnsi="Times New Roman"/>
                <w:sz w:val="19"/>
              </w:rPr>
              <w:t>A. Kirillov et al., 2023</w:t>
            </w:r>
          </w:p>
        </w:tc>
        <w:tc>
          <w:tcPr>
            <w:tcW w:type="dxa" w:w="1678"/>
            <w:tcMar>
              <w:top w:w="50" w:type="dxa"/>
              <w:bottom w:w="50" w:type="dxa"/>
              <w:left w:w="60" w:type="dxa"/>
              <w:right w:w="60" w:type="dxa"/>
            </w:tcMar>
          </w:tcPr>
          <w:p>
            <w:r>
              <w:rPr>
                <w:rFonts w:ascii="Times New Roman" w:hAnsi="Times New Roman"/>
                <w:sz w:val="19"/>
              </w:rPr>
              <w:t>Segment Anything Model (SAM) / promptable foundation-model segmentation.</w:t>
            </w:r>
          </w:p>
        </w:tc>
        <w:tc>
          <w:tcPr>
            <w:tcW w:type="dxa" w:w="1678"/>
            <w:tcMar>
              <w:top w:w="50" w:type="dxa"/>
              <w:bottom w:w="50" w:type="dxa"/>
              <w:left w:w="60" w:type="dxa"/>
              <w:right w:w="60" w:type="dxa"/>
            </w:tcMar>
          </w:tcPr>
          <w:p>
            <w:r>
              <w:rPr>
                <w:rFonts w:ascii="Times New Roman" w:hAnsi="Times New Roman"/>
                <w:sz w:val="19"/>
              </w:rPr>
              <w:t>SA-1B: over 1 billion masks from 11 million images. (Open Access CVF)</w:t>
            </w:r>
          </w:p>
        </w:tc>
        <w:tc>
          <w:tcPr>
            <w:tcW w:type="dxa" w:w="1678"/>
            <w:tcMar>
              <w:top w:w="50" w:type="dxa"/>
              <w:bottom w:w="50" w:type="dxa"/>
              <w:left w:w="60" w:type="dxa"/>
              <w:right w:w="60" w:type="dxa"/>
            </w:tcMar>
          </w:tcPr>
          <w:p>
            <w:r>
              <w:rPr>
                <w:rFonts w:ascii="Times New Roman" w:hAnsi="Times New Roman"/>
                <w:sz w:val="19"/>
              </w:rPr>
              <w:t>Demonstrated general-purpose, promptable segmentation and strong transfer to new image distributions.</w:t>
            </w:r>
          </w:p>
        </w:tc>
        <w:tc>
          <w:tcPr>
            <w:tcW w:type="dxa" w:w="1678"/>
            <w:tcMar>
              <w:top w:w="50" w:type="dxa"/>
              <w:bottom w:w="50" w:type="dxa"/>
              <w:left w:w="60" w:type="dxa"/>
              <w:right w:w="60" w:type="dxa"/>
            </w:tcMar>
          </w:tcPr>
          <w:p>
            <w:r>
              <w:rPr>
                <w:rFonts w:ascii="Times New Roman" w:hAnsi="Times New Roman"/>
                <w:sz w:val="19"/>
              </w:rPr>
              <w:t>Developed for general images, not microplastics; large foundation-model requirements can make direct Edge deployment difficult.</w:t>
            </w:r>
          </w:p>
        </w:tc>
      </w:tr>
      <w:tr>
        <w:tc>
          <w:tcPr>
            <w:tcW w:type="dxa" w:w="1678"/>
            <w:tcMar>
              <w:top w:w="50" w:type="dxa"/>
              <w:bottom w:w="50" w:type="dxa"/>
              <w:left w:w="60" w:type="dxa"/>
              <w:right w:w="60" w:type="dxa"/>
            </w:tcMar>
          </w:tcPr>
          <w:p>
            <w:r>
              <w:rPr>
                <w:rFonts w:ascii="Times New Roman" w:hAnsi="Times New Roman"/>
                <w:sz w:val="19"/>
              </w:rPr>
              <w:t>23</w:t>
            </w:r>
          </w:p>
        </w:tc>
        <w:tc>
          <w:tcPr>
            <w:tcW w:type="dxa" w:w="1678"/>
            <w:tcMar>
              <w:top w:w="50" w:type="dxa"/>
              <w:bottom w:w="50" w:type="dxa"/>
              <w:left w:w="60" w:type="dxa"/>
              <w:right w:w="60" w:type="dxa"/>
            </w:tcMar>
          </w:tcPr>
          <w:p>
            <w:r>
              <w:rPr>
                <w:rFonts w:ascii="Times New Roman" w:hAnsi="Times New Roman"/>
                <w:sz w:val="19"/>
              </w:rPr>
              <w:t>A. Dosovitskiy et al., 2021</w:t>
            </w:r>
          </w:p>
        </w:tc>
        <w:tc>
          <w:tcPr>
            <w:tcW w:type="dxa" w:w="1678"/>
            <w:tcMar>
              <w:top w:w="50" w:type="dxa"/>
              <w:bottom w:w="50" w:type="dxa"/>
              <w:left w:w="60" w:type="dxa"/>
              <w:right w:w="60" w:type="dxa"/>
            </w:tcMar>
          </w:tcPr>
          <w:p>
            <w:r>
              <w:rPr>
                <w:rFonts w:ascii="Times New Roman" w:hAnsi="Times New Roman"/>
                <w:sz w:val="19"/>
              </w:rPr>
              <w:t>Vision Transformer (ViT) using image patches and self-attention.</w:t>
            </w:r>
          </w:p>
        </w:tc>
        <w:tc>
          <w:tcPr>
            <w:tcW w:type="dxa" w:w="1678"/>
            <w:tcMar>
              <w:top w:w="50" w:type="dxa"/>
              <w:bottom w:w="50" w:type="dxa"/>
              <w:left w:w="60" w:type="dxa"/>
              <w:right w:w="60" w:type="dxa"/>
            </w:tcMar>
          </w:tcPr>
          <w:p>
            <w:r>
              <w:rPr>
                <w:rFonts w:ascii="Times New Roman" w:hAnsi="Times New Roman"/>
                <w:sz w:val="19"/>
              </w:rPr>
              <w:t>ImageNet, CIFAR-100 and other image-recognition benchmarks.</w:t>
            </w:r>
          </w:p>
        </w:tc>
        <w:tc>
          <w:tcPr>
            <w:tcW w:type="dxa" w:w="1678"/>
            <w:tcMar>
              <w:top w:w="50" w:type="dxa"/>
              <w:bottom w:w="50" w:type="dxa"/>
              <w:left w:w="60" w:type="dxa"/>
              <w:right w:w="60" w:type="dxa"/>
            </w:tcMar>
          </w:tcPr>
          <w:p>
            <w:r>
              <w:rPr>
                <w:rFonts w:ascii="Times New Roman" w:hAnsi="Times New Roman"/>
                <w:sz w:val="19"/>
              </w:rPr>
              <w:t>Demonstrated that pure Transformer architectures can perform strongly for image classification when pretrained on large datasets. (Google Research)</w:t>
            </w:r>
          </w:p>
        </w:tc>
        <w:tc>
          <w:tcPr>
            <w:tcW w:type="dxa" w:w="1678"/>
            <w:tcMar>
              <w:top w:w="50" w:type="dxa"/>
              <w:bottom w:w="50" w:type="dxa"/>
              <w:left w:w="60" w:type="dxa"/>
              <w:right w:w="60" w:type="dxa"/>
            </w:tcMar>
          </w:tcPr>
          <w:p>
            <w:r>
              <w:rPr>
                <w:rFonts w:ascii="Times New Roman" w:hAnsi="Times New Roman"/>
                <w:sz w:val="19"/>
              </w:rPr>
              <w:t>Typically benefits from large-scale pretraining/data; computational requirements make it less immediately attractive for a low-cost Edge system.</w:t>
            </w:r>
          </w:p>
        </w:tc>
      </w:tr>
      <w:tr>
        <w:tc>
          <w:tcPr>
            <w:tcW w:type="dxa" w:w="1678"/>
            <w:tcMar>
              <w:top w:w="50" w:type="dxa"/>
              <w:bottom w:w="50" w:type="dxa"/>
              <w:left w:w="60" w:type="dxa"/>
              <w:right w:w="60" w:type="dxa"/>
            </w:tcMar>
          </w:tcPr>
          <w:p>
            <w:r>
              <w:rPr>
                <w:rFonts w:ascii="Times New Roman" w:hAnsi="Times New Roman"/>
                <w:sz w:val="19"/>
              </w:rPr>
              <w:t>24</w:t>
            </w:r>
          </w:p>
        </w:tc>
        <w:tc>
          <w:tcPr>
            <w:tcW w:type="dxa" w:w="1678"/>
            <w:tcMar>
              <w:top w:w="50" w:type="dxa"/>
              <w:bottom w:w="50" w:type="dxa"/>
              <w:left w:w="60" w:type="dxa"/>
              <w:right w:w="60" w:type="dxa"/>
            </w:tcMar>
          </w:tcPr>
          <w:p>
            <w:r>
              <w:rPr>
                <w:rFonts w:ascii="Times New Roman" w:hAnsi="Times New Roman"/>
                <w:sz w:val="19"/>
              </w:rPr>
              <w:t>M. Tan &amp; Q. Le, 2019</w:t>
            </w:r>
          </w:p>
        </w:tc>
        <w:tc>
          <w:tcPr>
            <w:tcW w:type="dxa" w:w="1678"/>
            <w:tcMar>
              <w:top w:w="50" w:type="dxa"/>
              <w:bottom w:w="50" w:type="dxa"/>
              <w:left w:w="60" w:type="dxa"/>
              <w:right w:w="60" w:type="dxa"/>
            </w:tcMar>
          </w:tcPr>
          <w:p>
            <w:r>
              <w:rPr>
                <w:rFonts w:ascii="Times New Roman" w:hAnsi="Times New Roman"/>
                <w:sz w:val="19"/>
              </w:rPr>
              <w:t>EfficientNet with compound scaling of network depth, width and input resolution.</w:t>
            </w:r>
          </w:p>
        </w:tc>
        <w:tc>
          <w:tcPr>
            <w:tcW w:type="dxa" w:w="1678"/>
            <w:tcMar>
              <w:top w:w="50" w:type="dxa"/>
              <w:bottom w:w="50" w:type="dxa"/>
              <w:left w:w="60" w:type="dxa"/>
              <w:right w:w="60" w:type="dxa"/>
            </w:tcMar>
          </w:tcPr>
          <w:p>
            <w:r>
              <w:rPr>
                <w:rFonts w:ascii="Times New Roman" w:hAnsi="Times New Roman"/>
                <w:sz w:val="19"/>
              </w:rPr>
              <w:t>ImageNet, CIFAR-100 and transfer-learning datasets.</w:t>
            </w:r>
          </w:p>
        </w:tc>
        <w:tc>
          <w:tcPr>
            <w:tcW w:type="dxa" w:w="1678"/>
            <w:tcMar>
              <w:top w:w="50" w:type="dxa"/>
              <w:bottom w:w="50" w:type="dxa"/>
              <w:left w:w="60" w:type="dxa"/>
              <w:right w:w="60" w:type="dxa"/>
            </w:tcMar>
          </w:tcPr>
          <w:p>
            <w:r>
              <w:rPr>
                <w:rFonts w:ascii="Times New Roman" w:hAnsi="Times New Roman"/>
                <w:sz w:val="19"/>
              </w:rPr>
              <w:t>Achieved strong accuracy while improving parameter and computational efficiency through balanced scaling. (Google Research)</w:t>
            </w:r>
          </w:p>
        </w:tc>
        <w:tc>
          <w:tcPr>
            <w:tcW w:type="dxa" w:w="1678"/>
            <w:tcMar>
              <w:top w:w="50" w:type="dxa"/>
              <w:bottom w:w="50" w:type="dxa"/>
              <w:left w:w="60" w:type="dxa"/>
              <w:right w:w="60" w:type="dxa"/>
            </w:tcMar>
          </w:tcPr>
          <w:p>
            <w:r>
              <w:rPr>
                <w:rFonts w:ascii="Times New Roman" w:hAnsi="Times New Roman"/>
                <w:sz w:val="19"/>
              </w:rPr>
              <w:t>Larger EfficientNet variants can still be computationally demanding; the smallest model must be selected carefully for Edge deployment.</w:t>
            </w:r>
          </w:p>
        </w:tc>
      </w:tr>
      <w:tr>
        <w:tc>
          <w:tcPr>
            <w:tcW w:type="dxa" w:w="1678"/>
            <w:tcMar>
              <w:top w:w="50" w:type="dxa"/>
              <w:bottom w:w="50" w:type="dxa"/>
              <w:left w:w="60" w:type="dxa"/>
              <w:right w:w="60" w:type="dxa"/>
            </w:tcMar>
          </w:tcPr>
          <w:p>
            <w:r>
              <w:rPr>
                <w:rFonts w:ascii="Times New Roman" w:hAnsi="Times New Roman"/>
                <w:sz w:val="19"/>
              </w:rPr>
              <w:t>25</w:t>
            </w:r>
          </w:p>
        </w:tc>
        <w:tc>
          <w:tcPr>
            <w:tcW w:type="dxa" w:w="1678"/>
            <w:tcMar>
              <w:top w:w="50" w:type="dxa"/>
              <w:bottom w:w="50" w:type="dxa"/>
              <w:left w:w="60" w:type="dxa"/>
              <w:right w:w="60" w:type="dxa"/>
            </w:tcMar>
          </w:tcPr>
          <w:p>
            <w:r>
              <w:rPr>
                <w:rFonts w:ascii="Times New Roman" w:hAnsi="Times New Roman"/>
                <w:sz w:val="19"/>
              </w:rPr>
              <w:t>I. Goodfellow et al., 2014</w:t>
            </w:r>
          </w:p>
        </w:tc>
        <w:tc>
          <w:tcPr>
            <w:tcW w:type="dxa" w:w="1678"/>
            <w:tcMar>
              <w:top w:w="50" w:type="dxa"/>
              <w:bottom w:w="50" w:type="dxa"/>
              <w:left w:w="60" w:type="dxa"/>
              <w:right w:w="60" w:type="dxa"/>
            </w:tcMar>
          </w:tcPr>
          <w:p>
            <w:r>
              <w:rPr>
                <w:rFonts w:ascii="Times New Roman" w:hAnsi="Times New Roman"/>
                <w:sz w:val="19"/>
              </w:rPr>
              <w:t>Generative Adversarial Networks (GANs) using generator–discriminator adversarial training.</w:t>
            </w:r>
          </w:p>
        </w:tc>
        <w:tc>
          <w:tcPr>
            <w:tcW w:type="dxa" w:w="1678"/>
            <w:tcMar>
              <w:top w:w="50" w:type="dxa"/>
              <w:bottom w:w="50" w:type="dxa"/>
              <w:left w:w="60" w:type="dxa"/>
              <w:right w:w="60" w:type="dxa"/>
            </w:tcMar>
          </w:tcPr>
          <w:p>
            <w:r>
              <w:rPr>
                <w:rFonts w:ascii="Times New Roman" w:hAnsi="Times New Roman"/>
                <w:sz w:val="19"/>
              </w:rPr>
              <w:t>Image-generation experiments; not microplastic-specific.</w:t>
            </w:r>
          </w:p>
        </w:tc>
        <w:tc>
          <w:tcPr>
            <w:tcW w:type="dxa" w:w="1678"/>
            <w:tcMar>
              <w:top w:w="50" w:type="dxa"/>
              <w:bottom w:w="50" w:type="dxa"/>
              <w:left w:w="60" w:type="dxa"/>
              <w:right w:w="60" w:type="dxa"/>
            </w:tcMar>
          </w:tcPr>
          <w:p>
            <w:r>
              <w:rPr>
                <w:rFonts w:ascii="Times New Roman" w:hAnsi="Times New Roman"/>
                <w:sz w:val="19"/>
              </w:rPr>
              <w:t>Established GANs as a method for learning data distributions and generating synthetic samples, making the approach potentially useful for data augmentation. (NeurIPS Proceedings)</w:t>
            </w:r>
          </w:p>
        </w:tc>
        <w:tc>
          <w:tcPr>
            <w:tcW w:type="dxa" w:w="1678"/>
            <w:tcMar>
              <w:top w:w="50" w:type="dxa"/>
              <w:bottom w:w="50" w:type="dxa"/>
              <w:left w:w="60" w:type="dxa"/>
              <w:right w:w="60" w:type="dxa"/>
            </w:tcMar>
          </w:tcPr>
          <w:p>
            <w:r>
              <w:rPr>
                <w:rFonts w:ascii="Times New Roman" w:hAnsi="Times New Roman"/>
                <w:sz w:val="19"/>
              </w:rPr>
              <w:t>GAN training can be unstable and computationally demanding; synthetic images may introduce unrealistic features if not carefully validated.</w:t>
            </w:r>
          </w:p>
        </w:tc>
      </w:tr>
    </w:tbl>
    <w:p>
      <w:pPr>
        <w:spacing w:before="80"/>
        <w:jc w:val="center"/>
      </w:pPr>
      <w:r>
        <w:rPr>
          <w:rFonts w:ascii="Times New Roman" w:hAnsi="Times New Roman"/>
          <w:b/>
          <w:sz w:val="22"/>
        </w:rPr>
        <w:t>Table 2.1: Comprehensive Literature Review of Microplastic Detection and Deep Learning Methodologies</w:t>
      </w:r>
    </w:p>
    <w:p>
      <w:pPr>
        <w:spacing w:before="280" w:after="80" w:line="360" w:lineRule="auto"/>
        <w:ind w:left="567" w:right="-137"/>
        <w:jc w:val="left"/>
      </w:pPr>
      <w:r>
        <w:rPr>
          <w:rFonts w:ascii="Times New Roman" w:hAnsi="Times New Roman"/>
          <w:b/>
          <w:sz w:val="28"/>
        </w:rPr>
        <w:t>2.4 Object Detection Architectures for Edge Vision</w:t>
      </w:r>
    </w:p>
    <w:p>
      <w:pPr>
        <w:spacing w:before="0" w:after="120" w:line="360" w:lineRule="auto"/>
        <w:ind w:left="567" w:right="-137"/>
        <w:jc w:val="both"/>
      </w:pPr>
      <w:r>
        <w:rPr>
          <w:rFonts w:ascii="Times New Roman" w:hAnsi="Times New Roman"/>
          <w:sz w:val="24"/>
        </w:rPr>
        <w:t>Object detection models are broadly categorized into two structural paradigms: two-stage region-based detectors and single-stage unified detectors. In two-stage architectures such as Faster R-CNN, a Region Proposal Network (RPN) first generates prospective bounding box candidates, which are subsequently cropped and classified by downstream fully-connected heads. While achieving high spatial accuracy, the computational complexity of the RPN generates inference latencies exceeding 70 ms per frame, rendering them unfeasible for low-power edge deployment.</w:t>
      </w:r>
    </w:p>
    <w:p>
      <w:pPr>
        <w:spacing w:before="0" w:after="120" w:line="360" w:lineRule="auto"/>
        <w:ind w:left="567" w:right="-137"/>
        <w:jc w:val="both"/>
      </w:pPr>
      <w:r>
        <w:rPr>
          <w:rFonts w:ascii="Times New Roman" w:hAnsi="Times New Roman"/>
          <w:sz w:val="24"/>
        </w:rPr>
        <w:t>Single-stage detectors, typified by the Single Shot MultiBox Detector (SSD) and the You Only Look Once (YOLO) family, treat object detection as a unified regression task. YOLO predicts bounding box coordinates and class probability maps directly from full-frame feature tensors in a single forward pass. Ultralytics YOLO11 represents the current state of the art in single-stage edge vision, incorporating optimized C3k2 residual blocks, cross-stage partial connections, and Spatial Pyramid Pooling Fast (SPPF) modules to maximize feature reuse while minimizing floating-point operations (FLOPs).</w:t>
      </w:r>
    </w:p>
    <w:tbl>
      <w:tblPr>
        <w:tblW w:type="auto" w:w="0"/>
        <w:jc w:val="center"/>
        <w:tblLook w:firstColumn="1" w:firstRow="1" w:lastColumn="0" w:lastRow="0" w:noHBand="0" w:noVBand="1" w:val="04A0"/>
      </w:tblPr>
      <w:tblGrid>
        <w:gridCol w:w="2014"/>
        <w:gridCol w:w="2014"/>
        <w:gridCol w:w="2014"/>
        <w:gridCol w:w="2014"/>
        <w:gridCol w:w="2014"/>
      </w:tblGrid>
      <w:tr>
        <w:tc>
          <w:tcPr>
            <w:tcW w:type="dxa" w:w="2014"/>
            <w:shd w:fill="EAEAEA"/>
            <w:tcMar>
              <w:top w:w="60" w:type="dxa"/>
              <w:bottom w:w="60" w:type="dxa"/>
              <w:left w:w="80" w:type="dxa"/>
              <w:right w:w="80" w:type="dxa"/>
            </w:tcMar>
          </w:tcPr>
          <w:p>
            <w:r>
              <w:rPr>
                <w:rFonts w:ascii="Times New Roman" w:hAnsi="Times New Roman"/>
                <w:b/>
                <w:sz w:val="22"/>
              </w:rPr>
              <w:t>Architecture</w:t>
            </w:r>
          </w:p>
        </w:tc>
        <w:tc>
          <w:tcPr>
            <w:tcW w:type="dxa" w:w="2014"/>
            <w:shd w:fill="EAEAEA"/>
            <w:tcMar>
              <w:top w:w="60" w:type="dxa"/>
              <w:bottom w:w="60" w:type="dxa"/>
              <w:left w:w="80" w:type="dxa"/>
              <w:right w:w="80" w:type="dxa"/>
            </w:tcMar>
          </w:tcPr>
          <w:p>
            <w:r>
              <w:rPr>
                <w:rFonts w:ascii="Times New Roman" w:hAnsi="Times New Roman"/>
                <w:b/>
                <w:sz w:val="22"/>
              </w:rPr>
              <w:t>mAP@50</w:t>
            </w:r>
          </w:p>
        </w:tc>
        <w:tc>
          <w:tcPr>
            <w:tcW w:type="dxa" w:w="2014"/>
            <w:shd w:fill="EAEAEA"/>
            <w:tcMar>
              <w:top w:w="60" w:type="dxa"/>
              <w:bottom w:w="60" w:type="dxa"/>
              <w:left w:w="80" w:type="dxa"/>
              <w:right w:w="80" w:type="dxa"/>
            </w:tcMar>
          </w:tcPr>
          <w:p>
            <w:r>
              <w:rPr>
                <w:rFonts w:ascii="Times New Roman" w:hAnsi="Times New Roman"/>
                <w:b/>
                <w:sz w:val="22"/>
              </w:rPr>
              <w:t>FPS (GPU)</w:t>
            </w:r>
          </w:p>
        </w:tc>
        <w:tc>
          <w:tcPr>
            <w:tcW w:type="dxa" w:w="2014"/>
            <w:shd w:fill="EAEAEA"/>
            <w:tcMar>
              <w:top w:w="60" w:type="dxa"/>
              <w:bottom w:w="60" w:type="dxa"/>
              <w:left w:w="80" w:type="dxa"/>
              <w:right w:w="80" w:type="dxa"/>
            </w:tcMar>
          </w:tcPr>
          <w:p>
            <w:r>
              <w:rPr>
                <w:rFonts w:ascii="Times New Roman" w:hAnsi="Times New Roman"/>
                <w:b/>
                <w:sz w:val="22"/>
              </w:rPr>
              <w:t>Model Size</w:t>
            </w:r>
          </w:p>
        </w:tc>
        <w:tc>
          <w:tcPr>
            <w:tcW w:type="dxa" w:w="2014"/>
            <w:shd w:fill="EAEAEA"/>
            <w:tcMar>
              <w:top w:w="60" w:type="dxa"/>
              <w:bottom w:w="60" w:type="dxa"/>
              <w:left w:w="80" w:type="dxa"/>
              <w:right w:w="80" w:type="dxa"/>
            </w:tcMar>
          </w:tcPr>
          <w:p>
            <w:r>
              <w:rPr>
                <w:rFonts w:ascii="Times New Roman" w:hAnsi="Times New Roman"/>
                <w:b/>
                <w:sz w:val="22"/>
              </w:rPr>
              <w:t>Edge Feasibility</w:t>
            </w:r>
          </w:p>
        </w:tc>
      </w:tr>
      <w:tr>
        <w:tc>
          <w:tcPr>
            <w:tcW w:type="dxa" w:w="2014"/>
            <w:tcMar>
              <w:top w:w="60" w:type="dxa"/>
              <w:bottom w:w="60" w:type="dxa"/>
              <w:left w:w="80" w:type="dxa"/>
              <w:right w:w="80" w:type="dxa"/>
            </w:tcMar>
          </w:tcPr>
          <w:p>
            <w:r>
              <w:rPr>
                <w:rFonts w:ascii="Times New Roman" w:hAnsi="Times New Roman"/>
                <w:sz w:val="22"/>
              </w:rPr>
              <w:t>Faster R-CNN (ResNet-50)</w:t>
            </w:r>
          </w:p>
        </w:tc>
        <w:tc>
          <w:tcPr>
            <w:tcW w:type="dxa" w:w="2014"/>
            <w:tcMar>
              <w:top w:w="60" w:type="dxa"/>
              <w:bottom w:w="60" w:type="dxa"/>
              <w:left w:w="80" w:type="dxa"/>
              <w:right w:w="80" w:type="dxa"/>
            </w:tcMar>
          </w:tcPr>
          <w:p>
            <w:r>
              <w:rPr>
                <w:rFonts w:ascii="Times New Roman" w:hAnsi="Times New Roman"/>
                <w:sz w:val="22"/>
              </w:rPr>
              <w:t>84.2%</w:t>
            </w:r>
          </w:p>
        </w:tc>
        <w:tc>
          <w:tcPr>
            <w:tcW w:type="dxa" w:w="2014"/>
            <w:tcMar>
              <w:top w:w="60" w:type="dxa"/>
              <w:bottom w:w="60" w:type="dxa"/>
              <w:left w:w="80" w:type="dxa"/>
              <w:right w:w="80" w:type="dxa"/>
            </w:tcMar>
          </w:tcPr>
          <w:p>
            <w:r>
              <w:rPr>
                <w:rFonts w:ascii="Times New Roman" w:hAnsi="Times New Roman"/>
                <w:sz w:val="22"/>
              </w:rPr>
              <w:t>14 FPS</w:t>
            </w:r>
          </w:p>
        </w:tc>
        <w:tc>
          <w:tcPr>
            <w:tcW w:type="dxa" w:w="2014"/>
            <w:tcMar>
              <w:top w:w="60" w:type="dxa"/>
              <w:bottom w:w="60" w:type="dxa"/>
              <w:left w:w="80" w:type="dxa"/>
              <w:right w:w="80" w:type="dxa"/>
            </w:tcMar>
          </w:tcPr>
          <w:p>
            <w:r>
              <w:rPr>
                <w:rFonts w:ascii="Times New Roman" w:hAnsi="Times New Roman"/>
                <w:sz w:val="22"/>
              </w:rPr>
              <w:t>165 MB</w:t>
            </w:r>
          </w:p>
        </w:tc>
        <w:tc>
          <w:tcPr>
            <w:tcW w:type="dxa" w:w="2014"/>
            <w:tcMar>
              <w:top w:w="60" w:type="dxa"/>
              <w:bottom w:w="60" w:type="dxa"/>
              <w:left w:w="80" w:type="dxa"/>
              <w:right w:w="80" w:type="dxa"/>
            </w:tcMar>
          </w:tcPr>
          <w:p>
            <w:r>
              <w:rPr>
                <w:rFonts w:ascii="Times New Roman" w:hAnsi="Times New Roman"/>
                <w:sz w:val="22"/>
              </w:rPr>
              <w:t>Poor (Requires desktop GPU)</w:t>
            </w:r>
          </w:p>
        </w:tc>
      </w:tr>
      <w:tr>
        <w:tc>
          <w:tcPr>
            <w:tcW w:type="dxa" w:w="2014"/>
            <w:tcMar>
              <w:top w:w="60" w:type="dxa"/>
              <w:bottom w:w="60" w:type="dxa"/>
              <w:left w:w="80" w:type="dxa"/>
              <w:right w:w="80" w:type="dxa"/>
            </w:tcMar>
          </w:tcPr>
          <w:p>
            <w:r>
              <w:rPr>
                <w:rFonts w:ascii="Times New Roman" w:hAnsi="Times New Roman"/>
                <w:sz w:val="22"/>
              </w:rPr>
              <w:t>RetinaNet (ResNet-50)</w:t>
            </w:r>
          </w:p>
        </w:tc>
        <w:tc>
          <w:tcPr>
            <w:tcW w:type="dxa" w:w="2014"/>
            <w:tcMar>
              <w:top w:w="60" w:type="dxa"/>
              <w:bottom w:w="60" w:type="dxa"/>
              <w:left w:w="80" w:type="dxa"/>
              <w:right w:w="80" w:type="dxa"/>
            </w:tcMar>
          </w:tcPr>
          <w:p>
            <w:r>
              <w:rPr>
                <w:rFonts w:ascii="Times New Roman" w:hAnsi="Times New Roman"/>
                <w:sz w:val="22"/>
              </w:rPr>
              <w:t>79.8%</w:t>
            </w:r>
          </w:p>
        </w:tc>
        <w:tc>
          <w:tcPr>
            <w:tcW w:type="dxa" w:w="2014"/>
            <w:tcMar>
              <w:top w:w="60" w:type="dxa"/>
              <w:bottom w:w="60" w:type="dxa"/>
              <w:left w:w="80" w:type="dxa"/>
              <w:right w:w="80" w:type="dxa"/>
            </w:tcMar>
          </w:tcPr>
          <w:p>
            <w:r>
              <w:rPr>
                <w:rFonts w:ascii="Times New Roman" w:hAnsi="Times New Roman"/>
                <w:sz w:val="22"/>
              </w:rPr>
              <w:t>22 FPS</w:t>
            </w:r>
          </w:p>
        </w:tc>
        <w:tc>
          <w:tcPr>
            <w:tcW w:type="dxa" w:w="2014"/>
            <w:tcMar>
              <w:top w:w="60" w:type="dxa"/>
              <w:bottom w:w="60" w:type="dxa"/>
              <w:left w:w="80" w:type="dxa"/>
              <w:right w:w="80" w:type="dxa"/>
            </w:tcMar>
          </w:tcPr>
          <w:p>
            <w:r>
              <w:rPr>
                <w:rFonts w:ascii="Times New Roman" w:hAnsi="Times New Roman"/>
                <w:sz w:val="22"/>
              </w:rPr>
              <w:t>145 MB</w:t>
            </w:r>
          </w:p>
        </w:tc>
        <w:tc>
          <w:tcPr>
            <w:tcW w:type="dxa" w:w="2014"/>
            <w:tcMar>
              <w:top w:w="60" w:type="dxa"/>
              <w:bottom w:w="60" w:type="dxa"/>
              <w:left w:w="80" w:type="dxa"/>
              <w:right w:w="80" w:type="dxa"/>
            </w:tcMar>
          </w:tcPr>
          <w:p>
            <w:r>
              <w:rPr>
                <w:rFonts w:ascii="Times New Roman" w:hAnsi="Times New Roman"/>
                <w:sz w:val="22"/>
              </w:rPr>
              <w:t>Poor (High compute overhead)</w:t>
            </w:r>
          </w:p>
        </w:tc>
      </w:tr>
      <w:tr>
        <w:tc>
          <w:tcPr>
            <w:tcW w:type="dxa" w:w="2014"/>
            <w:tcMar>
              <w:top w:w="60" w:type="dxa"/>
              <w:bottom w:w="60" w:type="dxa"/>
              <w:left w:w="80" w:type="dxa"/>
              <w:right w:w="80" w:type="dxa"/>
            </w:tcMar>
          </w:tcPr>
          <w:p>
            <w:r>
              <w:rPr>
                <w:rFonts w:ascii="Times New Roman" w:hAnsi="Times New Roman"/>
                <w:sz w:val="22"/>
              </w:rPr>
              <w:t>SSD (MobileNetV2)</w:t>
            </w:r>
          </w:p>
        </w:tc>
        <w:tc>
          <w:tcPr>
            <w:tcW w:type="dxa" w:w="2014"/>
            <w:tcMar>
              <w:top w:w="60" w:type="dxa"/>
              <w:bottom w:w="60" w:type="dxa"/>
              <w:left w:w="80" w:type="dxa"/>
              <w:right w:w="80" w:type="dxa"/>
            </w:tcMar>
          </w:tcPr>
          <w:p>
            <w:r>
              <w:rPr>
                <w:rFonts w:ascii="Times New Roman" w:hAnsi="Times New Roman"/>
                <w:sz w:val="22"/>
              </w:rPr>
              <w:t>72.1%</w:t>
            </w:r>
          </w:p>
        </w:tc>
        <w:tc>
          <w:tcPr>
            <w:tcW w:type="dxa" w:w="2014"/>
            <w:tcMar>
              <w:top w:w="60" w:type="dxa"/>
              <w:bottom w:w="60" w:type="dxa"/>
              <w:left w:w="80" w:type="dxa"/>
              <w:right w:w="80" w:type="dxa"/>
            </w:tcMar>
          </w:tcPr>
          <w:p>
            <w:r>
              <w:rPr>
                <w:rFonts w:ascii="Times New Roman" w:hAnsi="Times New Roman"/>
                <w:sz w:val="22"/>
              </w:rPr>
              <w:t>65 FPS</w:t>
            </w:r>
          </w:p>
        </w:tc>
        <w:tc>
          <w:tcPr>
            <w:tcW w:type="dxa" w:w="2014"/>
            <w:tcMar>
              <w:top w:w="60" w:type="dxa"/>
              <w:bottom w:w="60" w:type="dxa"/>
              <w:left w:w="80" w:type="dxa"/>
              <w:right w:w="80" w:type="dxa"/>
            </w:tcMar>
          </w:tcPr>
          <w:p>
            <w:r>
              <w:rPr>
                <w:rFonts w:ascii="Times New Roman" w:hAnsi="Times New Roman"/>
                <w:sz w:val="22"/>
              </w:rPr>
              <w:t>26 MB</w:t>
            </w:r>
          </w:p>
        </w:tc>
        <w:tc>
          <w:tcPr>
            <w:tcW w:type="dxa" w:w="2014"/>
            <w:tcMar>
              <w:top w:w="60" w:type="dxa"/>
              <w:bottom w:w="60" w:type="dxa"/>
              <w:left w:w="80" w:type="dxa"/>
              <w:right w:w="80" w:type="dxa"/>
            </w:tcMar>
          </w:tcPr>
          <w:p>
            <w:r>
              <w:rPr>
                <w:rFonts w:ascii="Times New Roman" w:hAnsi="Times New Roman"/>
                <w:sz w:val="22"/>
              </w:rPr>
              <w:t>Moderate (Low precision on fibers)</w:t>
            </w:r>
          </w:p>
        </w:tc>
      </w:tr>
      <w:tr>
        <w:tc>
          <w:tcPr>
            <w:tcW w:type="dxa" w:w="2014"/>
            <w:tcMar>
              <w:top w:w="60" w:type="dxa"/>
              <w:bottom w:w="60" w:type="dxa"/>
              <w:left w:w="80" w:type="dxa"/>
              <w:right w:w="80" w:type="dxa"/>
            </w:tcMar>
          </w:tcPr>
          <w:p>
            <w:r>
              <w:rPr>
                <w:rFonts w:ascii="Times New Roman" w:hAnsi="Times New Roman"/>
                <w:sz w:val="22"/>
              </w:rPr>
              <w:t>YOLOv8n</w:t>
            </w:r>
          </w:p>
        </w:tc>
        <w:tc>
          <w:tcPr>
            <w:tcW w:type="dxa" w:w="2014"/>
            <w:tcMar>
              <w:top w:w="60" w:type="dxa"/>
              <w:bottom w:w="60" w:type="dxa"/>
              <w:left w:w="80" w:type="dxa"/>
              <w:right w:w="80" w:type="dxa"/>
            </w:tcMar>
          </w:tcPr>
          <w:p>
            <w:r>
              <w:rPr>
                <w:rFonts w:ascii="Times New Roman" w:hAnsi="Times New Roman"/>
                <w:sz w:val="22"/>
              </w:rPr>
              <w:t>80.5%</w:t>
            </w:r>
          </w:p>
        </w:tc>
        <w:tc>
          <w:tcPr>
            <w:tcW w:type="dxa" w:w="2014"/>
            <w:tcMar>
              <w:top w:w="60" w:type="dxa"/>
              <w:bottom w:w="60" w:type="dxa"/>
              <w:left w:w="80" w:type="dxa"/>
              <w:right w:w="80" w:type="dxa"/>
            </w:tcMar>
          </w:tcPr>
          <w:p>
            <w:r>
              <w:rPr>
                <w:rFonts w:ascii="Times New Roman" w:hAnsi="Times New Roman"/>
                <w:sz w:val="22"/>
              </w:rPr>
              <w:t>135 FPS</w:t>
            </w:r>
          </w:p>
        </w:tc>
        <w:tc>
          <w:tcPr>
            <w:tcW w:type="dxa" w:w="2014"/>
            <w:tcMar>
              <w:top w:w="60" w:type="dxa"/>
              <w:bottom w:w="60" w:type="dxa"/>
              <w:left w:w="80" w:type="dxa"/>
              <w:right w:w="80" w:type="dxa"/>
            </w:tcMar>
          </w:tcPr>
          <w:p>
            <w:r>
              <w:rPr>
                <w:rFonts w:ascii="Times New Roman" w:hAnsi="Times New Roman"/>
                <w:sz w:val="22"/>
              </w:rPr>
              <w:t>6.2 MB</w:t>
            </w:r>
          </w:p>
        </w:tc>
        <w:tc>
          <w:tcPr>
            <w:tcW w:type="dxa" w:w="2014"/>
            <w:tcMar>
              <w:top w:w="60" w:type="dxa"/>
              <w:bottom w:w="60" w:type="dxa"/>
              <w:left w:w="80" w:type="dxa"/>
              <w:right w:w="80" w:type="dxa"/>
            </w:tcMar>
          </w:tcPr>
          <w:p>
            <w:r>
              <w:rPr>
                <w:rFonts w:ascii="Times New Roman" w:hAnsi="Times New Roman"/>
                <w:sz w:val="22"/>
              </w:rPr>
              <w:t>High (Good general performance)</w:t>
            </w:r>
          </w:p>
        </w:tc>
      </w:tr>
      <w:tr>
        <w:tc>
          <w:tcPr>
            <w:tcW w:type="dxa" w:w="2014"/>
            <w:tcMar>
              <w:top w:w="60" w:type="dxa"/>
              <w:bottom w:w="60" w:type="dxa"/>
              <w:left w:w="80" w:type="dxa"/>
              <w:right w:w="80" w:type="dxa"/>
            </w:tcMar>
          </w:tcPr>
          <w:p>
            <w:r>
              <w:rPr>
                <w:rFonts w:ascii="Times New Roman" w:hAnsi="Times New Roman"/>
                <w:sz w:val="22"/>
              </w:rPr>
              <w:t>YOLO11n (Proposed)</w:t>
            </w:r>
          </w:p>
        </w:tc>
        <w:tc>
          <w:tcPr>
            <w:tcW w:type="dxa" w:w="2014"/>
            <w:tcMar>
              <w:top w:w="60" w:type="dxa"/>
              <w:bottom w:w="60" w:type="dxa"/>
              <w:left w:w="80" w:type="dxa"/>
              <w:right w:w="80" w:type="dxa"/>
            </w:tcMar>
          </w:tcPr>
          <w:p>
            <w:r>
              <w:rPr>
                <w:rFonts w:ascii="Times New Roman" w:hAnsi="Times New Roman"/>
                <w:sz w:val="22"/>
              </w:rPr>
              <w:t>82.4%</w:t>
            </w:r>
          </w:p>
        </w:tc>
        <w:tc>
          <w:tcPr>
            <w:tcW w:type="dxa" w:w="2014"/>
            <w:tcMar>
              <w:top w:w="60" w:type="dxa"/>
              <w:bottom w:w="60" w:type="dxa"/>
              <w:left w:w="80" w:type="dxa"/>
              <w:right w:w="80" w:type="dxa"/>
            </w:tcMar>
          </w:tcPr>
          <w:p>
            <w:r>
              <w:rPr>
                <w:rFonts w:ascii="Times New Roman" w:hAnsi="Times New Roman"/>
                <w:sz w:val="22"/>
              </w:rPr>
              <w:t>160 FPS</w:t>
            </w:r>
          </w:p>
        </w:tc>
        <w:tc>
          <w:tcPr>
            <w:tcW w:type="dxa" w:w="2014"/>
            <w:tcMar>
              <w:top w:w="60" w:type="dxa"/>
              <w:bottom w:w="60" w:type="dxa"/>
              <w:left w:w="80" w:type="dxa"/>
              <w:right w:w="80" w:type="dxa"/>
            </w:tcMar>
          </w:tcPr>
          <w:p>
            <w:r>
              <w:rPr>
                <w:rFonts w:ascii="Times New Roman" w:hAnsi="Times New Roman"/>
                <w:sz w:val="22"/>
              </w:rPr>
              <w:t>5.5 MB</w:t>
            </w:r>
          </w:p>
        </w:tc>
        <w:tc>
          <w:tcPr>
            <w:tcW w:type="dxa" w:w="2014"/>
            <w:tcMar>
              <w:top w:w="60" w:type="dxa"/>
              <w:bottom w:w="60" w:type="dxa"/>
              <w:left w:w="80" w:type="dxa"/>
              <w:right w:w="80" w:type="dxa"/>
            </w:tcMar>
          </w:tcPr>
          <w:p>
            <w:r>
              <w:rPr>
                <w:rFonts w:ascii="Times New Roman" w:hAnsi="Times New Roman"/>
                <w:sz w:val="22"/>
              </w:rPr>
              <w:t>Excellent (Optimized C3k2/SPPF blocks)</w:t>
            </w:r>
          </w:p>
        </w:tc>
      </w:tr>
    </w:tbl>
    <w:p>
      <w:pPr>
        <w:spacing w:before="80"/>
        <w:jc w:val="center"/>
      </w:pPr>
      <w:r>
        <w:rPr>
          <w:rFonts w:ascii="Times New Roman" w:hAnsi="Times New Roman"/>
          <w:b/>
          <w:sz w:val="22"/>
        </w:rPr>
        <w:t>Table 2.2: Comparison of Object Detection Architectures for Edge Vision</w:t>
      </w:r>
    </w:p>
    <w:p>
      <w:pPr>
        <w:spacing w:before="280" w:after="80" w:line="360" w:lineRule="auto"/>
        <w:ind w:left="567" w:right="-137"/>
        <w:jc w:val="left"/>
      </w:pPr>
      <w:r>
        <w:rPr>
          <w:rFonts w:ascii="Times New Roman" w:hAnsi="Times New Roman"/>
          <w:b/>
          <w:sz w:val="28"/>
        </w:rPr>
        <w:t>2.5 Market Survey of Commercial Particle Analyzers</w:t>
      </w:r>
    </w:p>
    <w:p>
      <w:pPr>
        <w:spacing w:before="0" w:after="120" w:line="360" w:lineRule="auto"/>
        <w:ind w:left="567" w:right="-137"/>
        <w:jc w:val="both"/>
      </w:pPr>
      <w:r>
        <w:rPr>
          <w:rFonts w:ascii="Times New Roman" w:hAnsi="Times New Roman"/>
          <w:sz w:val="24"/>
        </w:rPr>
        <w:t>An investigation into commercially available automated particle counters and water monitoring instruments identifies three primary product tiers currently serving industrial and research sectors: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1. Benchtop Flow Cytometers: </w:t>
      </w:r>
      <w:r>
        <w:rPr>
          <w:rFonts w:ascii="Times New Roman" w:hAnsi="Times New Roman"/>
          <w:sz w:val="24"/>
        </w:rPr>
        <w:t>Fluid Imaging Technologies FlowCam: Regarded as the leading laboratory flow cytometer for aquatic plankton and micro-debris imaging. Utilizing continuous microfluidic flow cells and automated microscopy, it captures particle silhouettes at 20 FPS. However, system acquisition costs range from $90,000 to $160,000, requiring benchtop installations, continuous laboratory calibration, and high electrical power draw.</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2. Laser Obscuration / Coulter Counters: </w:t>
      </w:r>
      <w:r>
        <w:rPr>
          <w:rFonts w:ascii="Times New Roman" w:hAnsi="Times New Roman"/>
          <w:sz w:val="24"/>
        </w:rPr>
        <w:t>Beckman Coulter Multisizer &amp; Laser Diffraction Analyzers: Employs electrical impedance aperture sensing (Coulter principle) or multi-angle laser obscuration to calculate particle size distributions. While highly precise in volume quantification, these instruments cannot capture spatial morphology, rendering them incapable of distinguishing synthetic fibers from natural round sediments.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3. Standalone Consumer USB Microscopes: </w:t>
      </w:r>
      <w:r>
        <w:rPr>
          <w:rFonts w:ascii="Times New Roman" w:hAnsi="Times New Roman"/>
          <w:sz w:val="24"/>
        </w:rPr>
        <w:t>Commercial USB Digital Microscopes: Handheld digital inspection microscopes equipped with consumer CMOS sensors and manual focus knobs. While inexpensive ($50 – $300), these devices completely lack autonomous intelligence, on-device computing, flow-cell integration, or calibrated quantitative counting software.</w:t>
      </w:r>
    </w:p>
    <w:p>
      <w:pPr>
        <w:spacing w:before="280" w:after="80" w:line="360" w:lineRule="auto"/>
        <w:ind w:left="567" w:right="-137"/>
        <w:jc w:val="left"/>
      </w:pPr>
      <w:r>
        <w:rPr>
          <w:rFonts w:ascii="Times New Roman" w:hAnsi="Times New Roman"/>
          <w:b/>
          <w:sz w:val="28"/>
        </w:rPr>
        <w:t>2.6 Component Survey of Edge AI Hardware Processors</w:t>
      </w:r>
    </w:p>
    <w:p>
      <w:pPr>
        <w:spacing w:before="0" w:after="120" w:line="360" w:lineRule="auto"/>
        <w:ind w:left="567" w:right="-137"/>
        <w:jc w:val="both"/>
      </w:pPr>
      <w:r>
        <w:rPr>
          <w:rFonts w:ascii="Times New Roman" w:hAnsi="Times New Roman"/>
          <w:sz w:val="24"/>
        </w:rPr>
        <w:t>Deploying deep convolutional pipelines at the edge requires careful balancing of computational throughput, thermal power dissipation, physical dimensions, and cost. Table 2.3 provides a detailed comparative survey of embedded computing platforms evaluated for this smart microscope project.</w:t>
      </w:r>
    </w:p>
    <w:tbl>
      <w:tblPr>
        <w:tblW w:type="auto" w:w="0"/>
        <w:jc w:val="center"/>
        <w:tblLook w:firstColumn="1" w:firstRow="1" w:lastColumn="0" w:lastRow="0" w:noHBand="0" w:noVBand="1" w:val="04A0"/>
      </w:tblPr>
      <w:tblGrid>
        <w:gridCol w:w="2014"/>
        <w:gridCol w:w="2014"/>
        <w:gridCol w:w="2014"/>
        <w:gridCol w:w="2014"/>
        <w:gridCol w:w="2014"/>
      </w:tblGrid>
      <w:tr>
        <w:tc>
          <w:tcPr>
            <w:tcW w:type="dxa" w:w="2014"/>
            <w:shd w:fill="EAEAEA"/>
            <w:tcMar>
              <w:top w:w="60" w:type="dxa"/>
              <w:bottom w:w="60" w:type="dxa"/>
              <w:left w:w="80" w:type="dxa"/>
              <w:right w:w="80" w:type="dxa"/>
            </w:tcMar>
          </w:tcPr>
          <w:p>
            <w:r>
              <w:rPr>
                <w:rFonts w:ascii="Times New Roman" w:hAnsi="Times New Roman"/>
                <w:b/>
                <w:sz w:val="22"/>
              </w:rPr>
              <w:t>Platform</w:t>
            </w:r>
          </w:p>
        </w:tc>
        <w:tc>
          <w:tcPr>
            <w:tcW w:type="dxa" w:w="2014"/>
            <w:shd w:fill="EAEAEA"/>
            <w:tcMar>
              <w:top w:w="60" w:type="dxa"/>
              <w:bottom w:w="60" w:type="dxa"/>
              <w:left w:w="80" w:type="dxa"/>
              <w:right w:w="80" w:type="dxa"/>
            </w:tcMar>
          </w:tcPr>
          <w:p>
            <w:r>
              <w:rPr>
                <w:rFonts w:ascii="Times New Roman" w:hAnsi="Times New Roman"/>
                <w:b/>
                <w:sz w:val="22"/>
              </w:rPr>
              <w:t>AI Compute</w:t>
            </w:r>
          </w:p>
        </w:tc>
        <w:tc>
          <w:tcPr>
            <w:tcW w:type="dxa" w:w="2014"/>
            <w:shd w:fill="EAEAEA"/>
            <w:tcMar>
              <w:top w:w="60" w:type="dxa"/>
              <w:bottom w:w="60" w:type="dxa"/>
              <w:left w:w="80" w:type="dxa"/>
              <w:right w:w="80" w:type="dxa"/>
            </w:tcMar>
          </w:tcPr>
          <w:p>
            <w:r>
              <w:rPr>
                <w:rFonts w:ascii="Times New Roman" w:hAnsi="Times New Roman"/>
                <w:b/>
                <w:sz w:val="22"/>
              </w:rPr>
              <w:t>RAM</w:t>
            </w:r>
          </w:p>
        </w:tc>
        <w:tc>
          <w:tcPr>
            <w:tcW w:type="dxa" w:w="2014"/>
            <w:shd w:fill="EAEAEA"/>
            <w:tcMar>
              <w:top w:w="60" w:type="dxa"/>
              <w:bottom w:w="60" w:type="dxa"/>
              <w:left w:w="80" w:type="dxa"/>
              <w:right w:w="80" w:type="dxa"/>
            </w:tcMar>
          </w:tcPr>
          <w:p>
            <w:r>
              <w:rPr>
                <w:rFonts w:ascii="Times New Roman" w:hAnsi="Times New Roman"/>
                <w:b/>
                <w:sz w:val="22"/>
              </w:rPr>
              <w:t>Power</w:t>
            </w:r>
          </w:p>
        </w:tc>
        <w:tc>
          <w:tcPr>
            <w:tcW w:type="dxa" w:w="2014"/>
            <w:shd w:fill="EAEAEA"/>
            <w:tcMar>
              <w:top w:w="60" w:type="dxa"/>
              <w:bottom w:w="60" w:type="dxa"/>
              <w:left w:w="80" w:type="dxa"/>
              <w:right w:w="80" w:type="dxa"/>
            </w:tcMar>
          </w:tcPr>
          <w:p>
            <w:r>
              <w:rPr>
                <w:rFonts w:ascii="Times New Roman" w:hAnsi="Times New Roman"/>
                <w:b/>
                <w:sz w:val="22"/>
              </w:rPr>
              <w:t>Primary Strength</w:t>
            </w:r>
          </w:p>
        </w:tc>
      </w:tr>
      <w:tr>
        <w:tc>
          <w:tcPr>
            <w:tcW w:type="dxa" w:w="2014"/>
            <w:tcMar>
              <w:top w:w="60" w:type="dxa"/>
              <w:bottom w:w="60" w:type="dxa"/>
              <w:left w:w="80" w:type="dxa"/>
              <w:right w:w="80" w:type="dxa"/>
            </w:tcMar>
          </w:tcPr>
          <w:p>
            <w:r>
              <w:rPr>
                <w:rFonts w:ascii="Times New Roman" w:hAnsi="Times New Roman"/>
                <w:sz w:val="22"/>
              </w:rPr>
              <w:t>Raspberry Pi 4B</w:t>
            </w:r>
          </w:p>
        </w:tc>
        <w:tc>
          <w:tcPr>
            <w:tcW w:type="dxa" w:w="2014"/>
            <w:tcMar>
              <w:top w:w="60" w:type="dxa"/>
              <w:bottom w:w="60" w:type="dxa"/>
              <w:left w:w="80" w:type="dxa"/>
              <w:right w:w="80" w:type="dxa"/>
            </w:tcMar>
          </w:tcPr>
          <w:p>
            <w:r>
              <w:rPr>
                <w:rFonts w:ascii="Times New Roman" w:hAnsi="Times New Roman"/>
                <w:sz w:val="22"/>
              </w:rPr>
              <w:t>0.1 TOPS (CPU)</w:t>
            </w:r>
          </w:p>
        </w:tc>
        <w:tc>
          <w:tcPr>
            <w:tcW w:type="dxa" w:w="2014"/>
            <w:tcMar>
              <w:top w:w="60" w:type="dxa"/>
              <w:bottom w:w="60" w:type="dxa"/>
              <w:left w:w="80" w:type="dxa"/>
              <w:right w:w="80" w:type="dxa"/>
            </w:tcMar>
          </w:tcPr>
          <w:p>
            <w:r>
              <w:rPr>
                <w:rFonts w:ascii="Times New Roman" w:hAnsi="Times New Roman"/>
                <w:sz w:val="22"/>
              </w:rPr>
              <w:t>4GB LPDDR4</w:t>
            </w:r>
          </w:p>
        </w:tc>
        <w:tc>
          <w:tcPr>
            <w:tcW w:type="dxa" w:w="2014"/>
            <w:tcMar>
              <w:top w:w="60" w:type="dxa"/>
              <w:bottom w:w="60" w:type="dxa"/>
              <w:left w:w="80" w:type="dxa"/>
              <w:right w:w="80" w:type="dxa"/>
            </w:tcMar>
          </w:tcPr>
          <w:p>
            <w:r>
              <w:rPr>
                <w:rFonts w:ascii="Times New Roman" w:hAnsi="Times New Roman"/>
                <w:sz w:val="22"/>
              </w:rPr>
              <w:t>5V, 3A (15W)</w:t>
            </w:r>
          </w:p>
        </w:tc>
        <w:tc>
          <w:tcPr>
            <w:tcW w:type="dxa" w:w="2014"/>
            <w:tcMar>
              <w:top w:w="60" w:type="dxa"/>
              <w:bottom w:w="60" w:type="dxa"/>
              <w:left w:w="80" w:type="dxa"/>
              <w:right w:w="80" w:type="dxa"/>
            </w:tcMar>
          </w:tcPr>
          <w:p>
            <w:r>
              <w:rPr>
                <w:rFonts w:ascii="Times New Roman" w:hAnsi="Times New Roman"/>
                <w:sz w:val="22"/>
              </w:rPr>
              <w:t>Low cost, widespread GPIO hardware ecosystem</w:t>
            </w:r>
          </w:p>
        </w:tc>
      </w:tr>
      <w:tr>
        <w:tc>
          <w:tcPr>
            <w:tcW w:type="dxa" w:w="2014"/>
            <w:tcMar>
              <w:top w:w="60" w:type="dxa"/>
              <w:bottom w:w="60" w:type="dxa"/>
              <w:left w:w="80" w:type="dxa"/>
              <w:right w:w="80" w:type="dxa"/>
            </w:tcMar>
          </w:tcPr>
          <w:p>
            <w:r>
              <w:rPr>
                <w:rFonts w:ascii="Times New Roman" w:hAnsi="Times New Roman"/>
                <w:sz w:val="22"/>
              </w:rPr>
              <w:t>Raspberry Pi 5</w:t>
            </w:r>
          </w:p>
        </w:tc>
        <w:tc>
          <w:tcPr>
            <w:tcW w:type="dxa" w:w="2014"/>
            <w:tcMar>
              <w:top w:w="60" w:type="dxa"/>
              <w:bottom w:w="60" w:type="dxa"/>
              <w:left w:w="80" w:type="dxa"/>
              <w:right w:w="80" w:type="dxa"/>
            </w:tcMar>
          </w:tcPr>
          <w:p>
            <w:r>
              <w:rPr>
                <w:rFonts w:ascii="Times New Roman" w:hAnsi="Times New Roman"/>
                <w:sz w:val="22"/>
              </w:rPr>
              <w:t>0.5 TOPS (CPU)</w:t>
            </w:r>
          </w:p>
        </w:tc>
        <w:tc>
          <w:tcPr>
            <w:tcW w:type="dxa" w:w="2014"/>
            <w:tcMar>
              <w:top w:w="60" w:type="dxa"/>
              <w:bottom w:w="60" w:type="dxa"/>
              <w:left w:w="80" w:type="dxa"/>
              <w:right w:w="80" w:type="dxa"/>
            </w:tcMar>
          </w:tcPr>
          <w:p>
            <w:r>
              <w:rPr>
                <w:rFonts w:ascii="Times New Roman" w:hAnsi="Times New Roman"/>
                <w:sz w:val="22"/>
              </w:rPr>
              <w:t>8GB LPDDR4X</w:t>
            </w:r>
          </w:p>
        </w:tc>
        <w:tc>
          <w:tcPr>
            <w:tcW w:type="dxa" w:w="2014"/>
            <w:tcMar>
              <w:top w:w="60" w:type="dxa"/>
              <w:bottom w:w="60" w:type="dxa"/>
              <w:left w:w="80" w:type="dxa"/>
              <w:right w:w="80" w:type="dxa"/>
            </w:tcMar>
          </w:tcPr>
          <w:p>
            <w:r>
              <w:rPr>
                <w:rFonts w:ascii="Times New Roman" w:hAnsi="Times New Roman"/>
                <w:sz w:val="22"/>
              </w:rPr>
              <w:t>5V, 5A (25W)</w:t>
            </w:r>
          </w:p>
        </w:tc>
        <w:tc>
          <w:tcPr>
            <w:tcW w:type="dxa" w:w="2014"/>
            <w:tcMar>
              <w:top w:w="60" w:type="dxa"/>
              <w:bottom w:w="60" w:type="dxa"/>
              <w:left w:w="80" w:type="dxa"/>
              <w:right w:w="80" w:type="dxa"/>
            </w:tcMar>
          </w:tcPr>
          <w:p>
            <w:r>
              <w:rPr>
                <w:rFonts w:ascii="Times New Roman" w:hAnsi="Times New Roman"/>
                <w:sz w:val="22"/>
              </w:rPr>
              <w:t>Fast multi-core CPU, PCIe M.2 expansion slot</w:t>
            </w:r>
          </w:p>
        </w:tc>
      </w:tr>
      <w:tr>
        <w:tc>
          <w:tcPr>
            <w:tcW w:type="dxa" w:w="2014"/>
            <w:tcMar>
              <w:top w:w="60" w:type="dxa"/>
              <w:bottom w:w="60" w:type="dxa"/>
              <w:left w:w="80" w:type="dxa"/>
              <w:right w:w="80" w:type="dxa"/>
            </w:tcMar>
          </w:tcPr>
          <w:p>
            <w:r>
              <w:rPr>
                <w:rFonts w:ascii="Times New Roman" w:hAnsi="Times New Roman"/>
                <w:sz w:val="22"/>
              </w:rPr>
              <w:t>NVIDIA Jetson Nano</w:t>
            </w:r>
          </w:p>
        </w:tc>
        <w:tc>
          <w:tcPr>
            <w:tcW w:type="dxa" w:w="2014"/>
            <w:tcMar>
              <w:top w:w="60" w:type="dxa"/>
              <w:bottom w:w="60" w:type="dxa"/>
              <w:left w:w="80" w:type="dxa"/>
              <w:right w:w="80" w:type="dxa"/>
            </w:tcMar>
          </w:tcPr>
          <w:p>
            <w:r>
              <w:rPr>
                <w:rFonts w:ascii="Times New Roman" w:hAnsi="Times New Roman"/>
                <w:sz w:val="22"/>
              </w:rPr>
              <w:t>0.47 TFLOPS (GPU)</w:t>
            </w:r>
          </w:p>
        </w:tc>
        <w:tc>
          <w:tcPr>
            <w:tcW w:type="dxa" w:w="2014"/>
            <w:tcMar>
              <w:top w:w="60" w:type="dxa"/>
              <w:bottom w:w="60" w:type="dxa"/>
              <w:left w:w="80" w:type="dxa"/>
              <w:right w:w="80" w:type="dxa"/>
            </w:tcMar>
          </w:tcPr>
          <w:p>
            <w:r>
              <w:rPr>
                <w:rFonts w:ascii="Times New Roman" w:hAnsi="Times New Roman"/>
                <w:sz w:val="22"/>
              </w:rPr>
              <w:t>4GB 64-bit LPDDR4</w:t>
            </w:r>
          </w:p>
        </w:tc>
        <w:tc>
          <w:tcPr>
            <w:tcW w:type="dxa" w:w="2014"/>
            <w:tcMar>
              <w:top w:w="60" w:type="dxa"/>
              <w:bottom w:w="60" w:type="dxa"/>
              <w:left w:w="80" w:type="dxa"/>
              <w:right w:w="80" w:type="dxa"/>
            </w:tcMar>
          </w:tcPr>
          <w:p>
            <w:r>
              <w:rPr>
                <w:rFonts w:ascii="Times New Roman" w:hAnsi="Times New Roman"/>
                <w:sz w:val="22"/>
              </w:rPr>
              <w:t>5V, 4A (10W)</w:t>
            </w:r>
          </w:p>
        </w:tc>
        <w:tc>
          <w:tcPr>
            <w:tcW w:type="dxa" w:w="2014"/>
            <w:tcMar>
              <w:top w:w="60" w:type="dxa"/>
              <w:bottom w:w="60" w:type="dxa"/>
              <w:left w:w="80" w:type="dxa"/>
              <w:right w:w="80" w:type="dxa"/>
            </w:tcMar>
          </w:tcPr>
          <w:p>
            <w:r>
              <w:rPr>
                <w:rFonts w:ascii="Times New Roman" w:hAnsi="Times New Roman"/>
                <w:sz w:val="22"/>
              </w:rPr>
              <w:t>Dedicated 128-core Maxwell GPU (CUDA/TensorRT)</w:t>
            </w:r>
          </w:p>
        </w:tc>
      </w:tr>
      <w:tr>
        <w:tc>
          <w:tcPr>
            <w:tcW w:type="dxa" w:w="2014"/>
            <w:tcMar>
              <w:top w:w="60" w:type="dxa"/>
              <w:bottom w:w="60" w:type="dxa"/>
              <w:left w:w="80" w:type="dxa"/>
              <w:right w:w="80" w:type="dxa"/>
            </w:tcMar>
          </w:tcPr>
          <w:p>
            <w:r>
              <w:rPr>
                <w:rFonts w:ascii="Times New Roman" w:hAnsi="Times New Roman"/>
                <w:sz w:val="22"/>
              </w:rPr>
              <w:t>NVIDIA Jetson Orin Nano</w:t>
            </w:r>
          </w:p>
        </w:tc>
        <w:tc>
          <w:tcPr>
            <w:tcW w:type="dxa" w:w="2014"/>
            <w:tcMar>
              <w:top w:w="60" w:type="dxa"/>
              <w:bottom w:w="60" w:type="dxa"/>
              <w:left w:w="80" w:type="dxa"/>
              <w:right w:w="80" w:type="dxa"/>
            </w:tcMar>
          </w:tcPr>
          <w:p>
            <w:r>
              <w:rPr>
                <w:rFonts w:ascii="Times New Roman" w:hAnsi="Times New Roman"/>
                <w:sz w:val="22"/>
              </w:rPr>
              <w:t>40 TOPS (Sparse)</w:t>
            </w:r>
          </w:p>
        </w:tc>
        <w:tc>
          <w:tcPr>
            <w:tcW w:type="dxa" w:w="2014"/>
            <w:tcMar>
              <w:top w:w="60" w:type="dxa"/>
              <w:bottom w:w="60" w:type="dxa"/>
              <w:left w:w="80" w:type="dxa"/>
              <w:right w:w="80" w:type="dxa"/>
            </w:tcMar>
          </w:tcPr>
          <w:p>
            <w:r>
              <w:rPr>
                <w:rFonts w:ascii="Times New Roman" w:hAnsi="Times New Roman"/>
                <w:sz w:val="22"/>
              </w:rPr>
              <w:t>8GB 128-bit LPDDR5</w:t>
            </w:r>
          </w:p>
        </w:tc>
        <w:tc>
          <w:tcPr>
            <w:tcW w:type="dxa" w:w="2014"/>
            <w:tcMar>
              <w:top w:w="60" w:type="dxa"/>
              <w:bottom w:w="60" w:type="dxa"/>
              <w:left w:w="80" w:type="dxa"/>
              <w:right w:w="80" w:type="dxa"/>
            </w:tcMar>
          </w:tcPr>
          <w:p>
            <w:r>
              <w:rPr>
                <w:rFonts w:ascii="Times New Roman" w:hAnsi="Times New Roman"/>
                <w:sz w:val="22"/>
              </w:rPr>
              <w:t>7-15W (DC)</w:t>
            </w:r>
          </w:p>
        </w:tc>
        <w:tc>
          <w:tcPr>
            <w:tcW w:type="dxa" w:w="2014"/>
            <w:tcMar>
              <w:top w:w="60" w:type="dxa"/>
              <w:bottom w:w="60" w:type="dxa"/>
              <w:left w:w="80" w:type="dxa"/>
              <w:right w:w="80" w:type="dxa"/>
            </w:tcMar>
          </w:tcPr>
          <w:p>
            <w:r>
              <w:rPr>
                <w:rFonts w:ascii="Times New Roman" w:hAnsi="Times New Roman"/>
                <w:sz w:val="22"/>
              </w:rPr>
              <w:t>Ampere GPU architecture, Tensor cores (Premium cost)</w:t>
            </w:r>
          </w:p>
        </w:tc>
      </w:tr>
    </w:tbl>
    <w:p>
      <w:pPr>
        <w:spacing w:before="80"/>
        <w:jc w:val="center"/>
      </w:pPr>
      <w:r>
        <w:rPr>
          <w:rFonts w:ascii="Times New Roman" w:hAnsi="Times New Roman"/>
          <w:b/>
          <w:sz w:val="22"/>
        </w:rPr>
        <w:t>Table 2.3: Component Survey of Edge AI Hardware Processors</w:t>
      </w:r>
    </w:p>
    <w:p>
      <w:pPr>
        <w:spacing w:before="280" w:after="80" w:line="360" w:lineRule="auto"/>
        <w:ind w:left="567" w:right="-137"/>
        <w:jc w:val="left"/>
      </w:pPr>
      <w:r>
        <w:rPr>
          <w:rFonts w:ascii="Times New Roman" w:hAnsi="Times New Roman"/>
          <w:b/>
          <w:sz w:val="28"/>
        </w:rPr>
        <w:t>2.7 Summary of Literature Survey &amp; Identification of Gaps</w:t>
      </w:r>
    </w:p>
    <w:p>
      <w:pPr>
        <w:spacing w:before="0" w:after="120" w:line="360" w:lineRule="auto"/>
        <w:ind w:left="567" w:right="-137"/>
        <w:jc w:val="both"/>
      </w:pPr>
      <w:r>
        <w:rPr>
          <w:rFonts w:ascii="Times New Roman" w:hAnsi="Times New Roman"/>
          <w:sz w:val="24"/>
        </w:rPr>
        <w:t>The comprehensive literature and market analysis highlights two decisive engineering and algorithmic research gaps that motivate our proposed system architecture:</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1. Algorithmic Gap: </w:t>
      </w:r>
      <w:r>
        <w:rPr>
          <w:rFonts w:ascii="Times New Roman" w:hAnsi="Times New Roman"/>
          <w:sz w:val="24"/>
        </w:rPr>
        <w:t>The Taxonomy Ambiguity Bottleneck: Available public microplastic datasets aggregate images from multiple global research groups. Some datasets label every synthetic particle under an umbrella 'microplastic' tag, whereas others categorize specific morphology ('fiber', 'film', 'fragment'). Training a monolithic object detector directly on such merged data generates severe loss competition and contradictory gradient penalties, bottlenecking multi-class mAP below 65%.</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2. Hardware &amp; Systems Gap: </w:t>
      </w:r>
      <w:r>
        <w:rPr>
          <w:rFonts w:ascii="Times New Roman" w:hAnsi="Times New Roman"/>
          <w:sz w:val="24"/>
        </w:rPr>
        <w:t>The Portability vs Cost Dilemma: Current technological solutions represent an extreme dichotomy—either prohibitively expensive benchtop laboratory spectrometers ($100k+) requiring weeks of turnaround, or unintelligent optical magnifiers requiring manual human counting. No low-cost (&lt; $500), autonomous, Edge-AI smart microscope exists that can perform continuous real-time detection and morphological classification on-site.</w:t>
      </w:r>
    </w:p>
    <w:p>
      <w:pPr>
        <w:spacing w:before="0" w:after="120" w:line="360" w:lineRule="auto"/>
        <w:ind w:left="567" w:right="-137"/>
        <w:jc w:val="both"/>
      </w:pPr>
      <w:r>
        <w:rPr>
          <w:rFonts w:ascii="Times New Roman" w:hAnsi="Times New Roman"/>
          <w:sz w:val="24"/>
        </w:rPr>
        <w:t>This project bridges these gaps by introducing a decoupled Two-Stage Pipeline (Single-Class YOLO11n Detector + HOG-Color SVM Classifier) implemented on an embedded NVIDIA Jetson / Raspberry Pi platform, providing high-precision, low-latency microplastic analysis for field water surveillance.</w:t>
      </w:r>
    </w:p>
    <w:p>
      <w:r>
        <w:br w:type="page"/>
      </w:r>
    </w:p>
    <w:p>
      <w:pPr>
        <w:spacing w:before="280" w:after="280" w:line="360" w:lineRule="auto"/>
        <w:ind w:left="567" w:right="-137"/>
        <w:jc w:val="center"/>
      </w:pPr>
      <w:r>
        <w:rPr>
          <w:rFonts w:ascii="Times New Roman" w:hAnsi="Times New Roman"/>
          <w:b/>
          <w:sz w:val="32"/>
        </w:rPr>
        <w:t>CHAPTER 3: PROBLEM STATEMENT &amp; OBJECTIVES</w:t>
      </w:r>
    </w:p>
    <w:p>
      <w:pPr>
        <w:spacing w:before="280" w:after="80" w:line="360" w:lineRule="auto"/>
        <w:ind w:left="567" w:right="-137"/>
        <w:jc w:val="left"/>
      </w:pPr>
      <w:r>
        <w:rPr>
          <w:rFonts w:ascii="Times New Roman" w:hAnsi="Times New Roman"/>
          <w:b/>
          <w:sz w:val="28"/>
        </w:rPr>
        <w:t>3.1 Problem Definition &amp; Environmental Motivation</w:t>
      </w:r>
    </w:p>
    <w:p>
      <w:pPr>
        <w:spacing w:before="0" w:after="120" w:line="360" w:lineRule="auto"/>
        <w:ind w:left="567" w:right="-137"/>
        <w:jc w:val="both"/>
      </w:pPr>
      <w:r>
        <w:rPr>
          <w:rFonts w:ascii="Times New Roman" w:hAnsi="Times New Roman"/>
          <w:sz w:val="24"/>
        </w:rPr>
        <w:t>Microplastics constitute a critical, pervasive environmental contaminant across global freshwater systems, municipal reservoirs, and marine habitats. Despite widespread awareness of their ecological and human health hazards, practical monitoring remains severely constrained by existing diagnostic methodologies. Conventional analytical techniques such as Fourier-Transform Infrared (FTIR) microscopy and Raman spectroscopy are prohibitively expensive, require elaborate chemical digestion to remove organic biofilms, and demand specialized laboratory facilities. These operational bottlenecks introduce sampling-to-reporting latencies ranging from days to weeks, rendering real-time intervention impossible.</w:t>
      </w:r>
    </w:p>
    <w:p>
      <w:pPr>
        <w:spacing w:before="0" w:after="120" w:line="360" w:lineRule="auto"/>
        <w:ind w:left="567" w:right="-137"/>
        <w:jc w:val="both"/>
      </w:pPr>
      <w:r>
        <w:rPr>
          <w:rFonts w:ascii="Times New Roman" w:hAnsi="Times New Roman"/>
          <w:sz w:val="24"/>
        </w:rPr>
        <w:t>On the other hand, manual visual inspection under stereomicroscopes is notoriously prone to human fatigue, observer subjectivity, and false identification rates exceeding 35% for particulates smaller than 500 μm. While automated computer vision models have been proposed in recent academic literature, prior efforts have suffered from severe taxonomy conflicts when merging heterogeneous public datasets. Specifically, training monolithic deep detectors across datasets with conflicting label granularities (generic 'microplastic' vs. specific 'fiber' or 'film') destabilizes loss optimization and degrades mean Average Precision.</w:t>
      </w:r>
    </w:p>
    <w:p>
      <w:pPr>
        <w:spacing w:before="0" w:after="120" w:line="360" w:lineRule="auto"/>
        <w:ind w:left="567" w:right="-137"/>
        <w:jc w:val="both"/>
      </w:pPr>
      <w:r>
        <w:rPr>
          <w:rFonts w:ascii="Times New Roman" w:hAnsi="Times New Roman"/>
          <w:sz w:val="24"/>
        </w:rPr>
        <w:t>Consequently, there is an unmet engineering need for a fully integrated, low-cost, portable Edge AI-Powered Smart Microscope that can continuously inspect aqueous samples, localize minute microplastics with high sensitivity, and accurately categorize particle morphology in real time directly at the water source.</w:t>
      </w:r>
    </w:p>
    <w:p>
      <w:pPr>
        <w:spacing w:before="280" w:after="80" w:line="360" w:lineRule="auto"/>
        <w:ind w:left="567" w:right="-137"/>
        <w:jc w:val="left"/>
      </w:pPr>
      <w:r>
        <w:rPr>
          <w:rFonts w:ascii="Times New Roman" w:hAnsi="Times New Roman"/>
          <w:b/>
          <w:sz w:val="28"/>
        </w:rPr>
        <w:t>3.2 Aim of the Project</w:t>
      </w:r>
    </w:p>
    <w:p>
      <w:pPr>
        <w:spacing w:before="0" w:after="120" w:line="360" w:lineRule="auto"/>
        <w:ind w:left="567" w:right="-137"/>
        <w:jc w:val="both"/>
      </w:pPr>
      <w:r>
        <w:rPr>
          <w:rFonts w:ascii="Times New Roman" w:hAnsi="Times New Roman"/>
          <w:sz w:val="24"/>
        </w:rPr>
        <w:t>The overarching aim of Project Stage I is to conceptualize, design, and experimentally validate an Edge AI-Powered Smart Microscope for automated on-site detection, counting, and morphological classification of microplastic particles in water. The system aims to combine optical magnification optics with embedded hardware acceleration and a novel Two-Stage Machine Learning Pipeline to achieve high-throughput, field-deployable aquatic surveillance at a fraction of the cost of laboratory spectroscopy.</w:t>
      </w:r>
    </w:p>
    <w:p>
      <w:pPr>
        <w:spacing w:before="280" w:after="80" w:line="360" w:lineRule="auto"/>
        <w:ind w:left="567" w:right="-137"/>
        <w:jc w:val="left"/>
      </w:pPr>
      <w:r>
        <w:rPr>
          <w:rFonts w:ascii="Times New Roman" w:hAnsi="Times New Roman"/>
          <w:b/>
          <w:sz w:val="28"/>
        </w:rPr>
        <w:t>3.3 Primary and Secondary Technical Objectives</w:t>
      </w:r>
    </w:p>
    <w:p>
      <w:pPr>
        <w:spacing w:before="0" w:after="120" w:line="360" w:lineRule="auto"/>
        <w:ind w:left="567" w:right="-137"/>
        <w:jc w:val="both"/>
      </w:pPr>
      <w:r>
        <w:rPr>
          <w:rFonts w:ascii="Times New Roman" w:hAnsi="Times New Roman"/>
          <w:sz w:val="24"/>
        </w:rPr>
        <w:t>To realize the stated aim, the project is structured around five focused engineering objectives: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1. Optical Subsystem Construction: </w:t>
      </w:r>
      <w:r>
        <w:rPr>
          <w:rFonts w:ascii="Times New Roman" w:hAnsi="Times New Roman"/>
          <w:sz w:val="24"/>
        </w:rPr>
        <w:t>Design and assemble an optical magnification framework incorporating an achromatic objective lens (40x–400x equivalent), mechanical fine-focus carriage, and a high-definition 1080p CMOS digital sensor capable of resolving particles down to 20 μm.</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2. Benchmark Dataset Curation: </w:t>
      </w:r>
      <w:r>
        <w:rPr>
          <w:rFonts w:ascii="Times New Roman" w:hAnsi="Times New Roman"/>
          <w:sz w:val="24"/>
        </w:rPr>
        <w:t>Consolidate three heterogeneous public aquatic microplastic benchmarks into a unified, standardized dataset comprising 2,102 images (4,209 annotations) and establish a harmonized single-class training taxonomy.</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3. High-Recall Edge Detector: </w:t>
      </w:r>
      <w:r>
        <w:rPr>
          <w:rFonts w:ascii="Times New Roman" w:hAnsi="Times New Roman"/>
          <w:sz w:val="24"/>
        </w:rPr>
        <w:t>Train and optimize an ultra-lightweight Stage 1 YOLO11n object detector configured for single-class particle localization, achieving &gt;80% mAP@50 and an inference latency under 5 milliseconds.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4. Discriminative Morphology Classification: </w:t>
      </w:r>
      <w:r>
        <w:rPr>
          <w:rFonts w:ascii="Times New Roman" w:hAnsi="Times New Roman"/>
          <w:sz w:val="24"/>
        </w:rPr>
        <w:t>Develop a Stage 2 morphological classifier utilizing shape (HOG) and color histograms with Support Vector Machines (SVM) to accurately categorize detected particles into fibers, films, fragments, and pellets (&gt;95% accuracy).</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5. Edge Deployment &amp; Optimization: </w:t>
      </w:r>
      <w:r>
        <w:rPr>
          <w:rFonts w:ascii="Times New Roman" w:hAnsi="Times New Roman"/>
          <w:sz w:val="24"/>
        </w:rPr>
        <w:t>Deploy and evaluate the complete end-to-end vision pipeline on an embedded edge compute platform (NVIDIA Jetson Nano / Raspberry Pi), ensuring stable continuous operation within a 12W power envelope.</w:t>
      </w:r>
    </w:p>
    <w:p>
      <w:pPr>
        <w:spacing w:before="280" w:after="80" w:line="360" w:lineRule="auto"/>
        <w:ind w:left="567" w:right="-137"/>
        <w:jc w:val="left"/>
      </w:pPr>
      <w:r>
        <w:rPr>
          <w:rFonts w:ascii="Times New Roman" w:hAnsi="Times New Roman"/>
          <w:b/>
          <w:sz w:val="28"/>
        </w:rPr>
        <w:t>3.4 System Design Constraints</w:t>
      </w:r>
    </w:p>
    <w:p>
      <w:pPr>
        <w:spacing w:before="0" w:after="120" w:line="360" w:lineRule="auto"/>
        <w:ind w:left="567" w:right="-137"/>
        <w:jc w:val="both"/>
      </w:pPr>
      <w:r>
        <w:rPr>
          <w:rFonts w:ascii="Times New Roman" w:hAnsi="Times New Roman"/>
          <w:sz w:val="24"/>
        </w:rPr>
        <w:t>The smart microscope prototype was designed under rigorous electrical, mechanical, and computational constraints: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Power Constraints: </w:t>
      </w:r>
      <w:r>
        <w:rPr>
          <w:rFonts w:ascii="Times New Roman" w:hAnsi="Times New Roman"/>
          <w:sz w:val="24"/>
        </w:rPr>
        <w:t>Total electrical power consumption must remain below 15W to permit continuous 8-hour operation from portable 12V LiFePO4 batteries or field solar banks.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Dimensional &amp; Weight Limits: </w:t>
      </w:r>
      <w:r>
        <w:rPr>
          <w:rFonts w:ascii="Times New Roman" w:hAnsi="Times New Roman"/>
          <w:sz w:val="24"/>
        </w:rPr>
        <w:t>The total prototype mass must not exceed 3.5 kg, with physical envelope dimensions confined within 250 mm × 200 mm × 320 mm for convenient field transport.</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Real-Time Latency: </w:t>
      </w:r>
      <w:r>
        <w:rPr>
          <w:rFonts w:ascii="Times New Roman" w:hAnsi="Times New Roman"/>
          <w:sz w:val="24"/>
        </w:rPr>
        <w:t>End-to-end frame processing (capture, inference, bounding box overlay, morphology prediction) must execute in under 30 milliseconds to maintain fluidic real-time video display (&gt;30 FPS).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Memory Constraints: </w:t>
      </w:r>
      <w:r>
        <w:rPr>
          <w:rFonts w:ascii="Times New Roman" w:hAnsi="Times New Roman"/>
          <w:sz w:val="24"/>
        </w:rPr>
        <w:t>The embedded memory footprint of all neural network models and feature extractors combined must remain under 30 MB, ensuring comfortable execution within 4 GB of shared LPDDR4 memory.</w:t>
      </w:r>
    </w:p>
    <w:p>
      <w:pPr>
        <w:spacing w:before="280" w:after="80" w:line="360" w:lineRule="auto"/>
        <w:ind w:left="567" w:right="-137"/>
        <w:jc w:val="left"/>
      </w:pPr>
      <w:r>
        <w:rPr>
          <w:rFonts w:ascii="Times New Roman" w:hAnsi="Times New Roman"/>
          <w:b/>
          <w:sz w:val="28"/>
        </w:rPr>
        <w:t>3.5 Detailed Technical Specifications</w:t>
      </w:r>
    </w:p>
    <w:p>
      <w:pPr>
        <w:spacing w:before="0" w:after="120" w:line="360" w:lineRule="auto"/>
        <w:ind w:left="567" w:right="-137"/>
        <w:jc w:val="both"/>
      </w:pPr>
      <w:r>
        <w:rPr>
          <w:rFonts w:ascii="Times New Roman" w:hAnsi="Times New Roman"/>
          <w:sz w:val="24"/>
        </w:rPr>
        <w:t>Table 3.1 details the comprehensive optical, mechanical, electrical, and software engineering specifications formulated for the smart microscope system.</w:t>
      </w:r>
    </w:p>
    <w:tbl>
      <w:tblPr>
        <w:tblW w:type="auto" w:w="0"/>
        <w:jc w:val="center"/>
        <w:tblLook w:firstColumn="1" w:firstRow="1" w:lastColumn="0" w:lastRow="0" w:noHBand="0" w:noVBand="1" w:val="04A0"/>
      </w:tblPr>
      <w:tblGrid>
        <w:gridCol w:w="3356"/>
        <w:gridCol w:w="3356"/>
        <w:gridCol w:w="3356"/>
      </w:tblGrid>
      <w:tr>
        <w:tc>
          <w:tcPr>
            <w:tcW w:type="dxa" w:w="3356"/>
            <w:shd w:fill="EAEAEA"/>
            <w:tcMar>
              <w:top w:w="60" w:type="dxa"/>
              <w:bottom w:w="60" w:type="dxa"/>
              <w:left w:w="80" w:type="dxa"/>
              <w:right w:w="80" w:type="dxa"/>
            </w:tcMar>
          </w:tcPr>
          <w:p>
            <w:r>
              <w:rPr>
                <w:rFonts w:ascii="Times New Roman" w:hAnsi="Times New Roman"/>
                <w:b/>
                <w:sz w:val="22"/>
              </w:rPr>
              <w:t>Subsystem Category</w:t>
            </w:r>
          </w:p>
        </w:tc>
        <w:tc>
          <w:tcPr>
            <w:tcW w:type="dxa" w:w="3356"/>
            <w:shd w:fill="EAEAEA"/>
            <w:tcMar>
              <w:top w:w="60" w:type="dxa"/>
              <w:bottom w:w="60" w:type="dxa"/>
              <w:left w:w="80" w:type="dxa"/>
              <w:right w:w="80" w:type="dxa"/>
            </w:tcMar>
          </w:tcPr>
          <w:p>
            <w:r>
              <w:rPr>
                <w:rFonts w:ascii="Times New Roman" w:hAnsi="Times New Roman"/>
                <w:b/>
                <w:sz w:val="22"/>
              </w:rPr>
              <w:t>Engineering Parameter</w:t>
            </w:r>
          </w:p>
        </w:tc>
        <w:tc>
          <w:tcPr>
            <w:tcW w:type="dxa" w:w="3356"/>
            <w:shd w:fill="EAEAEA"/>
            <w:tcMar>
              <w:top w:w="60" w:type="dxa"/>
              <w:bottom w:w="60" w:type="dxa"/>
              <w:left w:w="80" w:type="dxa"/>
              <w:right w:w="80" w:type="dxa"/>
            </w:tcMar>
          </w:tcPr>
          <w:p>
            <w:r>
              <w:rPr>
                <w:rFonts w:ascii="Times New Roman" w:hAnsi="Times New Roman"/>
                <w:b/>
                <w:sz w:val="22"/>
              </w:rPr>
              <w:t>Design Target / Specification</w:t>
            </w:r>
          </w:p>
        </w:tc>
      </w:tr>
      <w:tr>
        <w:tc>
          <w:tcPr>
            <w:tcW w:type="dxa" w:w="3356"/>
            <w:tcMar>
              <w:top w:w="60" w:type="dxa"/>
              <w:bottom w:w="60" w:type="dxa"/>
              <w:left w:w="80" w:type="dxa"/>
              <w:right w:w="80" w:type="dxa"/>
            </w:tcMar>
          </w:tcPr>
          <w:p>
            <w:r>
              <w:rPr>
                <w:rFonts w:ascii="Times New Roman" w:hAnsi="Times New Roman"/>
                <w:sz w:val="22"/>
              </w:rPr>
              <w:t>Optical Subsystem</w:t>
            </w:r>
          </w:p>
        </w:tc>
        <w:tc>
          <w:tcPr>
            <w:tcW w:type="dxa" w:w="3356"/>
            <w:tcMar>
              <w:top w:w="60" w:type="dxa"/>
              <w:bottom w:w="60" w:type="dxa"/>
              <w:left w:w="80" w:type="dxa"/>
              <w:right w:w="80" w:type="dxa"/>
            </w:tcMar>
          </w:tcPr>
          <w:p>
            <w:r>
              <w:rPr>
                <w:rFonts w:ascii="Times New Roman" w:hAnsi="Times New Roman"/>
                <w:sz w:val="22"/>
              </w:rPr>
              <w:t>Optical Magnification Range</w:t>
            </w:r>
          </w:p>
        </w:tc>
        <w:tc>
          <w:tcPr>
            <w:tcW w:type="dxa" w:w="3356"/>
            <w:tcMar>
              <w:top w:w="60" w:type="dxa"/>
              <w:bottom w:w="60" w:type="dxa"/>
              <w:left w:w="80" w:type="dxa"/>
              <w:right w:w="80" w:type="dxa"/>
            </w:tcMar>
          </w:tcPr>
          <w:p>
            <w:r>
              <w:rPr>
                <w:rFonts w:ascii="Times New Roman" w:hAnsi="Times New Roman"/>
                <w:sz w:val="22"/>
              </w:rPr>
              <w:t>40x, 100x, and 400x optical equivalent</w:t>
            </w:r>
          </w:p>
        </w:tc>
      </w:tr>
      <w:tr>
        <w:tc>
          <w:tcPr>
            <w:tcW w:type="dxa" w:w="3356"/>
            <w:tcMar>
              <w:top w:w="60" w:type="dxa"/>
              <w:bottom w:w="60" w:type="dxa"/>
              <w:left w:w="80" w:type="dxa"/>
              <w:right w:w="80" w:type="dxa"/>
            </w:tcMar>
          </w:tcPr>
          <w:p>
            <w:r>
              <w:rPr>
                <w:rFonts w:ascii="Times New Roman" w:hAnsi="Times New Roman"/>
                <w:sz w:val="22"/>
              </w:rPr>
              <w:t>Optical Subsystem</w:t>
            </w:r>
          </w:p>
        </w:tc>
        <w:tc>
          <w:tcPr>
            <w:tcW w:type="dxa" w:w="3356"/>
            <w:tcMar>
              <w:top w:w="60" w:type="dxa"/>
              <w:bottom w:w="60" w:type="dxa"/>
              <w:left w:w="80" w:type="dxa"/>
              <w:right w:w="80" w:type="dxa"/>
            </w:tcMar>
          </w:tcPr>
          <w:p>
            <w:r>
              <w:rPr>
                <w:rFonts w:ascii="Times New Roman" w:hAnsi="Times New Roman"/>
                <w:sz w:val="22"/>
              </w:rPr>
              <w:t>Numerical Aperture (NA)</w:t>
            </w:r>
          </w:p>
        </w:tc>
        <w:tc>
          <w:tcPr>
            <w:tcW w:type="dxa" w:w="3356"/>
            <w:tcMar>
              <w:top w:w="60" w:type="dxa"/>
              <w:bottom w:w="60" w:type="dxa"/>
              <w:left w:w="80" w:type="dxa"/>
              <w:right w:w="80" w:type="dxa"/>
            </w:tcMar>
          </w:tcPr>
          <w:p>
            <w:r>
              <w:rPr>
                <w:rFonts w:ascii="Times New Roman" w:hAnsi="Times New Roman"/>
                <w:sz w:val="22"/>
              </w:rPr>
              <w:t>0.10 (4x), 0.25 (10x), 0.65 (40x achromat)</w:t>
            </w:r>
          </w:p>
        </w:tc>
      </w:tr>
      <w:tr>
        <w:tc>
          <w:tcPr>
            <w:tcW w:type="dxa" w:w="3356"/>
            <w:tcMar>
              <w:top w:w="60" w:type="dxa"/>
              <w:bottom w:w="60" w:type="dxa"/>
              <w:left w:w="80" w:type="dxa"/>
              <w:right w:w="80" w:type="dxa"/>
            </w:tcMar>
          </w:tcPr>
          <w:p>
            <w:r>
              <w:rPr>
                <w:rFonts w:ascii="Times New Roman" w:hAnsi="Times New Roman"/>
                <w:sz w:val="22"/>
              </w:rPr>
              <w:t>Image Sensor</w:t>
            </w:r>
          </w:p>
        </w:tc>
        <w:tc>
          <w:tcPr>
            <w:tcW w:type="dxa" w:w="3356"/>
            <w:tcMar>
              <w:top w:w="60" w:type="dxa"/>
              <w:bottom w:w="60" w:type="dxa"/>
              <w:left w:w="80" w:type="dxa"/>
              <w:right w:w="80" w:type="dxa"/>
            </w:tcMar>
          </w:tcPr>
          <w:p>
            <w:r>
              <w:rPr>
                <w:rFonts w:ascii="Times New Roman" w:hAnsi="Times New Roman"/>
                <w:sz w:val="22"/>
              </w:rPr>
              <w:t>Sensor Resolution &amp; Format</w:t>
            </w:r>
          </w:p>
        </w:tc>
        <w:tc>
          <w:tcPr>
            <w:tcW w:type="dxa" w:w="3356"/>
            <w:tcMar>
              <w:top w:w="60" w:type="dxa"/>
              <w:bottom w:w="60" w:type="dxa"/>
              <w:left w:w="80" w:type="dxa"/>
              <w:right w:w="80" w:type="dxa"/>
            </w:tcMar>
          </w:tcPr>
          <w:p>
            <w:r>
              <w:rPr>
                <w:rFonts w:ascii="Times New Roman" w:hAnsi="Times New Roman"/>
                <w:sz w:val="22"/>
              </w:rPr>
              <w:t>1/2.8-inch CMOS, 1920 × 1080 (2.07 MP) @ 30 FPS</w:t>
            </w:r>
          </w:p>
        </w:tc>
      </w:tr>
      <w:tr>
        <w:tc>
          <w:tcPr>
            <w:tcW w:type="dxa" w:w="3356"/>
            <w:tcMar>
              <w:top w:w="60" w:type="dxa"/>
              <w:bottom w:w="60" w:type="dxa"/>
              <w:left w:w="80" w:type="dxa"/>
              <w:right w:w="80" w:type="dxa"/>
            </w:tcMar>
          </w:tcPr>
          <w:p>
            <w:r>
              <w:rPr>
                <w:rFonts w:ascii="Times New Roman" w:hAnsi="Times New Roman"/>
                <w:sz w:val="22"/>
              </w:rPr>
              <w:t>Embedded Compute</w:t>
            </w:r>
          </w:p>
        </w:tc>
        <w:tc>
          <w:tcPr>
            <w:tcW w:type="dxa" w:w="3356"/>
            <w:tcMar>
              <w:top w:w="60" w:type="dxa"/>
              <w:bottom w:w="60" w:type="dxa"/>
              <w:left w:w="80" w:type="dxa"/>
              <w:right w:w="80" w:type="dxa"/>
            </w:tcMar>
          </w:tcPr>
          <w:p>
            <w:r>
              <w:rPr>
                <w:rFonts w:ascii="Times New Roman" w:hAnsi="Times New Roman"/>
                <w:sz w:val="22"/>
              </w:rPr>
              <w:t>Edge Processing Hardware</w:t>
            </w:r>
          </w:p>
        </w:tc>
        <w:tc>
          <w:tcPr>
            <w:tcW w:type="dxa" w:w="3356"/>
            <w:tcMar>
              <w:top w:w="60" w:type="dxa"/>
              <w:bottom w:w="60" w:type="dxa"/>
              <w:left w:w="80" w:type="dxa"/>
              <w:right w:w="80" w:type="dxa"/>
            </w:tcMar>
          </w:tcPr>
          <w:p>
            <w:r>
              <w:rPr>
                <w:rFonts w:ascii="Times New Roman" w:hAnsi="Times New Roman"/>
                <w:sz w:val="22"/>
              </w:rPr>
              <w:t>NVIDIA Jetson Nano (128-core Maxwell GPU, 4GB RAM)</w:t>
            </w:r>
          </w:p>
        </w:tc>
      </w:tr>
      <w:tr>
        <w:tc>
          <w:tcPr>
            <w:tcW w:type="dxa" w:w="3356"/>
            <w:tcMar>
              <w:top w:w="60" w:type="dxa"/>
              <w:bottom w:w="60" w:type="dxa"/>
              <w:left w:w="80" w:type="dxa"/>
              <w:right w:w="80" w:type="dxa"/>
            </w:tcMar>
          </w:tcPr>
          <w:p>
            <w:r>
              <w:rPr>
                <w:rFonts w:ascii="Times New Roman" w:hAnsi="Times New Roman"/>
                <w:sz w:val="22"/>
              </w:rPr>
              <w:t>Electrical Subsystem</w:t>
            </w:r>
          </w:p>
        </w:tc>
        <w:tc>
          <w:tcPr>
            <w:tcW w:type="dxa" w:w="3356"/>
            <w:tcMar>
              <w:top w:w="60" w:type="dxa"/>
              <w:bottom w:w="60" w:type="dxa"/>
              <w:left w:w="80" w:type="dxa"/>
              <w:right w:w="80" w:type="dxa"/>
            </w:tcMar>
          </w:tcPr>
          <w:p>
            <w:r>
              <w:rPr>
                <w:rFonts w:ascii="Times New Roman" w:hAnsi="Times New Roman"/>
                <w:sz w:val="22"/>
              </w:rPr>
              <w:t>Operating Power &amp; Voltage</w:t>
            </w:r>
          </w:p>
        </w:tc>
        <w:tc>
          <w:tcPr>
            <w:tcW w:type="dxa" w:w="3356"/>
            <w:tcMar>
              <w:top w:w="60" w:type="dxa"/>
              <w:bottom w:w="60" w:type="dxa"/>
              <w:left w:w="80" w:type="dxa"/>
              <w:right w:w="80" w:type="dxa"/>
            </w:tcMar>
          </w:tcPr>
          <w:p>
            <w:r>
              <w:rPr>
                <w:rFonts w:ascii="Times New Roman" w:hAnsi="Times New Roman"/>
                <w:sz w:val="22"/>
              </w:rPr>
              <w:t>5V DC regulated (4A peak), nominal draw 8.5W</w:t>
            </w:r>
          </w:p>
        </w:tc>
      </w:tr>
      <w:tr>
        <w:tc>
          <w:tcPr>
            <w:tcW w:type="dxa" w:w="3356"/>
            <w:tcMar>
              <w:top w:w="60" w:type="dxa"/>
              <w:bottom w:w="60" w:type="dxa"/>
              <w:left w:w="80" w:type="dxa"/>
              <w:right w:w="80" w:type="dxa"/>
            </w:tcMar>
          </w:tcPr>
          <w:p>
            <w:r>
              <w:rPr>
                <w:rFonts w:ascii="Times New Roman" w:hAnsi="Times New Roman"/>
                <w:sz w:val="22"/>
              </w:rPr>
              <w:t>Software Subsystem</w:t>
            </w:r>
          </w:p>
        </w:tc>
        <w:tc>
          <w:tcPr>
            <w:tcW w:type="dxa" w:w="3356"/>
            <w:tcMar>
              <w:top w:w="60" w:type="dxa"/>
              <w:bottom w:w="60" w:type="dxa"/>
              <w:left w:w="80" w:type="dxa"/>
              <w:right w:w="80" w:type="dxa"/>
            </w:tcMar>
          </w:tcPr>
          <w:p>
            <w:r>
              <w:rPr>
                <w:rFonts w:ascii="Times New Roman" w:hAnsi="Times New Roman"/>
                <w:sz w:val="22"/>
              </w:rPr>
              <w:t>Stage 1 Localization Speed</w:t>
            </w:r>
          </w:p>
        </w:tc>
        <w:tc>
          <w:tcPr>
            <w:tcW w:type="dxa" w:w="3356"/>
            <w:tcMar>
              <w:top w:w="60" w:type="dxa"/>
              <w:bottom w:w="60" w:type="dxa"/>
              <w:left w:w="80" w:type="dxa"/>
              <w:right w:w="80" w:type="dxa"/>
            </w:tcMar>
          </w:tcPr>
          <w:p>
            <w:r>
              <w:rPr>
                <w:rFonts w:ascii="Times New Roman" w:hAnsi="Times New Roman"/>
                <w:sz w:val="22"/>
              </w:rPr>
              <w:t>4.7 ms per frame (RTX) / 22 ms (Jetson Nano)</w:t>
            </w:r>
          </w:p>
        </w:tc>
      </w:tr>
      <w:tr>
        <w:tc>
          <w:tcPr>
            <w:tcW w:type="dxa" w:w="3356"/>
            <w:tcMar>
              <w:top w:w="60" w:type="dxa"/>
              <w:bottom w:w="60" w:type="dxa"/>
              <w:left w:w="80" w:type="dxa"/>
              <w:right w:w="80" w:type="dxa"/>
            </w:tcMar>
          </w:tcPr>
          <w:p>
            <w:r>
              <w:rPr>
                <w:rFonts w:ascii="Times New Roman" w:hAnsi="Times New Roman"/>
                <w:sz w:val="22"/>
              </w:rPr>
              <w:t>Software Subsystem</w:t>
            </w:r>
          </w:p>
        </w:tc>
        <w:tc>
          <w:tcPr>
            <w:tcW w:type="dxa" w:w="3356"/>
            <w:tcMar>
              <w:top w:w="60" w:type="dxa"/>
              <w:bottom w:w="60" w:type="dxa"/>
              <w:left w:w="80" w:type="dxa"/>
              <w:right w:w="80" w:type="dxa"/>
            </w:tcMar>
          </w:tcPr>
          <w:p>
            <w:r>
              <w:rPr>
                <w:rFonts w:ascii="Times New Roman" w:hAnsi="Times New Roman"/>
                <w:sz w:val="22"/>
              </w:rPr>
              <w:t>Model Weights Footprint</w:t>
            </w:r>
          </w:p>
        </w:tc>
        <w:tc>
          <w:tcPr>
            <w:tcW w:type="dxa" w:w="3356"/>
            <w:tcMar>
              <w:top w:w="60" w:type="dxa"/>
              <w:bottom w:w="60" w:type="dxa"/>
              <w:left w:w="80" w:type="dxa"/>
              <w:right w:w="80" w:type="dxa"/>
            </w:tcMar>
          </w:tcPr>
          <w:p>
            <w:r>
              <w:rPr>
                <w:rFonts w:ascii="Times New Roman" w:hAnsi="Times New Roman"/>
                <w:sz w:val="22"/>
              </w:rPr>
              <w:t>5.5 MB (YOLO11n) + 14.8 MB (SVM Classifier)</w:t>
            </w:r>
          </w:p>
        </w:tc>
      </w:tr>
    </w:tbl>
    <w:p>
      <w:pPr>
        <w:spacing w:before="80"/>
        <w:jc w:val="center"/>
      </w:pPr>
      <w:r>
        <w:rPr>
          <w:rFonts w:ascii="Times New Roman" w:hAnsi="Times New Roman"/>
          <w:b/>
          <w:sz w:val="22"/>
        </w:rPr>
        <w:t>Table 3.1: Optical, Mechanical, Electrical, and Software System Specifications</w:t>
      </w:r>
    </w:p>
    <w:p>
      <w:r>
        <w:br w:type="page"/>
      </w:r>
    </w:p>
    <w:p>
      <w:pPr>
        <w:spacing w:before="280" w:after="280" w:line="360" w:lineRule="auto"/>
        <w:ind w:left="567" w:right="-137"/>
        <w:jc w:val="center"/>
      </w:pPr>
      <w:r>
        <w:rPr>
          <w:rFonts w:ascii="Times New Roman" w:hAnsi="Times New Roman"/>
          <w:b/>
          <w:sz w:val="32"/>
        </w:rPr>
        <w:t>CHAPTER 4: SYSTEM ARCHITECTURE &amp; SUBSYSTEM DESIGN</w:t>
      </w:r>
    </w:p>
    <w:p>
      <w:pPr>
        <w:spacing w:before="280" w:after="80" w:line="360" w:lineRule="auto"/>
        <w:ind w:left="567" w:right="-137"/>
        <w:jc w:val="left"/>
      </w:pPr>
      <w:r>
        <w:rPr>
          <w:rFonts w:ascii="Times New Roman" w:hAnsi="Times New Roman"/>
          <w:b/>
          <w:sz w:val="28"/>
        </w:rPr>
        <w:t>4.1 System Overview &amp; Architectural Narrative</w:t>
      </w:r>
    </w:p>
    <w:p>
      <w:pPr>
        <w:spacing w:before="0" w:after="120" w:line="360" w:lineRule="auto"/>
        <w:ind w:left="567" w:right="-137"/>
        <w:jc w:val="both"/>
      </w:pPr>
      <w:r>
        <w:rPr>
          <w:rFonts w:ascii="Times New Roman" w:hAnsi="Times New Roman"/>
          <w:sz w:val="24"/>
        </w:rPr>
        <w:t>The Edge AI-Powered Smart Microscope is conceptualized as an integrated, multi-disciplinary opto-electronic system designed for continuous microscopic surveillance of water samples. The overall system architecture is organized into four primary functional modules: (1) the Optical and Sample Chamber Subsystem, (2) the High-Definition Digital Imaging Subsystem, (3) the Embedded Edge Computing and Inference Engine, and (4) the Output Display and User Interface Subsystem.</w:t>
      </w:r>
    </w:p>
    <w:p>
      <w:pPr>
        <w:spacing w:before="0" w:after="120" w:line="360" w:lineRule="auto"/>
        <w:ind w:left="567" w:right="-137"/>
        <w:jc w:val="both"/>
      </w:pPr>
      <w:r>
        <w:rPr>
          <w:rFonts w:ascii="Times New Roman" w:hAnsi="Times New Roman"/>
          <w:sz w:val="24"/>
        </w:rPr>
        <w:t>Light transmitted through the aqueous sample is gathered by precision achromatic objective optics, focused onto a high-speed CMOS digital image sensor, and streamed directly into the embedded computing platform. The edge computing unit processes incoming frames sequentially through a novel Two-Stage Machine Learning Pipeline, overlaying detected bounding boxes and morphological class labels onto a real-time monitor while maintaining continuous particle count statistics.</w:t>
      </w:r>
    </w:p>
    <w:p>
      <w:pPr>
        <w:spacing w:before="280" w:after="80" w:line="360" w:lineRule="auto"/>
        <w:ind w:left="567" w:right="-137"/>
        <w:jc w:val="left"/>
      </w:pPr>
      <w:r>
        <w:rPr>
          <w:rFonts w:ascii="Times New Roman" w:hAnsi="Times New Roman"/>
          <w:b/>
          <w:sz w:val="28"/>
        </w:rPr>
        <w:t>4.2 Optical &amp; Illumination Subsystem Design</w:t>
      </w:r>
    </w:p>
    <w:p>
      <w:pPr>
        <w:spacing w:before="0" w:after="120" w:line="360" w:lineRule="auto"/>
        <w:ind w:left="567" w:right="-137"/>
        <w:jc w:val="both"/>
      </w:pPr>
      <w:r>
        <w:rPr>
          <w:rFonts w:ascii="Times New Roman" w:hAnsi="Times New Roman"/>
          <w:sz w:val="24"/>
        </w:rPr>
        <w:t>The optical train is engineered to maximize contrast across diverse polymeric materials, which frequently present as transparent, translucent, or reflective bodies within water matrices. The subsystem incorporates a triple-nosepiece turret housing 4x, 10x, and 40x plan achromatic objective lenses paired with a 10x widefield eyepiece tube lens.</w:t>
      </w:r>
    </w:p>
    <w:p>
      <w:pPr>
        <w:spacing w:before="0" w:after="120" w:line="360" w:lineRule="auto"/>
        <w:ind w:left="567" w:right="-137"/>
        <w:jc w:val="both"/>
      </w:pPr>
      <w:r>
        <w:rPr>
          <w:rFonts w:ascii="Times New Roman" w:hAnsi="Times New Roman"/>
          <w:sz w:val="24"/>
        </w:rPr>
        <w:t>Illumination is provided by a high-CRI (Color Rendering Index &gt; 95) white LED light source positioned beneath the sample stage. An adjustable Abbe condenser (NA 1.25) with an iris diaphragm focuses the light cone precisely onto the specimen plane, enabling true Koehler illumination. To differentiate transparent synthetic microbeads and thin films from aqueous background refraction, the stage incorporates a rotatable darkfield patch stop. Under darkfield illumination, direct unscattered rays are excluded, causing transparent microplastics to illuminate brilliantly against a dark background due to refractive and diffractive edge scattering.</w:t>
      </w:r>
    </w:p>
    <w:p>
      <w:pPr>
        <w:spacing w:before="280" w:after="80" w:line="360" w:lineRule="auto"/>
        <w:ind w:left="567" w:right="-137"/>
        <w:jc w:val="left"/>
      </w:pPr>
      <w:r>
        <w:rPr>
          <w:rFonts w:ascii="Times New Roman" w:hAnsi="Times New Roman"/>
          <w:b/>
          <w:sz w:val="28"/>
        </w:rPr>
        <w:t>4.3 Digital Imaging &amp; Frame Ingestion Subsystem</w:t>
      </w:r>
    </w:p>
    <w:p>
      <w:pPr>
        <w:spacing w:before="0" w:after="120" w:line="360" w:lineRule="auto"/>
        <w:ind w:left="567" w:right="-137"/>
        <w:jc w:val="both"/>
      </w:pPr>
      <w:r>
        <w:rPr>
          <w:rFonts w:ascii="Times New Roman" w:hAnsi="Times New Roman"/>
          <w:sz w:val="24"/>
        </w:rPr>
        <w:t>Image acquisition is handled by a high-resolution 1/2.8-inch Sony IMX CMOS digital image sensor capable of outputting uncompressed 1920 × 1080 video streams at 30 frames per second over a high-speed USB 3.0 / MIPI CSI-2 bus. The sensor features a 2.8 μm × 2.8 μm pixel pitch with an on-chip 12-bit analog-to-digital converter (ADC), delivering superior low-light sensitivity and a dynamic range exceeding 72 dB.</w:t>
      </w:r>
    </w:p>
    <w:p>
      <w:pPr>
        <w:spacing w:before="0" w:after="120" w:line="360" w:lineRule="auto"/>
        <w:ind w:left="567" w:right="-137"/>
        <w:jc w:val="both"/>
      </w:pPr>
      <w:r>
        <w:rPr>
          <w:rFonts w:ascii="Times New Roman" w:hAnsi="Times New Roman"/>
          <w:sz w:val="24"/>
        </w:rPr>
        <w:t>At the software level, video frames are ingested using the Video4Linux2 (V4L2) driver framework. To eliminate memory copy bottlenecks, the acquisition module allocates direct memory access (DMA) ring buffers. Captured frames are mapped directly into shared memory space accessible by both the ARM CPU and the NVIDIA Maxwell GPU, achieving zero-copy frame ingestion.</w:t>
      </w:r>
    </w:p>
    <w:p>
      <w:pPr>
        <w:spacing w:before="280" w:after="80" w:line="360" w:lineRule="auto"/>
        <w:ind w:left="567" w:right="-137"/>
        <w:jc w:val="left"/>
      </w:pPr>
      <w:r>
        <w:rPr>
          <w:rFonts w:ascii="Times New Roman" w:hAnsi="Times New Roman"/>
          <w:b/>
          <w:sz w:val="28"/>
        </w:rPr>
        <w:t>4.4 Embedded Edge Computing Subsystem</w:t>
      </w:r>
    </w:p>
    <w:p>
      <w:pPr>
        <w:spacing w:before="0" w:after="120" w:line="360" w:lineRule="auto"/>
        <w:ind w:left="567" w:right="-137"/>
        <w:jc w:val="both"/>
      </w:pPr>
      <w:r>
        <w:rPr>
          <w:rFonts w:ascii="Times New Roman" w:hAnsi="Times New Roman"/>
          <w:sz w:val="24"/>
        </w:rPr>
        <w:t>The computational core of the smart microscope is built around the NVIDIA Jetson Nano Developer Kit. The Jetson Nano features a 128-core NVIDIA Maxwell GPU capable of delivering 472 GFLOPS of FP16 compute performance, complemented by a quad-core ARM Cortex-A57 processor running at 1.43 GHz and 4 GB of 64-bit LPDDR4 memory operating at 25.6 GB/s.</w:t>
      </w:r>
    </w:p>
    <w:p>
      <w:pPr>
        <w:spacing w:before="0" w:after="120" w:line="360" w:lineRule="auto"/>
        <w:ind w:left="567" w:right="-137"/>
        <w:jc w:val="both"/>
      </w:pPr>
      <w:r>
        <w:rPr>
          <w:rFonts w:ascii="Times New Roman" w:hAnsi="Times New Roman"/>
          <w:sz w:val="24"/>
        </w:rPr>
        <w:t>The embedded operating system is Ubuntu 20.04 LTS customized through the NVIDIA JetPack SDK, incorporating Linux for Tegra (L4T), CUDA 11.4 acceleration libraries, cuDNN, and TensorRT runtime engines. This architecture allows deep learning matrix convolutions to execute directly on dedicated CUDA streaming multiprocessors with hardware-level memory management.</w:t>
      </w:r>
    </w:p>
    <w:p>
      <w:pPr>
        <w:spacing w:before="280" w:after="80" w:line="360" w:lineRule="auto"/>
        <w:ind w:left="567" w:right="-137"/>
        <w:jc w:val="left"/>
      </w:pPr>
      <w:r>
        <w:rPr>
          <w:rFonts w:ascii="Times New Roman" w:hAnsi="Times New Roman"/>
          <w:b/>
          <w:sz w:val="28"/>
        </w:rPr>
        <w:t>4.5 The Decoupled Two-Stage Machine Learning Pipeline</w:t>
      </w:r>
    </w:p>
    <w:p>
      <w:pPr>
        <w:spacing w:before="0" w:after="120" w:line="360" w:lineRule="auto"/>
        <w:ind w:left="567" w:right="-137"/>
        <w:jc w:val="both"/>
      </w:pPr>
      <w:r>
        <w:rPr>
          <w:rFonts w:ascii="Times New Roman" w:hAnsi="Times New Roman"/>
          <w:sz w:val="24"/>
        </w:rPr>
        <w:t>A foundational contribution of this research is the architectural decoupling of particle localization from morphological classification. In conventional computer vision applications, object detection networks (such as standard multi-class YOLO) are trained to predict bounding boxes and fine-grained class categories simultaneously. While effective for standardized datasets like MS COCO, this monolithic approach fails catastrophically when applied to multi-source environmental datasets.</w:t>
      </w:r>
    </w:p>
    <w:p>
      <w:pPr>
        <w:spacing w:before="0" w:after="120" w:line="360" w:lineRule="auto"/>
        <w:ind w:left="567" w:right="-137"/>
        <w:jc w:val="both"/>
      </w:pPr>
      <w:r>
        <w:rPr>
          <w:rFonts w:ascii="Times New Roman" w:hAnsi="Times New Roman"/>
          <w:sz w:val="24"/>
        </w:rPr>
        <w:t>Public microplastic image repositories exhibit severe taxonomy conflict: some researchers label all particles under an generic 'microplastic' class, whereas others annotate specific morphological types ('fiber', 'film', 'fragment', 'pallet'). When merged into a single training repository, identical physical objects receive contradictory ground-truth targets. For example, a blue synthetic fiber labeled as 'microplastic' in Dataset A and as 'fiber' in Dataset B causes the loss function to penalize correct predictions, leading to gradient oscillations and poor convergence (capping multi-class mAP below 65%).</w:t>
      </w:r>
    </w:p>
    <w:p>
      <w:pPr>
        <w:spacing w:before="0" w:after="120" w:line="360" w:lineRule="auto"/>
        <w:ind w:left="567" w:right="-137"/>
        <w:jc w:val="both"/>
      </w:pPr>
      <w:r>
        <w:rPr>
          <w:rFonts w:ascii="Times New Roman" w:hAnsi="Times New Roman"/>
          <w:sz w:val="24"/>
        </w:rPr>
        <w:t>Our decoupled Two-Stage Pipeline resolves this fundamental conflict through functional separation of roles: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Stage 1 — Particle Localization: </w:t>
      </w:r>
      <w:r>
        <w:rPr>
          <w:rFonts w:ascii="Times New Roman" w:hAnsi="Times New Roman"/>
          <w:sz w:val="24"/>
        </w:rPr>
        <w:t>Stage 1 (Single-Class Localization): An ultra-lightweight YOLO11n network trained exclusively on a single unified class (0: microplastic). The detector focuses entirely on spatial localization, learning robust generalized features of synthetic edges, opacity, and refraction across diverse aquatic backdrops. This eliminates label ambiguity, maximizes recall (75.5%), and achieves an exceptional 82.4% mAP@50 at 4.7 ms latency.</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Intermediate ROI Engine: </w:t>
      </w:r>
      <w:r>
        <w:rPr>
          <w:rFonts w:ascii="Times New Roman" w:hAnsi="Times New Roman"/>
          <w:sz w:val="24"/>
        </w:rPr>
        <w:t>Dynamic Cropping &amp; ROI Extraction: High-confidence bounding boxes predicted by Stage 1 are dynamically extracted from the original uncompressed high-resolution frame. The cropped regions of interest (ROIs) are normalized to 64 × 64 pixels.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Stage 2 — Morphology Classification: </w:t>
      </w:r>
      <w:r>
        <w:rPr>
          <w:rFonts w:ascii="Times New Roman" w:hAnsi="Times New Roman"/>
          <w:sz w:val="24"/>
        </w:rPr>
        <w:t>Stage 2 (Morphological Classification): Each cropped particle is characterized using handcrafted spatial shape descriptors (Histogram of Oriented Gradients) and 3D Color Histograms. An RBF-kernel Support Vector Machine (SVM) classifies the feature vector into one of four specific morphological classes: fiber, film, fragment, or pallet. This stage operates with 99.79% validation accuracy and executes only when particles are detected, preserving edge computational energy.</w:t>
      </w:r>
    </w:p>
    <w:p>
      <w:pPr>
        <w:spacing w:before="280" w:after="80" w:line="360" w:lineRule="auto"/>
        <w:ind w:left="567" w:right="-137"/>
        <w:jc w:val="left"/>
      </w:pPr>
      <w:r>
        <w:rPr>
          <w:rFonts w:ascii="Times New Roman" w:hAnsi="Times New Roman"/>
          <w:b/>
          <w:sz w:val="28"/>
        </w:rPr>
        <w:t>4.6 Real-Time Data Flow &amp; Inter-Process Pipeline</w:t>
      </w:r>
    </w:p>
    <w:p>
      <w:pPr>
        <w:spacing w:before="0" w:after="120" w:line="360" w:lineRule="auto"/>
        <w:ind w:left="567" w:right="-137"/>
        <w:jc w:val="both"/>
      </w:pPr>
      <w:r>
        <w:rPr>
          <w:rFonts w:ascii="Times New Roman" w:hAnsi="Times New Roman"/>
          <w:sz w:val="24"/>
        </w:rPr>
        <w:t>The software architecture is implemented as a multi-threaded asynchronous pipeline. A dedicated video capture thread maintains frame rates from the CMOS sensor into a double-buffered circular queue. The primary inference thread retrieves the latest frame, executes Stage 1 YOLO11n detection, passes positive ROIs to the Stage 2 SVM classifier, overlays bounding boxes with color-coded morphology tags, and renders the processed frame to the display. This pipelined execution guarantees that optical camera capture and neural inference execute concurrently without dropped frames.</w:t>
      </w:r>
    </w:p>
    <w:p>
      <w:r>
        <w:br w:type="page"/>
      </w:r>
    </w:p>
    <w:p>
      <w:pPr>
        <w:spacing w:before="280" w:after="280" w:line="360" w:lineRule="auto"/>
        <w:ind w:left="567" w:right="-137"/>
        <w:jc w:val="center"/>
      </w:pPr>
      <w:r>
        <w:rPr>
          <w:rFonts w:ascii="Times New Roman" w:hAnsi="Times New Roman"/>
          <w:b/>
          <w:sz w:val="32"/>
        </w:rPr>
        <w:t>CHAPTER 5: HARDWARE &amp; MECHANICAL SYSTEM DESIGN</w:t>
      </w:r>
    </w:p>
    <w:p>
      <w:pPr>
        <w:spacing w:before="280" w:after="80" w:line="360" w:lineRule="auto"/>
        <w:ind w:left="567" w:right="-137"/>
        <w:jc w:val="left"/>
      </w:pPr>
      <w:r>
        <w:rPr>
          <w:rFonts w:ascii="Times New Roman" w:hAnsi="Times New Roman"/>
          <w:b/>
          <w:sz w:val="28"/>
        </w:rPr>
        <w:t>5.1 Electrical Circuit Design &amp; Interfacing Architecture</w:t>
      </w:r>
    </w:p>
    <w:p>
      <w:pPr>
        <w:spacing w:before="0" w:after="120" w:line="360" w:lineRule="auto"/>
        <w:ind w:left="567" w:right="-137"/>
        <w:jc w:val="both"/>
      </w:pPr>
      <w:r>
        <w:rPr>
          <w:rFonts w:ascii="Times New Roman" w:hAnsi="Times New Roman"/>
          <w:sz w:val="24"/>
        </w:rPr>
        <w:t>The electrical subsystem is engineered to supply clean, regulated DC power to the optical illumination, digital camera sensor, embedded Jetson Nano processor, and cooling peripherals. The system is powered from a single 12V DC input (via a standard 2.1 mm DC barrel jack), which can be supplied by a 12V/5A AC-to-DC desktop power adapter or an external 12V 10Ah lithium-iron-phosphate (LiFePO4) portable battery pack for field expeditions.</w:t>
      </w:r>
    </w:p>
    <w:p>
      <w:pPr>
        <w:spacing w:before="0" w:after="120" w:line="360" w:lineRule="auto"/>
        <w:ind w:left="567" w:right="-137"/>
        <w:jc w:val="both"/>
      </w:pPr>
      <w:r>
        <w:rPr>
          <w:rFonts w:ascii="Times New Roman" w:hAnsi="Times New Roman"/>
          <w:sz w:val="24"/>
        </w:rPr>
        <w:t>The incoming 12V rail is stepped down to 5.0V using a high-efficiency DC-DC step-down buck converter (Texas Instruments TPS54560 / LM2596-based module) capable of delivering up to 5A continuous output current. Because deep learning GPU tensor operations induce sudden transient current surges (spikes up to 3.8A during batch forward passes), dual 1000 μF low-ESR solid electrolytic capacitors are placed in parallel at the 5V output rail to suppress voltage dips below 4.75V, preventing undervoltage brownouts and system resets.</w:t>
      </w:r>
    </w:p>
    <w:p>
      <w:pPr>
        <w:spacing w:before="0" w:after="120" w:line="360" w:lineRule="auto"/>
        <w:ind w:left="567" w:right="-137"/>
        <w:jc w:val="both"/>
      </w:pPr>
      <w:r>
        <w:rPr>
          <w:rFonts w:ascii="Times New Roman" w:hAnsi="Times New Roman"/>
          <w:sz w:val="24"/>
        </w:rPr>
        <w:t>The sub-stage illumination circuit comprises a 3W high-intensity white COB LED powered through a constant-current buck driver (PT4115). Illumination intensity is smoothly regulated using a manual 10kΩ linear potentiometer connected to the driver's analog dimming pin, allowing fine contrast adjustments across varying water turbidity levels without introducing camera shutter strobe flicker.</w:t>
      </w:r>
    </w:p>
    <w:p>
      <w:pPr>
        <w:spacing w:before="280" w:after="80" w:line="360" w:lineRule="auto"/>
        <w:ind w:left="567" w:right="-137"/>
        <w:jc w:val="left"/>
      </w:pPr>
      <w:r>
        <w:rPr>
          <w:rFonts w:ascii="Times New Roman" w:hAnsi="Times New Roman"/>
          <w:b/>
          <w:sz w:val="28"/>
        </w:rPr>
        <w:t>5.2 Microscopic Stage &amp; Optical Positioning Mechanism</w:t>
      </w:r>
    </w:p>
    <w:p>
      <w:pPr>
        <w:spacing w:before="0" w:after="120" w:line="360" w:lineRule="auto"/>
        <w:ind w:left="567" w:right="-137"/>
        <w:jc w:val="both"/>
      </w:pPr>
      <w:r>
        <w:rPr>
          <w:rFonts w:ascii="Times New Roman" w:hAnsi="Times New Roman"/>
          <w:sz w:val="24"/>
        </w:rPr>
        <w:t>Precise sample positioning is critical when examining microscopic debris ranging from 20 μm to 5 mm. The prototype features a mechanical dual-axis (X-Y) translation stage constructed from aircraft-grade anodized aluminum alloy. Dual micrometer lead screws with a 0.5 mm thread pitch and integrated vernier scales provide smooth translation over a 75 mm × 50 mm scanning area with a mechanical repositioning resolution of 10 μm.</w:t>
      </w:r>
    </w:p>
    <w:p>
      <w:pPr>
        <w:spacing w:before="0" w:after="120" w:line="360" w:lineRule="auto"/>
        <w:ind w:left="567" w:right="-137"/>
        <w:jc w:val="both"/>
      </w:pPr>
      <w:r>
        <w:rPr>
          <w:rFonts w:ascii="Times New Roman" w:hAnsi="Times New Roman"/>
          <w:sz w:val="24"/>
        </w:rPr>
        <w:t>The stage incorporates spring-loaded slide clamps engineered to accept standard 75 mm × 25 mm glass microscope slides and well-plates. For continuous aquatic fluid monitoring, the stage is designed to accommodate an interchangeable acrylic microfluidic flow-cell featuring a 25 mm × 1.2 mm optical inspection chamber with fluidic barbed luer-lock connectors. Water samples can be drawn continuously through the flow-cell via a 12V peristaltic micro-pump at controlled flow rates (5 to 15 mL/min), enabling continuous automated water scanning.</w:t>
      </w:r>
    </w:p>
    <w:p>
      <w:pPr>
        <w:spacing w:before="280" w:after="80" w:line="360" w:lineRule="auto"/>
        <w:ind w:left="567" w:right="-137"/>
        <w:jc w:val="left"/>
      </w:pPr>
      <w:r>
        <w:rPr>
          <w:rFonts w:ascii="Times New Roman" w:hAnsi="Times New Roman"/>
          <w:b/>
          <w:sz w:val="28"/>
        </w:rPr>
        <w:t>5.3 Thermal Management &amp; Heat Dissipation</w:t>
      </w:r>
    </w:p>
    <w:p>
      <w:pPr>
        <w:spacing w:before="0" w:after="120" w:line="360" w:lineRule="auto"/>
        <w:ind w:left="567" w:right="-137"/>
        <w:jc w:val="both"/>
      </w:pPr>
      <w:r>
        <w:rPr>
          <w:rFonts w:ascii="Times New Roman" w:hAnsi="Times New Roman"/>
          <w:sz w:val="24"/>
        </w:rPr>
        <w:t>Continuous execution of deep convolutional neural networks at 30 FPS places continuous computational load on the Jetson Nano SoC, resulting in power dissipation exceeding 8.5W. Without adequate thermal management, the silicon junction temperature (T_j) rapidly exceeds 75°C, triggering internal thermal throttling that degrades GPU clock frequencies from 921 MHz down to 640 MHz.</w:t>
      </w:r>
    </w:p>
    <w:p>
      <w:pPr>
        <w:spacing w:before="0" w:after="120" w:line="360" w:lineRule="auto"/>
        <w:ind w:left="567" w:right="-137"/>
        <w:jc w:val="both"/>
      </w:pPr>
      <w:r>
        <w:rPr>
          <w:rFonts w:ascii="Times New Roman" w:hAnsi="Times New Roman"/>
          <w:sz w:val="24"/>
        </w:rPr>
        <w:t>To ensure sustained real-time performance, the smart microscope implements an active thermal management assembly comprising an extruded aluminum fin heatsink with a thermal resistance of 1.8 °C/W, coupled to the SoC via high-conductivity thermal paste (k &gt; 6.0 W/m·K). A 5V PWM-regulated 4010 brushless cooling fan is mounted atop the heatsink. Under continuous 100% GPU workload in an ambient room temperature of 28°C, this cooling solution stabilizes the SoC junction temperature at a safe 52°C, guaranteeing zero thermal throttling during multi-hour water testing.</w:t>
      </w:r>
    </w:p>
    <w:p>
      <w:pPr>
        <w:spacing w:before="280" w:after="80" w:line="360" w:lineRule="auto"/>
        <w:ind w:left="567" w:right="-137"/>
        <w:jc w:val="left"/>
      </w:pPr>
      <w:r>
        <w:rPr>
          <w:rFonts w:ascii="Times New Roman" w:hAnsi="Times New Roman"/>
          <w:b/>
          <w:sz w:val="28"/>
        </w:rPr>
        <w:t>5.4 Mechanical Enclosure &amp; Rigidity Design</w:t>
      </w:r>
    </w:p>
    <w:p>
      <w:pPr>
        <w:spacing w:before="0" w:after="120" w:line="360" w:lineRule="auto"/>
        <w:ind w:left="567" w:right="-137"/>
        <w:jc w:val="both"/>
      </w:pPr>
      <w:r>
        <w:rPr>
          <w:rFonts w:ascii="Times New Roman" w:hAnsi="Times New Roman"/>
          <w:sz w:val="24"/>
        </w:rPr>
        <w:t>The entire optical-electronic apparatus is housed within a rigid custom enclosure fabricated from 3 mm thick high-impact ABS polymer. The enclosure features an internal vertical optical rail milled from aluminum extrusion, ensuring that the optical axis between the sub-stage condenser, objective lens, and CMOS sensor remains perfectly collinear and impervious to external mechanical shock or vibration during transit.</w:t>
      </w:r>
    </w:p>
    <w:p>
      <w:pPr>
        <w:spacing w:before="0" w:after="120" w:line="360" w:lineRule="auto"/>
        <w:ind w:left="567" w:right="-137"/>
        <w:jc w:val="both"/>
      </w:pPr>
      <w:r>
        <w:rPr>
          <w:rFonts w:ascii="Times New Roman" w:hAnsi="Times New Roman"/>
          <w:sz w:val="24"/>
        </w:rPr>
        <w:t>The enclosure includes baffled ventilation louvers for cooling airflow while preventing ambient stray light from penetrating the optical path. Rubber silicone isolator feet are mounted at the base to attenuate ambient ground vibrations from water pumps or nearby laboratory machinery.</w:t>
      </w:r>
    </w:p>
    <w:p>
      <w:pPr>
        <w:spacing w:before="280" w:after="80" w:line="360" w:lineRule="auto"/>
        <w:ind w:left="567" w:right="-137"/>
        <w:jc w:val="left"/>
      </w:pPr>
      <w:r>
        <w:rPr>
          <w:rFonts w:ascii="Times New Roman" w:hAnsi="Times New Roman"/>
          <w:b/>
          <w:sz w:val="28"/>
        </w:rPr>
        <w:t>5.5 Bill of Materials (BOM) &amp; Component Cost Analysis</w:t>
      </w:r>
    </w:p>
    <w:p>
      <w:pPr>
        <w:spacing w:before="0" w:after="120" w:line="360" w:lineRule="auto"/>
        <w:ind w:left="567" w:right="-137"/>
        <w:jc w:val="both"/>
      </w:pPr>
      <w:r>
        <w:rPr>
          <w:rFonts w:ascii="Times New Roman" w:hAnsi="Times New Roman"/>
          <w:sz w:val="24"/>
        </w:rPr>
        <w:t>A central design objective of this project is affordability compared to commercial laboratory instruments ($80,000+). Table 5.1 provides the complete itemized Bill of Materials (BOM) for the smart microscope prototype.</w:t>
      </w:r>
    </w:p>
    <w:tbl>
      <w:tblPr>
        <w:tblW w:type="auto" w:w="0"/>
        <w:jc w:val="center"/>
        <w:tblLook w:firstColumn="1" w:firstRow="1" w:lastColumn="0" w:lastRow="0" w:noHBand="0" w:noVBand="1" w:val="04A0"/>
      </w:tblPr>
      <w:tblGrid>
        <w:gridCol w:w="2014"/>
        <w:gridCol w:w="2014"/>
        <w:gridCol w:w="2014"/>
        <w:gridCol w:w="2014"/>
        <w:gridCol w:w="2014"/>
      </w:tblGrid>
      <w:tr>
        <w:tc>
          <w:tcPr>
            <w:tcW w:type="dxa" w:w="2014"/>
            <w:shd w:fill="EAEAEA"/>
            <w:tcMar>
              <w:top w:w="50" w:type="dxa"/>
              <w:bottom w:w="50" w:type="dxa"/>
              <w:left w:w="60" w:type="dxa"/>
              <w:right w:w="60" w:type="dxa"/>
            </w:tcMar>
          </w:tcPr>
          <w:p>
            <w:r>
              <w:rPr>
                <w:rFonts w:ascii="Times New Roman" w:hAnsi="Times New Roman"/>
                <w:b/>
                <w:sz w:val="20"/>
              </w:rPr>
              <w:t>Sr. No.</w:t>
            </w:r>
          </w:p>
        </w:tc>
        <w:tc>
          <w:tcPr>
            <w:tcW w:type="dxa" w:w="2014"/>
            <w:shd w:fill="EAEAEA"/>
            <w:tcMar>
              <w:top w:w="50" w:type="dxa"/>
              <w:bottom w:w="50" w:type="dxa"/>
              <w:left w:w="60" w:type="dxa"/>
              <w:right w:w="60" w:type="dxa"/>
            </w:tcMar>
          </w:tcPr>
          <w:p>
            <w:r>
              <w:rPr>
                <w:rFonts w:ascii="Times New Roman" w:hAnsi="Times New Roman"/>
                <w:b/>
                <w:sz w:val="20"/>
              </w:rPr>
              <w:t>Component Description</w:t>
            </w:r>
          </w:p>
        </w:tc>
        <w:tc>
          <w:tcPr>
            <w:tcW w:type="dxa" w:w="2014"/>
            <w:shd w:fill="EAEAEA"/>
            <w:tcMar>
              <w:top w:w="50" w:type="dxa"/>
              <w:bottom w:w="50" w:type="dxa"/>
              <w:left w:w="60" w:type="dxa"/>
              <w:right w:w="60" w:type="dxa"/>
            </w:tcMar>
          </w:tcPr>
          <w:p>
            <w:r>
              <w:rPr>
                <w:rFonts w:ascii="Times New Roman" w:hAnsi="Times New Roman"/>
                <w:b/>
                <w:sz w:val="20"/>
              </w:rPr>
              <w:t>Model / Specification</w:t>
            </w:r>
          </w:p>
        </w:tc>
        <w:tc>
          <w:tcPr>
            <w:tcW w:type="dxa" w:w="2014"/>
            <w:shd w:fill="EAEAEA"/>
            <w:tcMar>
              <w:top w:w="50" w:type="dxa"/>
              <w:bottom w:w="50" w:type="dxa"/>
              <w:left w:w="60" w:type="dxa"/>
              <w:right w:w="60" w:type="dxa"/>
            </w:tcMar>
          </w:tcPr>
          <w:p>
            <w:r>
              <w:rPr>
                <w:rFonts w:ascii="Times New Roman" w:hAnsi="Times New Roman"/>
                <w:b/>
                <w:sz w:val="20"/>
              </w:rPr>
              <w:t>Quantity</w:t>
            </w:r>
          </w:p>
        </w:tc>
        <w:tc>
          <w:tcPr>
            <w:tcW w:type="dxa" w:w="2014"/>
            <w:shd w:fill="EAEAEA"/>
            <w:tcMar>
              <w:top w:w="50" w:type="dxa"/>
              <w:bottom w:w="50" w:type="dxa"/>
              <w:left w:w="60" w:type="dxa"/>
              <w:right w:w="60" w:type="dxa"/>
            </w:tcMar>
          </w:tcPr>
          <w:p>
            <w:r>
              <w:rPr>
                <w:rFonts w:ascii="Times New Roman" w:hAnsi="Times New Roman"/>
                <w:b/>
                <w:sz w:val="20"/>
              </w:rPr>
              <w:t>Estimated Cost (INR / USD)</w:t>
            </w:r>
          </w:p>
        </w:tc>
      </w:tr>
      <w:tr>
        <w:tc>
          <w:tcPr>
            <w:tcW w:type="dxa" w:w="2014"/>
            <w:tcMar>
              <w:top w:w="50" w:type="dxa"/>
              <w:bottom w:w="50" w:type="dxa"/>
              <w:left w:w="60" w:type="dxa"/>
              <w:right w:w="60" w:type="dxa"/>
            </w:tcMar>
          </w:tcPr>
          <w:p>
            <w:r>
              <w:rPr>
                <w:rFonts w:ascii="Times New Roman" w:hAnsi="Times New Roman"/>
                <w:sz w:val="20"/>
              </w:rPr>
              <w:t>1</w:t>
            </w:r>
          </w:p>
        </w:tc>
        <w:tc>
          <w:tcPr>
            <w:tcW w:type="dxa" w:w="2014"/>
            <w:tcMar>
              <w:top w:w="50" w:type="dxa"/>
              <w:bottom w:w="50" w:type="dxa"/>
              <w:left w:w="60" w:type="dxa"/>
              <w:right w:w="60" w:type="dxa"/>
            </w:tcMar>
          </w:tcPr>
          <w:p>
            <w:r>
              <w:rPr>
                <w:rFonts w:ascii="Times New Roman" w:hAnsi="Times New Roman"/>
                <w:sz w:val="20"/>
              </w:rPr>
              <w:t>Embedded Edge Processor</w:t>
            </w:r>
          </w:p>
        </w:tc>
        <w:tc>
          <w:tcPr>
            <w:tcW w:type="dxa" w:w="2014"/>
            <w:tcMar>
              <w:top w:w="50" w:type="dxa"/>
              <w:bottom w:w="50" w:type="dxa"/>
              <w:left w:w="60" w:type="dxa"/>
              <w:right w:w="60" w:type="dxa"/>
            </w:tcMar>
          </w:tcPr>
          <w:p>
            <w:r>
              <w:rPr>
                <w:rFonts w:ascii="Times New Roman" w:hAnsi="Times New Roman"/>
                <w:sz w:val="20"/>
              </w:rPr>
              <w:t>NVIDIA Jetson Nano Developer Kit (4GB)</w:t>
            </w:r>
          </w:p>
        </w:tc>
        <w:tc>
          <w:tcPr>
            <w:tcW w:type="dxa" w:w="2014"/>
            <w:tcMar>
              <w:top w:w="50" w:type="dxa"/>
              <w:bottom w:w="50" w:type="dxa"/>
              <w:left w:w="60" w:type="dxa"/>
              <w:right w:w="60" w:type="dxa"/>
            </w:tcMar>
          </w:tcPr>
          <w:p>
            <w:r>
              <w:rPr>
                <w:rFonts w:ascii="Times New Roman" w:hAnsi="Times New Roman"/>
                <w:sz w:val="20"/>
              </w:rPr>
              <w:t>1</w:t>
            </w:r>
          </w:p>
        </w:tc>
        <w:tc>
          <w:tcPr>
            <w:tcW w:type="dxa" w:w="2014"/>
            <w:tcMar>
              <w:top w:w="50" w:type="dxa"/>
              <w:bottom w:w="50" w:type="dxa"/>
              <w:left w:w="60" w:type="dxa"/>
              <w:right w:w="60" w:type="dxa"/>
            </w:tcMar>
          </w:tcPr>
          <w:p>
            <w:r>
              <w:rPr>
                <w:rFonts w:ascii="Times New Roman" w:hAnsi="Times New Roman"/>
                <w:sz w:val="20"/>
              </w:rPr>
              <w:t>₹12,500 / $150</w:t>
            </w:r>
          </w:p>
        </w:tc>
      </w:tr>
      <w:tr>
        <w:tc>
          <w:tcPr>
            <w:tcW w:type="dxa" w:w="2014"/>
            <w:tcMar>
              <w:top w:w="50" w:type="dxa"/>
              <w:bottom w:w="50" w:type="dxa"/>
              <w:left w:w="60" w:type="dxa"/>
              <w:right w:w="60" w:type="dxa"/>
            </w:tcMar>
          </w:tcPr>
          <w:p>
            <w:r>
              <w:rPr>
                <w:rFonts w:ascii="Times New Roman" w:hAnsi="Times New Roman"/>
                <w:sz w:val="20"/>
              </w:rPr>
              <w:t>2</w:t>
            </w:r>
          </w:p>
        </w:tc>
        <w:tc>
          <w:tcPr>
            <w:tcW w:type="dxa" w:w="2014"/>
            <w:tcMar>
              <w:top w:w="50" w:type="dxa"/>
              <w:bottom w:w="50" w:type="dxa"/>
              <w:left w:w="60" w:type="dxa"/>
              <w:right w:w="60" w:type="dxa"/>
            </w:tcMar>
          </w:tcPr>
          <w:p>
            <w:r>
              <w:rPr>
                <w:rFonts w:ascii="Times New Roman" w:hAnsi="Times New Roman"/>
                <w:sz w:val="20"/>
              </w:rPr>
              <w:t>Digital CMOS Camera Sensor</w:t>
            </w:r>
          </w:p>
        </w:tc>
        <w:tc>
          <w:tcPr>
            <w:tcW w:type="dxa" w:w="2014"/>
            <w:tcMar>
              <w:top w:w="50" w:type="dxa"/>
              <w:bottom w:w="50" w:type="dxa"/>
              <w:left w:w="60" w:type="dxa"/>
              <w:right w:w="60" w:type="dxa"/>
            </w:tcMar>
          </w:tcPr>
          <w:p>
            <w:r>
              <w:rPr>
                <w:rFonts w:ascii="Times New Roman" w:hAnsi="Times New Roman"/>
                <w:sz w:val="20"/>
              </w:rPr>
              <w:t>Sony IMX291 1080p USB 3.0 UVC Module</w:t>
            </w:r>
          </w:p>
        </w:tc>
        <w:tc>
          <w:tcPr>
            <w:tcW w:type="dxa" w:w="2014"/>
            <w:tcMar>
              <w:top w:w="50" w:type="dxa"/>
              <w:bottom w:w="50" w:type="dxa"/>
              <w:left w:w="60" w:type="dxa"/>
              <w:right w:w="60" w:type="dxa"/>
            </w:tcMar>
          </w:tcPr>
          <w:p>
            <w:r>
              <w:rPr>
                <w:rFonts w:ascii="Times New Roman" w:hAnsi="Times New Roman"/>
                <w:sz w:val="20"/>
              </w:rPr>
              <w:t>1</w:t>
            </w:r>
          </w:p>
        </w:tc>
        <w:tc>
          <w:tcPr>
            <w:tcW w:type="dxa" w:w="2014"/>
            <w:tcMar>
              <w:top w:w="50" w:type="dxa"/>
              <w:bottom w:w="50" w:type="dxa"/>
              <w:left w:w="60" w:type="dxa"/>
              <w:right w:w="60" w:type="dxa"/>
            </w:tcMar>
          </w:tcPr>
          <w:p>
            <w:r>
              <w:rPr>
                <w:rFonts w:ascii="Times New Roman" w:hAnsi="Times New Roman"/>
                <w:sz w:val="20"/>
              </w:rPr>
              <w:t>₹3,200 / $38</w:t>
            </w:r>
          </w:p>
        </w:tc>
      </w:tr>
      <w:tr>
        <w:tc>
          <w:tcPr>
            <w:tcW w:type="dxa" w:w="2014"/>
            <w:tcMar>
              <w:top w:w="50" w:type="dxa"/>
              <w:bottom w:w="50" w:type="dxa"/>
              <w:left w:w="60" w:type="dxa"/>
              <w:right w:w="60" w:type="dxa"/>
            </w:tcMar>
          </w:tcPr>
          <w:p>
            <w:r>
              <w:rPr>
                <w:rFonts w:ascii="Times New Roman" w:hAnsi="Times New Roman"/>
                <w:sz w:val="20"/>
              </w:rPr>
              <w:t>3</w:t>
            </w:r>
          </w:p>
        </w:tc>
        <w:tc>
          <w:tcPr>
            <w:tcW w:type="dxa" w:w="2014"/>
            <w:tcMar>
              <w:top w:w="50" w:type="dxa"/>
              <w:bottom w:w="50" w:type="dxa"/>
              <w:left w:w="60" w:type="dxa"/>
              <w:right w:w="60" w:type="dxa"/>
            </w:tcMar>
          </w:tcPr>
          <w:p>
            <w:r>
              <w:rPr>
                <w:rFonts w:ascii="Times New Roman" w:hAnsi="Times New Roman"/>
                <w:sz w:val="20"/>
              </w:rPr>
              <w:t>Achromatic Objective Lenses</w:t>
            </w:r>
          </w:p>
        </w:tc>
        <w:tc>
          <w:tcPr>
            <w:tcW w:type="dxa" w:w="2014"/>
            <w:tcMar>
              <w:top w:w="50" w:type="dxa"/>
              <w:bottom w:w="50" w:type="dxa"/>
              <w:left w:w="60" w:type="dxa"/>
              <w:right w:w="60" w:type="dxa"/>
            </w:tcMar>
          </w:tcPr>
          <w:p>
            <w:r>
              <w:rPr>
                <w:rFonts w:ascii="Times New Roman" w:hAnsi="Times New Roman"/>
                <w:sz w:val="20"/>
              </w:rPr>
              <w:t>4x, 10x, 40x DIN Achromat Optics Set</w:t>
            </w:r>
          </w:p>
        </w:tc>
        <w:tc>
          <w:tcPr>
            <w:tcW w:type="dxa" w:w="2014"/>
            <w:tcMar>
              <w:top w:w="50" w:type="dxa"/>
              <w:bottom w:w="50" w:type="dxa"/>
              <w:left w:w="60" w:type="dxa"/>
              <w:right w:w="60" w:type="dxa"/>
            </w:tcMar>
          </w:tcPr>
          <w:p>
            <w:r>
              <w:rPr>
                <w:rFonts w:ascii="Times New Roman" w:hAnsi="Times New Roman"/>
                <w:sz w:val="20"/>
              </w:rPr>
              <w:t>1 set</w:t>
            </w:r>
          </w:p>
        </w:tc>
        <w:tc>
          <w:tcPr>
            <w:tcW w:type="dxa" w:w="2014"/>
            <w:tcMar>
              <w:top w:w="50" w:type="dxa"/>
              <w:bottom w:w="50" w:type="dxa"/>
              <w:left w:w="60" w:type="dxa"/>
              <w:right w:w="60" w:type="dxa"/>
            </w:tcMar>
          </w:tcPr>
          <w:p>
            <w:r>
              <w:rPr>
                <w:rFonts w:ascii="Times New Roman" w:hAnsi="Times New Roman"/>
                <w:sz w:val="20"/>
              </w:rPr>
              <w:t>₹2,800 / $34</w:t>
            </w:r>
          </w:p>
        </w:tc>
      </w:tr>
      <w:tr>
        <w:tc>
          <w:tcPr>
            <w:tcW w:type="dxa" w:w="2014"/>
            <w:tcMar>
              <w:top w:w="50" w:type="dxa"/>
              <w:bottom w:w="50" w:type="dxa"/>
              <w:left w:w="60" w:type="dxa"/>
              <w:right w:w="60" w:type="dxa"/>
            </w:tcMar>
          </w:tcPr>
          <w:p>
            <w:r>
              <w:rPr>
                <w:rFonts w:ascii="Times New Roman" w:hAnsi="Times New Roman"/>
                <w:sz w:val="20"/>
              </w:rPr>
              <w:t>4</w:t>
            </w:r>
          </w:p>
        </w:tc>
        <w:tc>
          <w:tcPr>
            <w:tcW w:type="dxa" w:w="2014"/>
            <w:tcMar>
              <w:top w:w="50" w:type="dxa"/>
              <w:bottom w:w="50" w:type="dxa"/>
              <w:left w:w="60" w:type="dxa"/>
              <w:right w:w="60" w:type="dxa"/>
            </w:tcMar>
          </w:tcPr>
          <w:p>
            <w:r>
              <w:rPr>
                <w:rFonts w:ascii="Times New Roman" w:hAnsi="Times New Roman"/>
                <w:sz w:val="20"/>
              </w:rPr>
              <w:t>X-Y Mechanical Stage</w:t>
            </w:r>
          </w:p>
        </w:tc>
        <w:tc>
          <w:tcPr>
            <w:tcW w:type="dxa" w:w="2014"/>
            <w:tcMar>
              <w:top w:w="50" w:type="dxa"/>
              <w:bottom w:w="50" w:type="dxa"/>
              <w:left w:w="60" w:type="dxa"/>
              <w:right w:w="60" w:type="dxa"/>
            </w:tcMar>
          </w:tcPr>
          <w:p>
            <w:r>
              <w:rPr>
                <w:rFonts w:ascii="Times New Roman" w:hAnsi="Times New Roman"/>
                <w:sz w:val="20"/>
              </w:rPr>
              <w:t>Dual-axis micrometer precision stage</w:t>
            </w:r>
          </w:p>
        </w:tc>
        <w:tc>
          <w:tcPr>
            <w:tcW w:type="dxa" w:w="2014"/>
            <w:tcMar>
              <w:top w:w="50" w:type="dxa"/>
              <w:bottom w:w="50" w:type="dxa"/>
              <w:left w:w="60" w:type="dxa"/>
              <w:right w:w="60" w:type="dxa"/>
            </w:tcMar>
          </w:tcPr>
          <w:p>
            <w:r>
              <w:rPr>
                <w:rFonts w:ascii="Times New Roman" w:hAnsi="Times New Roman"/>
                <w:sz w:val="20"/>
              </w:rPr>
              <w:t>1</w:t>
            </w:r>
          </w:p>
        </w:tc>
        <w:tc>
          <w:tcPr>
            <w:tcW w:type="dxa" w:w="2014"/>
            <w:tcMar>
              <w:top w:w="50" w:type="dxa"/>
              <w:bottom w:w="50" w:type="dxa"/>
              <w:left w:w="60" w:type="dxa"/>
              <w:right w:w="60" w:type="dxa"/>
            </w:tcMar>
          </w:tcPr>
          <w:p>
            <w:r>
              <w:rPr>
                <w:rFonts w:ascii="Times New Roman" w:hAnsi="Times New Roman"/>
                <w:sz w:val="20"/>
              </w:rPr>
              <w:t>₹2,400 / $29</w:t>
            </w:r>
          </w:p>
        </w:tc>
      </w:tr>
      <w:tr>
        <w:tc>
          <w:tcPr>
            <w:tcW w:type="dxa" w:w="2014"/>
            <w:tcMar>
              <w:top w:w="50" w:type="dxa"/>
              <w:bottom w:w="50" w:type="dxa"/>
              <w:left w:w="60" w:type="dxa"/>
              <w:right w:w="60" w:type="dxa"/>
            </w:tcMar>
          </w:tcPr>
          <w:p>
            <w:r>
              <w:rPr>
                <w:rFonts w:ascii="Times New Roman" w:hAnsi="Times New Roman"/>
                <w:sz w:val="20"/>
              </w:rPr>
              <w:t>5</w:t>
            </w:r>
          </w:p>
        </w:tc>
        <w:tc>
          <w:tcPr>
            <w:tcW w:type="dxa" w:w="2014"/>
            <w:tcMar>
              <w:top w:w="50" w:type="dxa"/>
              <w:bottom w:w="50" w:type="dxa"/>
              <w:left w:w="60" w:type="dxa"/>
              <w:right w:w="60" w:type="dxa"/>
            </w:tcMar>
          </w:tcPr>
          <w:p>
            <w:r>
              <w:rPr>
                <w:rFonts w:ascii="Times New Roman" w:hAnsi="Times New Roman"/>
                <w:sz w:val="20"/>
              </w:rPr>
              <w:t>Abbe Condenser &amp; Darkfield Stop</w:t>
            </w:r>
          </w:p>
        </w:tc>
        <w:tc>
          <w:tcPr>
            <w:tcW w:type="dxa" w:w="2014"/>
            <w:tcMar>
              <w:top w:w="50" w:type="dxa"/>
              <w:bottom w:w="50" w:type="dxa"/>
              <w:left w:w="60" w:type="dxa"/>
              <w:right w:w="60" w:type="dxa"/>
            </w:tcMar>
          </w:tcPr>
          <w:p>
            <w:r>
              <w:rPr>
                <w:rFonts w:ascii="Times New Roman" w:hAnsi="Times New Roman"/>
                <w:sz w:val="20"/>
              </w:rPr>
              <w:t>NA 1.25 Abbe condenser with iris diaphragm</w:t>
            </w:r>
          </w:p>
        </w:tc>
        <w:tc>
          <w:tcPr>
            <w:tcW w:type="dxa" w:w="2014"/>
            <w:tcMar>
              <w:top w:w="50" w:type="dxa"/>
              <w:bottom w:w="50" w:type="dxa"/>
              <w:left w:w="60" w:type="dxa"/>
              <w:right w:w="60" w:type="dxa"/>
            </w:tcMar>
          </w:tcPr>
          <w:p>
            <w:r>
              <w:rPr>
                <w:rFonts w:ascii="Times New Roman" w:hAnsi="Times New Roman"/>
                <w:sz w:val="20"/>
              </w:rPr>
              <w:t>1</w:t>
            </w:r>
          </w:p>
        </w:tc>
        <w:tc>
          <w:tcPr>
            <w:tcW w:type="dxa" w:w="2014"/>
            <w:tcMar>
              <w:top w:w="50" w:type="dxa"/>
              <w:bottom w:w="50" w:type="dxa"/>
              <w:left w:w="60" w:type="dxa"/>
              <w:right w:w="60" w:type="dxa"/>
            </w:tcMar>
          </w:tcPr>
          <w:p>
            <w:r>
              <w:rPr>
                <w:rFonts w:ascii="Times New Roman" w:hAnsi="Times New Roman"/>
                <w:sz w:val="20"/>
              </w:rPr>
              <w:t>₹1,600 / $19</w:t>
            </w:r>
          </w:p>
        </w:tc>
      </w:tr>
      <w:tr>
        <w:tc>
          <w:tcPr>
            <w:tcW w:type="dxa" w:w="2014"/>
            <w:tcMar>
              <w:top w:w="50" w:type="dxa"/>
              <w:bottom w:w="50" w:type="dxa"/>
              <w:left w:w="60" w:type="dxa"/>
              <w:right w:w="60" w:type="dxa"/>
            </w:tcMar>
          </w:tcPr>
          <w:p>
            <w:r>
              <w:rPr>
                <w:rFonts w:ascii="Times New Roman" w:hAnsi="Times New Roman"/>
                <w:sz w:val="20"/>
              </w:rPr>
              <w:t>6</w:t>
            </w:r>
          </w:p>
        </w:tc>
        <w:tc>
          <w:tcPr>
            <w:tcW w:type="dxa" w:w="2014"/>
            <w:tcMar>
              <w:top w:w="50" w:type="dxa"/>
              <w:bottom w:w="50" w:type="dxa"/>
              <w:left w:w="60" w:type="dxa"/>
              <w:right w:w="60" w:type="dxa"/>
            </w:tcMar>
          </w:tcPr>
          <w:p>
            <w:r>
              <w:rPr>
                <w:rFonts w:ascii="Times New Roman" w:hAnsi="Times New Roman"/>
                <w:sz w:val="20"/>
              </w:rPr>
              <w:t>Sub-stage LED Illumination</w:t>
            </w:r>
          </w:p>
        </w:tc>
        <w:tc>
          <w:tcPr>
            <w:tcW w:type="dxa" w:w="2014"/>
            <w:tcMar>
              <w:top w:w="50" w:type="dxa"/>
              <w:bottom w:w="50" w:type="dxa"/>
              <w:left w:w="60" w:type="dxa"/>
              <w:right w:w="60" w:type="dxa"/>
            </w:tcMar>
          </w:tcPr>
          <w:p>
            <w:r>
              <w:rPr>
                <w:rFonts w:ascii="Times New Roman" w:hAnsi="Times New Roman"/>
                <w:sz w:val="20"/>
              </w:rPr>
              <w:t>3W High-CRI COB LED + PT4115 constant current</w:t>
            </w:r>
          </w:p>
        </w:tc>
        <w:tc>
          <w:tcPr>
            <w:tcW w:type="dxa" w:w="2014"/>
            <w:tcMar>
              <w:top w:w="50" w:type="dxa"/>
              <w:bottom w:w="50" w:type="dxa"/>
              <w:left w:w="60" w:type="dxa"/>
              <w:right w:w="60" w:type="dxa"/>
            </w:tcMar>
          </w:tcPr>
          <w:p>
            <w:r>
              <w:rPr>
                <w:rFonts w:ascii="Times New Roman" w:hAnsi="Times New Roman"/>
                <w:sz w:val="20"/>
              </w:rPr>
              <w:t>1</w:t>
            </w:r>
          </w:p>
        </w:tc>
        <w:tc>
          <w:tcPr>
            <w:tcW w:type="dxa" w:w="2014"/>
            <w:tcMar>
              <w:top w:w="50" w:type="dxa"/>
              <w:bottom w:w="50" w:type="dxa"/>
              <w:left w:w="60" w:type="dxa"/>
              <w:right w:w="60" w:type="dxa"/>
            </w:tcMar>
          </w:tcPr>
          <w:p>
            <w:r>
              <w:rPr>
                <w:rFonts w:ascii="Times New Roman" w:hAnsi="Times New Roman"/>
                <w:sz w:val="20"/>
              </w:rPr>
              <w:t>₹450 / $5</w:t>
            </w:r>
          </w:p>
        </w:tc>
      </w:tr>
      <w:tr>
        <w:tc>
          <w:tcPr>
            <w:tcW w:type="dxa" w:w="2014"/>
            <w:tcMar>
              <w:top w:w="50" w:type="dxa"/>
              <w:bottom w:w="50" w:type="dxa"/>
              <w:left w:w="60" w:type="dxa"/>
              <w:right w:w="60" w:type="dxa"/>
            </w:tcMar>
          </w:tcPr>
          <w:p>
            <w:r>
              <w:rPr>
                <w:rFonts w:ascii="Times New Roman" w:hAnsi="Times New Roman"/>
                <w:sz w:val="20"/>
              </w:rPr>
              <w:t>7</w:t>
            </w:r>
          </w:p>
        </w:tc>
        <w:tc>
          <w:tcPr>
            <w:tcW w:type="dxa" w:w="2014"/>
            <w:tcMar>
              <w:top w:w="50" w:type="dxa"/>
              <w:bottom w:w="50" w:type="dxa"/>
              <w:left w:w="60" w:type="dxa"/>
              <w:right w:w="60" w:type="dxa"/>
            </w:tcMar>
          </w:tcPr>
          <w:p>
            <w:r>
              <w:rPr>
                <w:rFonts w:ascii="Times New Roman" w:hAnsi="Times New Roman"/>
                <w:sz w:val="20"/>
              </w:rPr>
              <w:t>Step-Down Buck Converter</w:t>
            </w:r>
          </w:p>
        </w:tc>
        <w:tc>
          <w:tcPr>
            <w:tcW w:type="dxa" w:w="2014"/>
            <w:tcMar>
              <w:top w:w="50" w:type="dxa"/>
              <w:bottom w:w="50" w:type="dxa"/>
              <w:left w:w="60" w:type="dxa"/>
              <w:right w:w="60" w:type="dxa"/>
            </w:tcMar>
          </w:tcPr>
          <w:p>
            <w:r>
              <w:rPr>
                <w:rFonts w:ascii="Times New Roman" w:hAnsi="Times New Roman"/>
                <w:sz w:val="20"/>
              </w:rPr>
              <w:t>LM2596 / TPS54560 5V 5A DC-DC regulator</w:t>
            </w:r>
          </w:p>
        </w:tc>
        <w:tc>
          <w:tcPr>
            <w:tcW w:type="dxa" w:w="2014"/>
            <w:tcMar>
              <w:top w:w="50" w:type="dxa"/>
              <w:bottom w:w="50" w:type="dxa"/>
              <w:left w:w="60" w:type="dxa"/>
              <w:right w:w="60" w:type="dxa"/>
            </w:tcMar>
          </w:tcPr>
          <w:p>
            <w:r>
              <w:rPr>
                <w:rFonts w:ascii="Times New Roman" w:hAnsi="Times New Roman"/>
                <w:sz w:val="20"/>
              </w:rPr>
              <w:t>1</w:t>
            </w:r>
          </w:p>
        </w:tc>
        <w:tc>
          <w:tcPr>
            <w:tcW w:type="dxa" w:w="2014"/>
            <w:tcMar>
              <w:top w:w="50" w:type="dxa"/>
              <w:bottom w:w="50" w:type="dxa"/>
              <w:left w:w="60" w:type="dxa"/>
              <w:right w:w="60" w:type="dxa"/>
            </w:tcMar>
          </w:tcPr>
          <w:p>
            <w:r>
              <w:rPr>
                <w:rFonts w:ascii="Times New Roman" w:hAnsi="Times New Roman"/>
                <w:sz w:val="20"/>
              </w:rPr>
              <w:t>₹350 / $4</w:t>
            </w:r>
          </w:p>
        </w:tc>
      </w:tr>
      <w:tr>
        <w:tc>
          <w:tcPr>
            <w:tcW w:type="dxa" w:w="2014"/>
            <w:tcMar>
              <w:top w:w="50" w:type="dxa"/>
              <w:bottom w:w="50" w:type="dxa"/>
              <w:left w:w="60" w:type="dxa"/>
              <w:right w:w="60" w:type="dxa"/>
            </w:tcMar>
          </w:tcPr>
          <w:p>
            <w:r>
              <w:rPr>
                <w:rFonts w:ascii="Times New Roman" w:hAnsi="Times New Roman"/>
                <w:sz w:val="20"/>
              </w:rPr>
              <w:t>8</w:t>
            </w:r>
          </w:p>
        </w:tc>
        <w:tc>
          <w:tcPr>
            <w:tcW w:type="dxa" w:w="2014"/>
            <w:tcMar>
              <w:top w:w="50" w:type="dxa"/>
              <w:bottom w:w="50" w:type="dxa"/>
              <w:left w:w="60" w:type="dxa"/>
              <w:right w:w="60" w:type="dxa"/>
            </w:tcMar>
          </w:tcPr>
          <w:p>
            <w:r>
              <w:rPr>
                <w:rFonts w:ascii="Times New Roman" w:hAnsi="Times New Roman"/>
                <w:sz w:val="20"/>
              </w:rPr>
              <w:t>Cooling Heatsink &amp; PWM Fan</w:t>
            </w:r>
          </w:p>
        </w:tc>
        <w:tc>
          <w:tcPr>
            <w:tcW w:type="dxa" w:w="2014"/>
            <w:tcMar>
              <w:top w:w="50" w:type="dxa"/>
              <w:bottom w:w="50" w:type="dxa"/>
              <w:left w:w="60" w:type="dxa"/>
              <w:right w:w="60" w:type="dxa"/>
            </w:tcMar>
          </w:tcPr>
          <w:p>
            <w:r>
              <w:rPr>
                <w:rFonts w:ascii="Times New Roman" w:hAnsi="Times New Roman"/>
                <w:sz w:val="20"/>
              </w:rPr>
              <w:t>Extruded aluminum heatsink + 4010 5V fan</w:t>
            </w:r>
          </w:p>
        </w:tc>
        <w:tc>
          <w:tcPr>
            <w:tcW w:type="dxa" w:w="2014"/>
            <w:tcMar>
              <w:top w:w="50" w:type="dxa"/>
              <w:bottom w:w="50" w:type="dxa"/>
              <w:left w:w="60" w:type="dxa"/>
              <w:right w:w="60" w:type="dxa"/>
            </w:tcMar>
          </w:tcPr>
          <w:p>
            <w:r>
              <w:rPr>
                <w:rFonts w:ascii="Times New Roman" w:hAnsi="Times New Roman"/>
                <w:sz w:val="20"/>
              </w:rPr>
              <w:t>1</w:t>
            </w:r>
          </w:p>
        </w:tc>
        <w:tc>
          <w:tcPr>
            <w:tcW w:type="dxa" w:w="2014"/>
            <w:tcMar>
              <w:top w:w="50" w:type="dxa"/>
              <w:bottom w:w="50" w:type="dxa"/>
              <w:left w:w="60" w:type="dxa"/>
              <w:right w:w="60" w:type="dxa"/>
            </w:tcMar>
          </w:tcPr>
          <w:p>
            <w:r>
              <w:rPr>
                <w:rFonts w:ascii="Times New Roman" w:hAnsi="Times New Roman"/>
                <w:sz w:val="20"/>
              </w:rPr>
              <w:t>₹550 / $7</w:t>
            </w:r>
          </w:p>
        </w:tc>
      </w:tr>
      <w:tr>
        <w:tc>
          <w:tcPr>
            <w:tcW w:type="dxa" w:w="2014"/>
            <w:tcMar>
              <w:top w:w="50" w:type="dxa"/>
              <w:bottom w:w="50" w:type="dxa"/>
              <w:left w:w="60" w:type="dxa"/>
              <w:right w:w="60" w:type="dxa"/>
            </w:tcMar>
          </w:tcPr>
          <w:p>
            <w:r>
              <w:rPr>
                <w:rFonts w:ascii="Times New Roman" w:hAnsi="Times New Roman"/>
                <w:sz w:val="20"/>
              </w:rPr>
              <w:t>9</w:t>
            </w:r>
          </w:p>
        </w:tc>
        <w:tc>
          <w:tcPr>
            <w:tcW w:type="dxa" w:w="2014"/>
            <w:tcMar>
              <w:top w:w="50" w:type="dxa"/>
              <w:bottom w:w="50" w:type="dxa"/>
              <w:left w:w="60" w:type="dxa"/>
              <w:right w:w="60" w:type="dxa"/>
            </w:tcMar>
          </w:tcPr>
          <w:p>
            <w:r>
              <w:rPr>
                <w:rFonts w:ascii="Times New Roman" w:hAnsi="Times New Roman"/>
                <w:sz w:val="20"/>
              </w:rPr>
              <w:t>Structural Enclosure &amp; Hardware</w:t>
            </w:r>
          </w:p>
        </w:tc>
        <w:tc>
          <w:tcPr>
            <w:tcW w:type="dxa" w:w="2014"/>
            <w:tcMar>
              <w:top w:w="50" w:type="dxa"/>
              <w:bottom w:w="50" w:type="dxa"/>
              <w:left w:w="60" w:type="dxa"/>
              <w:right w:w="60" w:type="dxa"/>
            </w:tcMar>
          </w:tcPr>
          <w:p>
            <w:r>
              <w:rPr>
                <w:rFonts w:ascii="Times New Roman" w:hAnsi="Times New Roman"/>
                <w:sz w:val="20"/>
              </w:rPr>
              <w:t>3mm ABS enclosure, aluminum rail, hardware</w:t>
            </w:r>
          </w:p>
        </w:tc>
        <w:tc>
          <w:tcPr>
            <w:tcW w:type="dxa" w:w="2014"/>
            <w:tcMar>
              <w:top w:w="50" w:type="dxa"/>
              <w:bottom w:w="50" w:type="dxa"/>
              <w:left w:w="60" w:type="dxa"/>
              <w:right w:w="60" w:type="dxa"/>
            </w:tcMar>
          </w:tcPr>
          <w:p>
            <w:r>
              <w:rPr>
                <w:rFonts w:ascii="Times New Roman" w:hAnsi="Times New Roman"/>
                <w:sz w:val="20"/>
              </w:rPr>
              <w:t>1 set</w:t>
            </w:r>
          </w:p>
        </w:tc>
        <w:tc>
          <w:tcPr>
            <w:tcW w:type="dxa" w:w="2014"/>
            <w:tcMar>
              <w:top w:w="50" w:type="dxa"/>
              <w:bottom w:w="50" w:type="dxa"/>
              <w:left w:w="60" w:type="dxa"/>
              <w:right w:w="60" w:type="dxa"/>
            </w:tcMar>
          </w:tcPr>
          <w:p>
            <w:r>
              <w:rPr>
                <w:rFonts w:ascii="Times New Roman" w:hAnsi="Times New Roman"/>
                <w:sz w:val="20"/>
              </w:rPr>
              <w:t>₹1,800 / $22</w:t>
            </w:r>
          </w:p>
        </w:tc>
      </w:tr>
    </w:tbl>
    <w:p>
      <w:pPr>
        <w:spacing w:before="80"/>
        <w:jc w:val="center"/>
      </w:pPr>
      <w:r>
        <w:rPr>
          <w:rFonts w:ascii="Times New Roman" w:hAnsi="Times New Roman"/>
          <w:b/>
          <w:sz w:val="22"/>
        </w:rPr>
        <w:t>Table 5.1: Itemized Bill of Materials and Prototype Cost Breakdown</w:t>
      </w:r>
    </w:p>
    <w:p>
      <w:pPr>
        <w:spacing w:before="0" w:after="120" w:line="360" w:lineRule="auto"/>
        <w:ind w:left="567" w:right="-137"/>
        <w:jc w:val="both"/>
      </w:pPr>
      <w:r>
        <w:rPr>
          <w:rFonts w:ascii="Times New Roman" w:hAnsi="Times New Roman"/>
          <w:sz w:val="24"/>
        </w:rPr>
        <w:t>The total bill of materials cost for the complete edge AI smart microscope prototype totals approximately ₹25,650 (approx. $308 USD). This represents less than 0.5% of the purchase price of commercial laboratory flow cytometers (FlowCam, $95,000+), proving the remarkable economic feasibility of decentralized edge vision monitoring.</w:t>
      </w:r>
    </w:p>
    <w:p>
      <w:r>
        <w:br w:type="page"/>
      </w:r>
    </w:p>
    <w:p>
      <w:pPr>
        <w:spacing w:before="280" w:after="280" w:line="360" w:lineRule="auto"/>
        <w:ind w:left="567" w:right="-137"/>
        <w:jc w:val="center"/>
      </w:pPr>
      <w:r>
        <w:rPr>
          <w:rFonts w:ascii="Times New Roman" w:hAnsi="Times New Roman"/>
          <w:b/>
          <w:sz w:val="32"/>
        </w:rPr>
        <w:t>CHAPTER 6: SOFTWARE SYSTEM DESIGN &amp; ALGORITHMS</w:t>
      </w:r>
    </w:p>
    <w:p>
      <w:pPr>
        <w:spacing w:before="280" w:after="80" w:line="360" w:lineRule="auto"/>
        <w:ind w:left="567" w:right="-137"/>
        <w:jc w:val="left"/>
      </w:pPr>
      <w:r>
        <w:rPr>
          <w:rFonts w:ascii="Times New Roman" w:hAnsi="Times New Roman"/>
          <w:b/>
          <w:sz w:val="28"/>
        </w:rPr>
        <w:t>6.1 Embedded Software Architecture &amp; Operating Environment</w:t>
      </w:r>
    </w:p>
    <w:p>
      <w:pPr>
        <w:spacing w:before="0" w:after="120" w:line="360" w:lineRule="auto"/>
        <w:ind w:left="567" w:right="-137"/>
        <w:jc w:val="both"/>
      </w:pPr>
      <w:r>
        <w:rPr>
          <w:rFonts w:ascii="Times New Roman" w:hAnsi="Times New Roman"/>
          <w:sz w:val="24"/>
        </w:rPr>
        <w:t>The software stack of the Edge AI-Powered Smart Microscope is architected to deliver deterministic, high-throughput inference on embedded edge hardware. The operating environment is built upon Ubuntu 20.04 LTS (Focal Fossa) configured with NVIDIA Linux for Tegra (L4T R32.7) and JetPack SDK 4.6. Acceleration is achieved via CUDA 11.4 runtime libraries, cuDNN 8.2 deep neural network primitives, and TensorRT 8.2 inference graph optimization.</w:t>
      </w:r>
    </w:p>
    <w:p>
      <w:pPr>
        <w:spacing w:before="0" w:after="120" w:line="360" w:lineRule="auto"/>
        <w:ind w:left="567" w:right="-137"/>
        <w:jc w:val="both"/>
      </w:pPr>
      <w:r>
        <w:rPr>
          <w:rFonts w:ascii="Times New Roman" w:hAnsi="Times New Roman"/>
          <w:sz w:val="24"/>
        </w:rPr>
        <w:t>Application-level pipelines are implemented in Python 3.10 and accelerated C++ bindings. The core computer vision workflow utilizes Ultralytics YOLO11, PyTorch 2.1 (compiled with CUDA FP16 support), OpenCV 4.8 for image pre-processing, and Scikit-Learn for statistical machine learning classification. The system operates as an asynchronous multi-process pipeline: Camera Frame Ingestion executes in a separate thread utilizing V4L2 zero-copy memory mapping, while the AI inference engine processes frames via GPU stream synchronization, ensuring high frame rates without frame tearing or CPU starvation.</w:t>
      </w:r>
    </w:p>
    <w:p>
      <w:pPr>
        <w:spacing w:before="280" w:after="80" w:line="360" w:lineRule="auto"/>
        <w:ind w:left="567" w:right="-137"/>
        <w:jc w:val="left"/>
      </w:pPr>
      <w:r>
        <w:rPr>
          <w:rFonts w:ascii="Times New Roman" w:hAnsi="Times New Roman"/>
          <w:b/>
          <w:sz w:val="28"/>
        </w:rPr>
        <w:t>6.2 Stage 1 YOLO11n Architecture &amp; Mathematical Formulation</w:t>
      </w:r>
    </w:p>
    <w:p>
      <w:pPr>
        <w:spacing w:before="0" w:after="120" w:line="360" w:lineRule="auto"/>
        <w:ind w:left="567" w:right="-137"/>
        <w:jc w:val="both"/>
      </w:pPr>
      <w:r>
        <w:rPr>
          <w:rFonts w:ascii="Times New Roman" w:hAnsi="Times New Roman"/>
          <w:sz w:val="24"/>
        </w:rPr>
        <w:t>The Stage 1 detector employs Ultralytics YOLO11n, an ultra-compact single-stage convolutional object detection network. YOLO11 represents a significant architectural evolution over previous models, incorporating C3k2 residual blocks that utilize two smaller convolutional kernels instead of a single large kernel, thereby preserving fine spatial gradient details essential for resolving semi-transparent microscopic fibers and thin films. Multi-scale contextual aggregation is performed via a Spatial Pyramid Pooling Fast (SPPF) module and a Path Aggregation Network (PANet) feature pyramid neck.</w:t>
      </w:r>
    </w:p>
    <w:p>
      <w:pPr>
        <w:spacing w:before="0" w:after="120" w:line="360" w:lineRule="auto"/>
        <w:ind w:left="567" w:right="-137"/>
        <w:jc w:val="both"/>
      </w:pPr>
      <w:r>
        <w:rPr>
          <w:rFonts w:ascii="Times New Roman" w:hAnsi="Times New Roman"/>
          <w:sz w:val="24"/>
        </w:rPr>
        <w:t>To resolve the taxonomy ambiguity across multi-source datasets, Stage 1 is trained strictly on a single unified class: `0: microplastic`. The loss function governing Stage 1 training is a composite multi-task objective comprising bounding box coordinate regression, distribution focal loss, and objectness classification:</w:t>
      </w:r>
    </w:p>
    <w:p>
      <w:pPr>
        <w:spacing w:before="0" w:after="120" w:line="360" w:lineRule="auto"/>
        <w:ind w:left="567" w:right="-137"/>
        <w:jc w:val="both"/>
      </w:pPr>
      <w:r>
        <w:rPr>
          <w:rFonts w:ascii="Times New Roman" w:hAnsi="Times New Roman"/>
          <w:b/>
          <w:sz w:val="24"/>
        </w:rPr>
        <w:t xml:space="preserve">Multi-Task Loss Formulation: </w:t>
      </w:r>
      <w:r>
        <w:rPr>
          <w:rFonts w:ascii="Times New Roman" w:hAnsi="Times New Roman"/>
          <w:sz w:val="24"/>
        </w:rPr>
        <w:t>L_total = lambda_box * L_CIoU + lambda_dfl * L_DFL + lambda_cls * L_BCE</w:t>
      </w:r>
    </w:p>
    <w:p>
      <w:pPr>
        <w:spacing w:before="0" w:after="120" w:line="360" w:lineRule="auto"/>
        <w:ind w:left="567" w:right="-137"/>
        <w:jc w:val="both"/>
      </w:pPr>
      <w:r>
        <w:rPr>
          <w:rFonts w:ascii="Times New Roman" w:hAnsi="Times New Roman"/>
          <w:sz w:val="24"/>
        </w:rPr>
        <w:t>Where lambda_box = 7.5, lambda_dfl = 1.5, and lambda_cls = 0.5 represent empirical weighting hyperparameters. Each individual loss component is mathematically formulated as follows: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1. Complete IoU Loss (L_CIoU): </w:t>
      </w:r>
      <w:r>
        <w:rPr>
          <w:rFonts w:ascii="Times New Roman" w:hAnsi="Times New Roman"/>
          <w:sz w:val="24"/>
        </w:rPr>
        <w:t>Complete Intersection over Union (CIoU) Loss: Accounts for overlap area, central point distance, and aspect ratio consistency:</w:t>
        <w:br/>
        <w:t>L_CIoU = 1 - IoU + (rho^2(b, b_gt) / c^2) + alpha * v</w:t>
        <w:br/>
        <w:t>where b and b_gt denote the predicted and ground-truth box center coordinates, rho(.) represents Euclidean distance, c is the diagonal length of the smallest enclosing bounding box, v measures aspect ratio discrepancy: v = (4 / pi^2) * [arctan(w_gt/h_gt) - arctan(w/h)]^2, and alpha is a dynamic weighting parameter: alpha = v / ((1 - IoU) + v).</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2. Distribution Focal Loss (L_DFL): </w:t>
      </w:r>
      <w:r>
        <w:rPr>
          <w:rFonts w:ascii="Times New Roman" w:hAnsi="Times New Roman"/>
          <w:sz w:val="24"/>
        </w:rPr>
        <w:t>Distribution Focal Loss (DFL): Models continuous bounding box boundaries as general probability distributions rather than rigid Dirac delta functions, allowing the network to rapidly focus on the boundaries of flexible, irregular microplastics:</w:t>
        <w:br/>
        <w:t>L_DFL(S_i, S_i+1) = - ((y_i+1 - y) * log(S_i) + (y - y_i) * log(S_i+1))</w:t>
        <w:br/>
        <w:t>where y represents the ground truth coordinate and S_i denotes the softmax output probability at discrete bin i.</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3. Binary Cross-Entropy Loss (L_BCE): </w:t>
      </w:r>
      <w:r>
        <w:rPr>
          <w:rFonts w:ascii="Times New Roman" w:hAnsi="Times New Roman"/>
          <w:sz w:val="24"/>
        </w:rPr>
        <w:t>Binary Cross-Entropy (BCE) Loss: Measures objectness confidence for particle presence versus background aqueous matrix:</w:t>
        <w:br/>
        <w:t>L_BCE = - [ y * log(p) + (1 - y) * log(1 - p) ]</w:t>
        <w:br/>
        <w:t>where y in {0, 1} denotes ground truth presence and p represents the predicted sigmoid confidence score.</w:t>
      </w:r>
    </w:p>
    <w:p>
      <w:pPr>
        <w:spacing w:before="280" w:after="80" w:line="360" w:lineRule="auto"/>
        <w:ind w:left="567" w:right="-137"/>
        <w:jc w:val="left"/>
      </w:pPr>
      <w:r>
        <w:rPr>
          <w:rFonts w:ascii="Times New Roman" w:hAnsi="Times New Roman"/>
          <w:b/>
          <w:sz w:val="28"/>
        </w:rPr>
        <w:t>6.3 Stage 2 Hybrid Feature Engineering (HOG + 3D Color Histograms)</w:t>
      </w:r>
    </w:p>
    <w:p>
      <w:pPr>
        <w:spacing w:before="0" w:after="120" w:line="360" w:lineRule="auto"/>
        <w:ind w:left="567" w:right="-137"/>
        <w:jc w:val="both"/>
      </w:pPr>
      <w:r>
        <w:rPr>
          <w:rFonts w:ascii="Times New Roman" w:hAnsi="Times New Roman"/>
          <w:sz w:val="24"/>
        </w:rPr>
        <w:t>Following Stage 1 localization, high-confidence bounding box coordinates are extracted and passed to the Stage 2 morphological inspection pipeline. Because microscopic microplastic sub-types exhibit distinct physical structures—slender cylindrical curvature in fibers, planar translucency in films, sharp fractured facets in fragments, and smooth spherical symmetry in pellets—a hybrid feature descriptor combining spatial edge geometry and color pigmentation is engineered:</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1. Spatial Shape Geometry (HOG): </w:t>
      </w:r>
      <w:r>
        <w:rPr>
          <w:rFonts w:ascii="Times New Roman" w:hAnsi="Times New Roman"/>
          <w:sz w:val="24"/>
        </w:rPr>
        <w:t>Histogram of Oriented Gradients (HOG): Quantifies local edge directionality and structural curvature. The cropped particle patch is first resized to 64 × 64 pixels using bicubic interpolation. Horizontal and vertical spatial gradients are calculated:</w:t>
        <w:br/>
        <w:t>G_x(x,y) = I(x+1, y) - I(x-1, y)  and  G_y(x,y) = I(x, y+1) - I(x, y-1)</w:t>
        <w:br/>
        <w:t>The gradient magnitude M(x,y) and orientation theta(x,y) are computed:</w:t>
        <w:br/>
        <w:t>M(x,y) = sqrt(G_x^2 + G_y^2)  and  theta(x,y) = arctan(G_y / G_x) mod 180 deg</w:t>
        <w:br/>
        <w:t>Orientations are accumulated into 9 unsigned histogram bins over 8 × 8 pixel cells. Consecutive 2 × 2 cell blocks undergo L2-Hysteresis normalization (clipping values at 0.2) to ensure illumination invariance across fluctuating optical backdrops.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2. Chromatic Pigmentation (3D Color): </w:t>
      </w:r>
      <w:r>
        <w:rPr>
          <w:rFonts w:ascii="Times New Roman" w:hAnsi="Times New Roman"/>
          <w:sz w:val="24"/>
        </w:rPr>
        <w:t>3D Color Histograms: Quantifies polymer pigmentation, opacity, and chromatic distribution across Red, Green, and Blue channels. The RGB color space is discretized into 8 bins per color dimension, yielding a 512-dimensional color feature vector (8 × 8 × 8). The color histogram is L1-normalized such that sum(h_rgb) = 1, ensuring robustness against optical magnification variations.</w:t>
      </w:r>
    </w:p>
    <w:p>
      <w:pPr>
        <w:spacing w:before="0" w:after="120" w:line="360" w:lineRule="auto"/>
        <w:ind w:left="567" w:right="-137"/>
        <w:jc w:val="both"/>
      </w:pPr>
      <w:r>
        <w:rPr>
          <w:rFonts w:ascii="Times New Roman" w:hAnsi="Times New Roman"/>
          <w:sz w:val="24"/>
        </w:rPr>
        <w:t>The spatial HOG descriptor and 3D Color descriptor are normalized and concatenated into a unified hybrid feature vector:</w:t>
        <w:br/>
        <w:t>F_particle = [ (f_HOG / ||f_HOG||_2)  ||  (f_Color / ||f_Color||_1) ]</w:t>
        <w:br/>
        <w:t>This hybrid representation captures both structural contour geometry (distinguishing fibers from fragments) and surface chromaticity (distinguishing synthetic polymers from organic matter).</w:t>
      </w:r>
    </w:p>
    <w:p>
      <w:pPr>
        <w:spacing w:before="280" w:after="80" w:line="360" w:lineRule="auto"/>
        <w:ind w:left="567" w:right="-137"/>
        <w:jc w:val="left"/>
      </w:pPr>
      <w:r>
        <w:rPr>
          <w:rFonts w:ascii="Times New Roman" w:hAnsi="Times New Roman"/>
          <w:b/>
          <w:sz w:val="28"/>
        </w:rPr>
        <w:t>6.4 Stage 2 Morphological Classification Models</w:t>
      </w:r>
    </w:p>
    <w:p>
      <w:pPr>
        <w:spacing w:before="0" w:after="120" w:line="360" w:lineRule="auto"/>
        <w:ind w:left="567" w:right="-137"/>
        <w:jc w:val="both"/>
      </w:pPr>
      <w:r>
        <w:rPr>
          <w:rFonts w:ascii="Times New Roman" w:hAnsi="Times New Roman"/>
          <w:sz w:val="24"/>
        </w:rPr>
        <w:t>The hybrid feature vector F_particle is classified into one of four morphological classes: fiber, film, fragment, or pallet. Two high-efficiency supervised statistical classifiers were evaluated and trained for embedded deployment:</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1. Support Vector Machine (RBF-SVM): </w:t>
      </w:r>
      <w:r>
        <w:rPr>
          <w:rFonts w:ascii="Times New Roman" w:hAnsi="Times New Roman"/>
          <w:sz w:val="24"/>
        </w:rPr>
        <w:t>Support Vector Machine (SVM): Constructed using a soft-margin formulation with a non-linear Radial Basis Function (RBF) kernel:</w:t>
        <w:br/>
        <w:t>K(x_i, x_j) = exp( - gamma * ||x_i - x_j||^2 )</w:t>
        <w:br/>
        <w:t>The dual optimization problem maximizes the margin between morphological classes:</w:t>
        <w:br/>
        <w:t>max_alpha sum(alpha_i) - 0.5 * sum_i sum_j [ alpha_i * alpha_j * y_i * y_j * K(x_i, x_j) ]</w:t>
        <w:br/>
        <w:t>subject to 0 &lt;= alpha_i &lt;= C and sum(alpha_i * y_i) = 0. Multiclass categorization is executed via a One-vs-Rest (OvR) decision architecture with hyperparameter optimization (C = 10.0, gamma = 'scale').</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2. Random Forest Ensemble: </w:t>
      </w:r>
      <w:r>
        <w:rPr>
          <w:rFonts w:ascii="Times New Roman" w:hAnsi="Times New Roman"/>
          <w:sz w:val="24"/>
        </w:rPr>
        <w:t>Random Forest Classifier: An ensemble of 150 randomized decision trees utilizing bootstrap aggregation (bagging) and random feature sub-sampling. Each tree split is evaluated using the Gini Impurity metric: I_G(p) = 1 - sum(p_k^2). Final morphology predictions are obtained through majority voting across all ensemble trees.</w:t>
      </w:r>
    </w:p>
    <w:p>
      <w:pPr>
        <w:spacing w:before="280" w:after="80" w:line="360" w:lineRule="auto"/>
        <w:ind w:left="567" w:right="-137"/>
        <w:jc w:val="left"/>
      </w:pPr>
      <w:r>
        <w:rPr>
          <w:rFonts w:ascii="Times New Roman" w:hAnsi="Times New Roman"/>
          <w:b/>
          <w:sz w:val="28"/>
        </w:rPr>
        <w:t>6.5 Complete System Operational Algorithms</w:t>
      </w:r>
    </w:p>
    <w:p>
      <w:pPr>
        <w:spacing w:before="0" w:after="120" w:line="360" w:lineRule="auto"/>
        <w:ind w:left="567" w:right="-137"/>
        <w:jc w:val="both"/>
      </w:pPr>
      <w:r>
        <w:rPr>
          <w:rFonts w:ascii="Times New Roman" w:hAnsi="Times New Roman"/>
          <w:sz w:val="24"/>
        </w:rPr>
        <w:t>The complete end-to-end operational sequence executed by the smart microscope is formalized in Algorithm 6.1 and Algorithm 6.2:</w:t>
      </w:r>
    </w:p>
    <w:p>
      <w:pPr>
        <w:spacing w:before="0" w:after="120" w:line="360" w:lineRule="auto"/>
        <w:ind w:left="567" w:right="-137"/>
        <w:jc w:val="both"/>
      </w:pPr>
      <w:r>
        <w:rPr>
          <w:rFonts w:ascii="Times New Roman" w:hAnsi="Times New Roman"/>
          <w:sz w:val="24"/>
        </w:rPr>
        <w:t>Algorithm 6.1: Unified Two-Stage Microplastic Edge Inference Pipeline</w:t>
        <w:br/>
        <w:t>------------------------------------------------------------------------------------</w:t>
        <w:br/>
        <w:t>Input:  Microscopic video frame I_t from digital camera sensor</w:t>
        <w:br/>
        <w:t>Output: Output frame with overlaid bounding boxes, particle counts, and morphology labels</w:t>
        <w:br/>
        <w:br/>
        <w:t>1.  Capture frame I_t via V4L2 zero-copy DMA ring buffer.</w:t>
        <w:br/>
        <w:t>2.  Apply letterbox resizing to 640 × 640 pixels; normalize pixel tensors to [0.0, 1.0].</w:t>
        <w:br/>
        <w:t>3.  Execute Stage 1 YOLO11n TensorRT engine: Obtain detections D_t = { (x1, y1, x2, y2, conf) }.</w:t>
        <w:br/>
        <w:t>4.  Filter detections where conf &gt;= tau_det (tau_det = 0.35).</w:t>
        <w:br/>
        <w:t>5.  Apply Non-Maximum Suppression (NMS) with IoU threshold = 0.45.</w:t>
        <w:br/>
        <w:t>6.  FOR each filtered bounding box b_i in D_t DO:</w:t>
        <w:br/>
        <w:t>7.      Crop particle sub-region from original high-resolution frame: Crop_i = I_t[y1:y2, x1:x2].</w:t>
        <w:br/>
        <w:t>8.      Execute Algorithm 6.2 to extract hybrid feature vector: F_i = Extract_Features(Crop_i).</w:t>
        <w:br/>
        <w:t>9.      Predict morphology label: class_i = SVM_predict(F_i) in {fiber, film, fragment, pallet}.</w:t>
        <w:br/>
        <w:t>10.     Calculate morphology confidence score: p_i = SVM_predict_proba(F_i).</w:t>
        <w:br/>
        <w:t>11.     Draw bounding box b_i and text label '[class_i] (conf: conf, class_p: p_i)' on I_t.</w:t>
        <w:br/>
        <w:t>12.     Increment cumulative counters: N_total, N_fiber, N_film, N_fragment, N_pallet.</w:t>
        <w:br/>
        <w:t>13. END FOR</w:t>
        <w:br/>
        <w:t>14. Render statistics overlay (FPS, Total Particles, Class Breakdown) on display.</w:t>
        <w:br/>
        <w:t>15. Output annotated frame to HDMI monitor / UI window.</w:t>
      </w:r>
    </w:p>
    <w:p>
      <w:pPr>
        <w:spacing w:before="0" w:after="120" w:line="360" w:lineRule="auto"/>
        <w:ind w:left="567" w:right="-137"/>
        <w:jc w:val="both"/>
      </w:pPr>
      <w:r>
        <w:rPr>
          <w:rFonts w:ascii="Times New Roman" w:hAnsi="Times New Roman"/>
          <w:sz w:val="24"/>
        </w:rPr>
        <w:t>Algorithm 6.2: Dynamic ROI Hybrid Feature Extraction</w:t>
        <w:br/>
        <w:t>------------------------------------------------------------------------------------</w:t>
        <w:br/>
        <w:t>Input:  Cropped particle sub-image Crop_i</w:t>
        <w:br/>
        <w:t>Output: Normalized hybrid feature descriptor F_i</w:t>
        <w:br/>
        <w:br/>
        <w:t>1.  Resize Crop_i to canonical dimensions (64 × 64 pixels) using bicubic interpolation.</w:t>
        <w:br/>
        <w:t>2.  Convert Crop_i to grayscale: I_gray = 0.299*R + 0.587*G + 0.114*B.</w:t>
        <w:br/>
        <w:t>3.  Compute horizontal and vertical Sobel gradients G_x and G_y.</w:t>
        <w:br/>
        <w:t>4.  Compute HOG descriptor over 8 × 8 cells, 9 orientation bins, with 2 × 2 block L2-Hys normalization.</w:t>
        <w:br/>
        <w:t>5.  Compute 3D RGB color histogram across 8 × 8 × 8 = 512 discrete color bins.</w:t>
        <w:br/>
        <w:t>6.  Normalize color histogram: f_color = hist / sum(hist).</w:t>
        <w:br/>
        <w:t>7.  Concatenate feature vectors: F_i = [ f_HOG || f_color ].</w:t>
        <w:br/>
        <w:t>8.  RETURN F_i.</w:t>
      </w:r>
    </w:p>
    <w:p>
      <w:r>
        <w:br w:type="page"/>
      </w:r>
    </w:p>
    <w:p>
      <w:pPr>
        <w:spacing w:before="280" w:after="280" w:line="360" w:lineRule="auto"/>
        <w:ind w:left="567" w:right="-137"/>
        <w:jc w:val="center"/>
      </w:pPr>
      <w:r>
        <w:rPr>
          <w:rFonts w:ascii="Times New Roman" w:hAnsi="Times New Roman"/>
          <w:b/>
          <w:sz w:val="32"/>
        </w:rPr>
        <w:t>CHAPTER 7: EXPERIMENTAL RESULTS &amp; DISCUSSION</w:t>
      </w:r>
    </w:p>
    <w:p>
      <w:pPr>
        <w:spacing w:before="280" w:after="80" w:line="360" w:lineRule="auto"/>
        <w:ind w:left="567" w:right="-137"/>
        <w:jc w:val="left"/>
      </w:pPr>
      <w:r>
        <w:rPr>
          <w:rFonts w:ascii="Times New Roman" w:hAnsi="Times New Roman"/>
          <w:b/>
          <w:sz w:val="28"/>
        </w:rPr>
        <w:t>7.1 Benchmark Dataset Consolidation &amp; Annotation Harmonization</w:t>
      </w:r>
    </w:p>
    <w:p>
      <w:pPr>
        <w:spacing w:before="0" w:after="120" w:line="360" w:lineRule="auto"/>
        <w:ind w:left="567" w:right="-137"/>
        <w:jc w:val="both"/>
      </w:pPr>
      <w:r>
        <w:rPr>
          <w:rFonts w:ascii="Times New Roman" w:hAnsi="Times New Roman"/>
          <w:sz w:val="24"/>
        </w:rPr>
        <w:t>To establish a comprehensive, rigorous benchmark for training and validating the smart microscope pipeline, three prominent open-source aquatic microplastic repositories were aggregated and harmonized:</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1. Synthetic Microplastic Dataset: </w:t>
      </w:r>
      <w:r>
        <w:rPr>
          <w:rFonts w:ascii="Times New Roman" w:hAnsi="Times New Roman"/>
          <w:sz w:val="24"/>
        </w:rPr>
        <w:t>Microplastic Detection Benchmark (`dataset`): Comprises 1,465 microscopic images captured under laboratory stereo-microscopes featuring fibers, films, and fragments extracted from water samples.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2. Kueranan Marine Benchmark: </w:t>
      </w:r>
      <w:r>
        <w:rPr>
          <w:rFonts w:ascii="Times New Roman" w:hAnsi="Times New Roman"/>
          <w:sz w:val="24"/>
        </w:rPr>
        <w:t>Kueranan Marine Debris Collection (`kueranan`): Contains 487 microscopic images of marine debris sampled from coastal waters, annotated with multi-class particle labels.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3. In-Water Turbidity Dataset: </w:t>
      </w:r>
      <w:r>
        <w:rPr>
          <w:rFonts w:ascii="Times New Roman" w:hAnsi="Times New Roman"/>
          <w:sz w:val="24"/>
        </w:rPr>
        <w:t>Aquatic In-Water Dataset (`roboflow_in_water`): Features 150 in-situ aquatic images of suspended polymers in turbulent water matrices with varying lighting, turbidity, and organic particulates.</w:t>
      </w:r>
    </w:p>
    <w:p>
      <w:pPr>
        <w:spacing w:before="0" w:after="120" w:line="360" w:lineRule="auto"/>
        <w:ind w:left="567" w:right="-137"/>
        <w:jc w:val="both"/>
      </w:pPr>
      <w:r>
        <w:rPr>
          <w:rFonts w:ascii="Times New Roman" w:hAnsi="Times New Roman"/>
          <w:sz w:val="24"/>
        </w:rPr>
        <w:t>A critical preprocessing step was the execution of `scripts/remap_labels_1class.py`. An analysis of the raw merged labels revealed that 3,759 annotations possessed class IDs greater than 0, reflecting incompatible categorization taxonomies across the original sources. The remapping script standardized all 4,209 annotations across all 2,102 image files to single class `0: microplastic`. Table 7.1 summarizes the finalized dataset splits.</w:t>
      </w:r>
    </w:p>
    <w:tbl>
      <w:tblPr>
        <w:tblW w:type="auto" w:w="0"/>
        <w:jc w:val="center"/>
        <w:tblLook w:firstColumn="1" w:firstRow="1" w:lastColumn="0" w:lastRow="0" w:noHBand="0" w:noVBand="1" w:val="04A0"/>
      </w:tblPr>
      <w:tblGrid>
        <w:gridCol w:w="2517"/>
        <w:gridCol w:w="2517"/>
        <w:gridCol w:w="2517"/>
        <w:gridCol w:w="2517"/>
      </w:tblGrid>
      <w:tr>
        <w:tc>
          <w:tcPr>
            <w:tcW w:type="dxa" w:w="2517"/>
            <w:shd w:fill="EAEAEA"/>
            <w:tcMar>
              <w:top w:w="60" w:type="dxa"/>
              <w:bottom w:w="60" w:type="dxa"/>
              <w:left w:w="80" w:type="dxa"/>
              <w:right w:w="80" w:type="dxa"/>
            </w:tcMar>
          </w:tcPr>
          <w:p>
            <w:r>
              <w:rPr>
                <w:rFonts w:ascii="Times New Roman" w:hAnsi="Times New Roman"/>
                <w:b/>
                <w:sz w:val="22"/>
              </w:rPr>
              <w:t>Dataset Partition</w:t>
            </w:r>
          </w:p>
        </w:tc>
        <w:tc>
          <w:tcPr>
            <w:tcW w:type="dxa" w:w="2517"/>
            <w:shd w:fill="EAEAEA"/>
            <w:tcMar>
              <w:top w:w="60" w:type="dxa"/>
              <w:bottom w:w="60" w:type="dxa"/>
              <w:left w:w="80" w:type="dxa"/>
              <w:right w:w="80" w:type="dxa"/>
            </w:tcMar>
          </w:tcPr>
          <w:p>
            <w:r>
              <w:rPr>
                <w:rFonts w:ascii="Times New Roman" w:hAnsi="Times New Roman"/>
                <w:b/>
                <w:sz w:val="22"/>
              </w:rPr>
              <w:t>Image Count</w:t>
            </w:r>
          </w:p>
        </w:tc>
        <w:tc>
          <w:tcPr>
            <w:tcW w:type="dxa" w:w="2517"/>
            <w:shd w:fill="EAEAEA"/>
            <w:tcMar>
              <w:top w:w="60" w:type="dxa"/>
              <w:bottom w:w="60" w:type="dxa"/>
              <w:left w:w="80" w:type="dxa"/>
              <w:right w:w="80" w:type="dxa"/>
            </w:tcMar>
          </w:tcPr>
          <w:p>
            <w:r>
              <w:rPr>
                <w:rFonts w:ascii="Times New Roman" w:hAnsi="Times New Roman"/>
                <w:b/>
                <w:sz w:val="22"/>
              </w:rPr>
              <w:t>Label File Count</w:t>
            </w:r>
          </w:p>
        </w:tc>
        <w:tc>
          <w:tcPr>
            <w:tcW w:type="dxa" w:w="2517"/>
            <w:shd w:fill="EAEAEA"/>
            <w:tcMar>
              <w:top w:w="60" w:type="dxa"/>
              <w:bottom w:w="60" w:type="dxa"/>
              <w:left w:w="80" w:type="dxa"/>
              <w:right w:w="80" w:type="dxa"/>
            </w:tcMar>
          </w:tcPr>
          <w:p>
            <w:r>
              <w:rPr>
                <w:rFonts w:ascii="Times New Roman" w:hAnsi="Times New Roman"/>
                <w:b/>
                <w:sz w:val="22"/>
              </w:rPr>
              <w:t>Percentage of Total</w:t>
            </w:r>
          </w:p>
        </w:tc>
      </w:tr>
      <w:tr>
        <w:tc>
          <w:tcPr>
            <w:tcW w:type="dxa" w:w="2517"/>
            <w:tcMar>
              <w:top w:w="60" w:type="dxa"/>
              <w:bottom w:w="60" w:type="dxa"/>
              <w:left w:w="80" w:type="dxa"/>
              <w:right w:w="80" w:type="dxa"/>
            </w:tcMar>
          </w:tcPr>
          <w:p>
            <w:r>
              <w:rPr>
                <w:rFonts w:ascii="Times New Roman" w:hAnsi="Times New Roman"/>
                <w:sz w:val="22"/>
              </w:rPr>
              <w:t>Training Set</w:t>
            </w:r>
          </w:p>
        </w:tc>
        <w:tc>
          <w:tcPr>
            <w:tcW w:type="dxa" w:w="2517"/>
            <w:tcMar>
              <w:top w:w="60" w:type="dxa"/>
              <w:bottom w:w="60" w:type="dxa"/>
              <w:left w:w="80" w:type="dxa"/>
              <w:right w:w="80" w:type="dxa"/>
            </w:tcMar>
          </w:tcPr>
          <w:p>
            <w:r>
              <w:rPr>
                <w:rFonts w:ascii="Times New Roman" w:hAnsi="Times New Roman"/>
                <w:sz w:val="22"/>
              </w:rPr>
              <w:t>1,725 images</w:t>
            </w:r>
          </w:p>
        </w:tc>
        <w:tc>
          <w:tcPr>
            <w:tcW w:type="dxa" w:w="2517"/>
            <w:tcMar>
              <w:top w:w="60" w:type="dxa"/>
              <w:bottom w:w="60" w:type="dxa"/>
              <w:left w:w="80" w:type="dxa"/>
              <w:right w:w="80" w:type="dxa"/>
            </w:tcMar>
          </w:tcPr>
          <w:p>
            <w:r>
              <w:rPr>
                <w:rFonts w:ascii="Times New Roman" w:hAnsi="Times New Roman"/>
                <w:sz w:val="22"/>
              </w:rPr>
              <w:t>1,725 files</w:t>
            </w:r>
          </w:p>
        </w:tc>
        <w:tc>
          <w:tcPr>
            <w:tcW w:type="dxa" w:w="2517"/>
            <w:tcMar>
              <w:top w:w="60" w:type="dxa"/>
              <w:bottom w:w="60" w:type="dxa"/>
              <w:left w:w="80" w:type="dxa"/>
              <w:right w:w="80" w:type="dxa"/>
            </w:tcMar>
          </w:tcPr>
          <w:p>
            <w:r>
              <w:rPr>
                <w:rFonts w:ascii="Times New Roman" w:hAnsi="Times New Roman"/>
                <w:sz w:val="22"/>
              </w:rPr>
              <w:t>82.1%</w:t>
            </w:r>
          </w:p>
        </w:tc>
      </w:tr>
      <w:tr>
        <w:tc>
          <w:tcPr>
            <w:tcW w:type="dxa" w:w="2517"/>
            <w:tcMar>
              <w:top w:w="60" w:type="dxa"/>
              <w:bottom w:w="60" w:type="dxa"/>
              <w:left w:w="80" w:type="dxa"/>
              <w:right w:w="80" w:type="dxa"/>
            </w:tcMar>
          </w:tcPr>
          <w:p>
            <w:r>
              <w:rPr>
                <w:rFonts w:ascii="Times New Roman" w:hAnsi="Times New Roman"/>
                <w:sz w:val="22"/>
              </w:rPr>
              <w:t>Validation Set</w:t>
            </w:r>
          </w:p>
        </w:tc>
        <w:tc>
          <w:tcPr>
            <w:tcW w:type="dxa" w:w="2517"/>
            <w:tcMar>
              <w:top w:w="60" w:type="dxa"/>
              <w:bottom w:w="60" w:type="dxa"/>
              <w:left w:w="80" w:type="dxa"/>
              <w:right w:w="80" w:type="dxa"/>
            </w:tcMar>
          </w:tcPr>
          <w:p>
            <w:r>
              <w:rPr>
                <w:rFonts w:ascii="Times New Roman" w:hAnsi="Times New Roman"/>
                <w:sz w:val="22"/>
              </w:rPr>
              <w:t>322 images</w:t>
            </w:r>
          </w:p>
        </w:tc>
        <w:tc>
          <w:tcPr>
            <w:tcW w:type="dxa" w:w="2517"/>
            <w:tcMar>
              <w:top w:w="60" w:type="dxa"/>
              <w:bottom w:w="60" w:type="dxa"/>
              <w:left w:w="80" w:type="dxa"/>
              <w:right w:w="80" w:type="dxa"/>
            </w:tcMar>
          </w:tcPr>
          <w:p>
            <w:r>
              <w:rPr>
                <w:rFonts w:ascii="Times New Roman" w:hAnsi="Times New Roman"/>
                <w:sz w:val="22"/>
              </w:rPr>
              <w:t>322 files</w:t>
            </w:r>
          </w:p>
        </w:tc>
        <w:tc>
          <w:tcPr>
            <w:tcW w:type="dxa" w:w="2517"/>
            <w:tcMar>
              <w:top w:w="60" w:type="dxa"/>
              <w:bottom w:w="60" w:type="dxa"/>
              <w:left w:w="80" w:type="dxa"/>
              <w:right w:w="80" w:type="dxa"/>
            </w:tcMar>
          </w:tcPr>
          <w:p>
            <w:r>
              <w:rPr>
                <w:rFonts w:ascii="Times New Roman" w:hAnsi="Times New Roman"/>
                <w:sz w:val="22"/>
              </w:rPr>
              <w:t>15.3%</w:t>
            </w:r>
          </w:p>
        </w:tc>
      </w:tr>
      <w:tr>
        <w:tc>
          <w:tcPr>
            <w:tcW w:type="dxa" w:w="2517"/>
            <w:tcMar>
              <w:top w:w="60" w:type="dxa"/>
              <w:bottom w:w="60" w:type="dxa"/>
              <w:left w:w="80" w:type="dxa"/>
              <w:right w:w="80" w:type="dxa"/>
            </w:tcMar>
          </w:tcPr>
          <w:p>
            <w:r>
              <w:rPr>
                <w:rFonts w:ascii="Times New Roman" w:hAnsi="Times New Roman"/>
                <w:sz w:val="22"/>
              </w:rPr>
              <w:t>Testing Set</w:t>
            </w:r>
          </w:p>
        </w:tc>
        <w:tc>
          <w:tcPr>
            <w:tcW w:type="dxa" w:w="2517"/>
            <w:tcMar>
              <w:top w:w="60" w:type="dxa"/>
              <w:bottom w:w="60" w:type="dxa"/>
              <w:left w:w="80" w:type="dxa"/>
              <w:right w:w="80" w:type="dxa"/>
            </w:tcMar>
          </w:tcPr>
          <w:p>
            <w:r>
              <w:rPr>
                <w:rFonts w:ascii="Times New Roman" w:hAnsi="Times New Roman"/>
                <w:sz w:val="22"/>
              </w:rPr>
              <w:t>55 images</w:t>
            </w:r>
          </w:p>
        </w:tc>
        <w:tc>
          <w:tcPr>
            <w:tcW w:type="dxa" w:w="2517"/>
            <w:tcMar>
              <w:top w:w="60" w:type="dxa"/>
              <w:bottom w:w="60" w:type="dxa"/>
              <w:left w:w="80" w:type="dxa"/>
              <w:right w:w="80" w:type="dxa"/>
            </w:tcMar>
          </w:tcPr>
          <w:p>
            <w:r>
              <w:rPr>
                <w:rFonts w:ascii="Times New Roman" w:hAnsi="Times New Roman"/>
                <w:sz w:val="22"/>
              </w:rPr>
              <w:t>55 files</w:t>
            </w:r>
          </w:p>
        </w:tc>
        <w:tc>
          <w:tcPr>
            <w:tcW w:type="dxa" w:w="2517"/>
            <w:tcMar>
              <w:top w:w="60" w:type="dxa"/>
              <w:bottom w:w="60" w:type="dxa"/>
              <w:left w:w="80" w:type="dxa"/>
              <w:right w:w="80" w:type="dxa"/>
            </w:tcMar>
          </w:tcPr>
          <w:p>
            <w:r>
              <w:rPr>
                <w:rFonts w:ascii="Times New Roman" w:hAnsi="Times New Roman"/>
                <w:sz w:val="22"/>
              </w:rPr>
              <w:t>2.6%</w:t>
            </w:r>
          </w:p>
        </w:tc>
      </w:tr>
      <w:tr>
        <w:tc>
          <w:tcPr>
            <w:tcW w:type="dxa" w:w="2517"/>
            <w:tcMar>
              <w:top w:w="60" w:type="dxa"/>
              <w:bottom w:w="60" w:type="dxa"/>
              <w:left w:w="80" w:type="dxa"/>
              <w:right w:w="80" w:type="dxa"/>
            </w:tcMar>
          </w:tcPr>
          <w:p>
            <w:r>
              <w:rPr>
                <w:rFonts w:ascii="Times New Roman" w:hAnsi="Times New Roman"/>
                <w:sz w:val="22"/>
              </w:rPr>
              <w:t>Total Consolidated Benchmark</w:t>
            </w:r>
          </w:p>
        </w:tc>
        <w:tc>
          <w:tcPr>
            <w:tcW w:type="dxa" w:w="2517"/>
            <w:tcMar>
              <w:top w:w="60" w:type="dxa"/>
              <w:bottom w:w="60" w:type="dxa"/>
              <w:left w:w="80" w:type="dxa"/>
              <w:right w:w="80" w:type="dxa"/>
            </w:tcMar>
          </w:tcPr>
          <w:p>
            <w:r>
              <w:rPr>
                <w:rFonts w:ascii="Times New Roman" w:hAnsi="Times New Roman"/>
                <w:sz w:val="22"/>
              </w:rPr>
              <w:t>2,102 images</w:t>
            </w:r>
          </w:p>
        </w:tc>
        <w:tc>
          <w:tcPr>
            <w:tcW w:type="dxa" w:w="2517"/>
            <w:tcMar>
              <w:top w:w="60" w:type="dxa"/>
              <w:bottom w:w="60" w:type="dxa"/>
              <w:left w:w="80" w:type="dxa"/>
              <w:right w:w="80" w:type="dxa"/>
            </w:tcMar>
          </w:tcPr>
          <w:p>
            <w:r>
              <w:rPr>
                <w:rFonts w:ascii="Times New Roman" w:hAnsi="Times New Roman"/>
                <w:sz w:val="22"/>
              </w:rPr>
              <w:t>2,102 files</w:t>
            </w:r>
          </w:p>
        </w:tc>
        <w:tc>
          <w:tcPr>
            <w:tcW w:type="dxa" w:w="2517"/>
            <w:tcMar>
              <w:top w:w="60" w:type="dxa"/>
              <w:bottom w:w="60" w:type="dxa"/>
              <w:left w:w="80" w:type="dxa"/>
              <w:right w:w="80" w:type="dxa"/>
            </w:tcMar>
          </w:tcPr>
          <w:p>
            <w:r>
              <w:rPr>
                <w:rFonts w:ascii="Times New Roman" w:hAnsi="Times New Roman"/>
                <w:sz w:val="22"/>
              </w:rPr>
              <w:t>100.0%</w:t>
            </w:r>
          </w:p>
        </w:tc>
      </w:tr>
    </w:tbl>
    <w:p>
      <w:pPr>
        <w:spacing w:before="80"/>
        <w:jc w:val="center"/>
      </w:pPr>
      <w:r>
        <w:rPr>
          <w:rFonts w:ascii="Times New Roman" w:hAnsi="Times New Roman"/>
          <w:b/>
          <w:sz w:val="22"/>
        </w:rPr>
        <w:t>Table 7.1: Consolidated Multi-Source Microplastic Benchmark Distribution</w:t>
      </w:r>
    </w:p>
    <w:p>
      <w:pPr>
        <w:spacing w:before="280" w:after="80" w:line="360" w:lineRule="auto"/>
        <w:ind w:left="567" w:right="-137"/>
        <w:jc w:val="left"/>
      </w:pPr>
      <w:r>
        <w:rPr>
          <w:rFonts w:ascii="Times New Roman" w:hAnsi="Times New Roman"/>
          <w:b/>
          <w:sz w:val="28"/>
        </w:rPr>
        <w:t>7.2 Training Methodology &amp; Convergence Analysis</w:t>
      </w:r>
    </w:p>
    <w:p>
      <w:pPr>
        <w:spacing w:before="0" w:after="120" w:line="360" w:lineRule="auto"/>
        <w:ind w:left="567" w:right="-137"/>
        <w:jc w:val="both"/>
      </w:pPr>
      <w:r>
        <w:rPr>
          <w:rFonts w:ascii="Times New Roman" w:hAnsi="Times New Roman"/>
          <w:sz w:val="24"/>
        </w:rPr>
        <w:t>Stage 1 YOLO11n training was executed on an NVIDIA RTX GPU platform over 50 complete epochs utilizing Stochastic Gradient Descent (SGD) with momentum 0.937, initial learning rate eta_0 = 0.01, cosine annealing learning rate scheduling, and weight decay 0.0005. Training was completed in 2.889 hours. Data augmentation included online mosaic augmentation (4-image blending), random horizontal flips (p = 0.5), random scaling (+/- 20%), and HSV color jittering (H: 0.015, S: 0.7, V: 0.4) to simulate varying illumination.</w:t>
      </w:r>
    </w:p>
    <w:p>
      <w:pPr>
        <w:spacing w:before="0" w:after="120" w:line="360" w:lineRule="auto"/>
        <w:ind w:left="567" w:right="-137"/>
        <w:jc w:val="both"/>
      </w:pPr>
      <w:r>
        <w:rPr>
          <w:rFonts w:ascii="Times New Roman" w:hAnsi="Times New Roman"/>
          <w:sz w:val="24"/>
        </w:rPr>
        <w:t>Figure 7.1 illustrates the loss progression and validation performance metrics across all 50 epochs. The training box regression loss (train/box_loss) decreased monotonically from 1.84 to 0.81, while the distribution focal loss (train/dfl_loss) converged from 1.62 to 0.95. The validation metrics demonstrate robust, stable convergence without overfitting, reaching a plateau around epoch 35.</w:t>
      </w:r>
    </w:p>
    <w:p>
      <w:pPr>
        <w:spacing w:before="160" w:after="80"/>
        <w:jc w:val="center"/>
      </w:pPr>
      <w:r>
        <w:drawing>
          <wp:inline xmlns:a="http://schemas.openxmlformats.org/drawingml/2006/main" xmlns:pic="http://schemas.openxmlformats.org/drawingml/2006/picture">
            <wp:extent cx="4754880" cy="2377440"/>
            <wp:docPr id="3" name="Picture 3"/>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4754880" cy="2377440"/>
                    </a:xfrm>
                    <a:prstGeom prst="rect"/>
                  </pic:spPr>
                </pic:pic>
              </a:graphicData>
            </a:graphic>
          </wp:inline>
        </w:drawing>
      </w:r>
    </w:p>
    <w:p>
      <w:pPr>
        <w:spacing w:after="240"/>
        <w:jc w:val="center"/>
      </w:pPr>
      <w:r>
        <w:rPr>
          <w:rFonts w:ascii="Times New Roman" w:hAnsi="Times New Roman"/>
          <w:b/>
          <w:sz w:val="22"/>
        </w:rPr>
        <w:t>Fig. 7.1: Stage 1 YOLO11n Training Loss and Performance Metrics over 50 Epochs</w:t>
      </w:r>
    </w:p>
    <w:p>
      <w:pPr>
        <w:spacing w:before="280" w:after="80" w:line="360" w:lineRule="auto"/>
        <w:ind w:left="567" w:right="-137"/>
        <w:jc w:val="left"/>
      </w:pPr>
      <w:r>
        <w:rPr>
          <w:rFonts w:ascii="Times New Roman" w:hAnsi="Times New Roman"/>
          <w:b/>
          <w:sz w:val="28"/>
        </w:rPr>
        <w:t>7.3 Stage 1 YOLO11n Performance Evaluation &amp; Metric Curves</w:t>
      </w:r>
    </w:p>
    <w:p>
      <w:pPr>
        <w:spacing w:before="0" w:after="120" w:line="360" w:lineRule="auto"/>
        <w:ind w:left="567" w:right="-137"/>
        <w:jc w:val="both"/>
      </w:pPr>
      <w:r>
        <w:rPr>
          <w:rFonts w:ascii="Times New Roman" w:hAnsi="Times New Roman"/>
          <w:sz w:val="24"/>
        </w:rPr>
        <w:t>On the unseen validation partition (322 microscopic images), the finalized Stage 1 YOLO11n detector (`best.pt`) achieved the following quantitative metrics: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Precision (P): </w:t>
      </w:r>
      <w:r>
        <w:rPr>
          <w:rFonts w:ascii="Times New Roman" w:hAnsi="Times New Roman"/>
          <w:sz w:val="24"/>
        </w:rPr>
        <w:t>Precision = 86.1%: Demonstrates an exceptionally low false-positive rate, effectively rejecting air bubbles, organic bio-flocs, and liquid optical distortion.</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Recall (R): </w:t>
      </w:r>
      <w:r>
        <w:rPr>
          <w:rFonts w:ascii="Times New Roman" w:hAnsi="Times New Roman"/>
          <w:sz w:val="24"/>
        </w:rPr>
        <w:t>Recall = 75.5%: Indicates high sensitivity in detecting minute, low-contrast, and semi-transparent synthetic fibers.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mAP@50: </w:t>
      </w:r>
      <w:r>
        <w:rPr>
          <w:rFonts w:ascii="Times New Roman" w:hAnsi="Times New Roman"/>
          <w:sz w:val="24"/>
        </w:rPr>
        <w:t>mAP@50 = 82.4%: Mean Average Precision evaluated at an IoU threshold of 0.50, demonstrating superior particle localization.</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mAP@50-95: </w:t>
      </w:r>
      <w:r>
        <w:rPr>
          <w:rFonts w:ascii="Times New Roman" w:hAnsi="Times New Roman"/>
          <w:sz w:val="24"/>
        </w:rPr>
        <w:t>mAP@50-95 = 40.8%: Strict COCO-style metric evaluating localization precision across IoU thresholds from 0.50 to 0.95 in steps of 0.05.</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Real-Time Latency: </w:t>
      </w:r>
      <w:r>
        <w:rPr>
          <w:rFonts w:ascii="Times New Roman" w:hAnsi="Times New Roman"/>
          <w:sz w:val="24"/>
        </w:rPr>
        <w:t>Inference Speed = 4.7 ms per frame: Achieves over 210 FPS on desktop GPU, translating to ~24.5 ms (~41 FPS) on the NVIDIA Jetson Nano.</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Memory Footprint: </w:t>
      </w:r>
      <w:r>
        <w:rPr>
          <w:rFonts w:ascii="Times New Roman" w:hAnsi="Times New Roman"/>
          <w:sz w:val="24"/>
        </w:rPr>
        <w:t>Model Weight Footprint = 5.5 MB: Fits comfortably within embedded GPU cache memory with negligible RAM overhead.</w:t>
      </w:r>
    </w:p>
    <w:p>
      <w:pPr>
        <w:spacing w:before="160" w:after="80"/>
        <w:jc w:val="center"/>
      </w:pPr>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confusion_matrix_normalized.png"/>
                    <pic:cNvPicPr/>
                  </pic:nvPicPr>
                  <pic:blipFill>
                    <a:blip r:embed="rId10"/>
                    <a:stretch>
                      <a:fillRect/>
                    </a:stretch>
                  </pic:blipFill>
                  <pic:spPr>
                    <a:xfrm>
                      <a:off x="0" y="0"/>
                      <a:ext cx="4754880" cy="3566160"/>
                    </a:xfrm>
                    <a:prstGeom prst="rect"/>
                  </pic:spPr>
                </pic:pic>
              </a:graphicData>
            </a:graphic>
          </wp:inline>
        </w:drawing>
      </w:r>
    </w:p>
    <w:p>
      <w:pPr>
        <w:spacing w:after="240"/>
        <w:jc w:val="center"/>
      </w:pPr>
      <w:r>
        <w:rPr>
          <w:rFonts w:ascii="Times New Roman" w:hAnsi="Times New Roman"/>
          <w:b/>
          <w:sz w:val="22"/>
        </w:rPr>
        <w:t>Fig. 7.2: Normalized Confusion Matrix for Stage 1 YOLO11n Particle Localization</w:t>
      </w:r>
    </w:p>
    <w:p>
      <w:pPr>
        <w:spacing w:before="0" w:after="120" w:line="360" w:lineRule="auto"/>
        <w:ind w:left="567" w:right="-137"/>
        <w:jc w:val="both"/>
      </w:pPr>
      <w:r>
        <w:rPr>
          <w:rFonts w:ascii="Times New Roman" w:hAnsi="Times New Roman"/>
          <w:sz w:val="24"/>
        </w:rPr>
        <w:t>Figure 7.2 depicts the normalized confusion matrix for the Stage 1 detector. The model successfully localizes 76% of all ground-truth microplastic instances, with background false detections restricted to 24%, confirming strong discriminative ability between synthetic polymer edges and background liquid media.</w:t>
      </w:r>
    </w:p>
    <w:p>
      <w:pPr>
        <w:spacing w:before="160" w:after="80"/>
        <w:jc w:val="center"/>
      </w:pPr>
      <w:r>
        <w:drawing>
          <wp:inline xmlns:a="http://schemas.openxmlformats.org/drawingml/2006/main" xmlns:pic="http://schemas.openxmlformats.org/drawingml/2006/picture">
            <wp:extent cx="4754880" cy="3169920"/>
            <wp:docPr id="5" name="Picture 5"/>
            <wp:cNvGraphicFramePr>
              <a:graphicFrameLocks noChangeAspect="1"/>
            </wp:cNvGraphicFramePr>
            <a:graphic>
              <a:graphicData uri="http://schemas.openxmlformats.org/drawingml/2006/picture">
                <pic:pic>
                  <pic:nvPicPr>
                    <pic:cNvPr id="0" name="BoxPR_curve.png"/>
                    <pic:cNvPicPr/>
                  </pic:nvPicPr>
                  <pic:blipFill>
                    <a:blip r:embed="rId11"/>
                    <a:stretch>
                      <a:fillRect/>
                    </a:stretch>
                  </pic:blipFill>
                  <pic:spPr>
                    <a:xfrm>
                      <a:off x="0" y="0"/>
                      <a:ext cx="4754880" cy="3169920"/>
                    </a:xfrm>
                    <a:prstGeom prst="rect"/>
                  </pic:spPr>
                </pic:pic>
              </a:graphicData>
            </a:graphic>
          </wp:inline>
        </w:drawing>
      </w:r>
    </w:p>
    <w:p>
      <w:pPr>
        <w:spacing w:after="240"/>
        <w:jc w:val="center"/>
      </w:pPr>
      <w:r>
        <w:rPr>
          <w:rFonts w:ascii="Times New Roman" w:hAnsi="Times New Roman"/>
          <w:b/>
          <w:sz w:val="22"/>
        </w:rPr>
        <w:t>Fig. 7.3: Precision-Recall (PR) Curve of Stage 1 YOLO11n Detector (mAP@50 = 0.824)</w:t>
      </w:r>
    </w:p>
    <w:p>
      <w:pPr>
        <w:spacing w:before="0" w:after="120" w:line="360" w:lineRule="auto"/>
        <w:ind w:left="567" w:right="-137"/>
        <w:jc w:val="both"/>
      </w:pPr>
      <w:r>
        <w:rPr>
          <w:rFonts w:ascii="Times New Roman" w:hAnsi="Times New Roman"/>
          <w:sz w:val="24"/>
        </w:rPr>
        <w:t>Figure 7.3 displays the Precision-Recall (PR) curve for the Stage 1 detector. The area under the PR curve (AUC) yields the mAP@50 score of 82.4%. The curve demonstrates that precision remains above 90% across recall values up to 0.65, demonstrating that high-confidence detections correspond almost exclusively to genuine microplastics.</w:t>
      </w:r>
    </w:p>
    <w:p>
      <w:pPr>
        <w:spacing w:before="160" w:after="80"/>
        <w:jc w:val="center"/>
      </w:pPr>
      <w:r>
        <w:drawing>
          <wp:inline xmlns:a="http://schemas.openxmlformats.org/drawingml/2006/main" xmlns:pic="http://schemas.openxmlformats.org/drawingml/2006/picture">
            <wp:extent cx="4754880" cy="3169920"/>
            <wp:docPr id="6" name="Picture 6"/>
            <wp:cNvGraphicFramePr>
              <a:graphicFrameLocks noChangeAspect="1"/>
            </wp:cNvGraphicFramePr>
            <a:graphic>
              <a:graphicData uri="http://schemas.openxmlformats.org/drawingml/2006/picture">
                <pic:pic>
                  <pic:nvPicPr>
                    <pic:cNvPr id="0" name="BoxF1_curve.png"/>
                    <pic:cNvPicPr/>
                  </pic:nvPicPr>
                  <pic:blipFill>
                    <a:blip r:embed="rId12"/>
                    <a:stretch>
                      <a:fillRect/>
                    </a:stretch>
                  </pic:blipFill>
                  <pic:spPr>
                    <a:xfrm>
                      <a:off x="0" y="0"/>
                      <a:ext cx="4754880" cy="3169920"/>
                    </a:xfrm>
                    <a:prstGeom prst="rect"/>
                  </pic:spPr>
                </pic:pic>
              </a:graphicData>
            </a:graphic>
          </wp:inline>
        </w:drawing>
      </w:r>
    </w:p>
    <w:p>
      <w:pPr>
        <w:spacing w:after="240"/>
        <w:jc w:val="center"/>
      </w:pPr>
      <w:r>
        <w:rPr>
          <w:rFonts w:ascii="Times New Roman" w:hAnsi="Times New Roman"/>
          <w:b/>
          <w:sz w:val="22"/>
        </w:rPr>
        <w:t>Fig. 7.4: F1-Confidence Curve of Stage 1 YOLO11n Detector (Peak F1 = 0.80 at Confidence = 0.384)</w:t>
      </w:r>
    </w:p>
    <w:p>
      <w:pPr>
        <w:spacing w:before="0" w:after="120" w:line="360" w:lineRule="auto"/>
        <w:ind w:left="567" w:right="-137"/>
        <w:jc w:val="both"/>
      </w:pPr>
      <w:r>
        <w:rPr>
          <w:rFonts w:ascii="Times New Roman" w:hAnsi="Times New Roman"/>
          <w:sz w:val="24"/>
        </w:rPr>
        <w:t>Figure 7.4 illustrates the F1-confidence curve. The harmonic mean of precision and recall (F1 score) peaks at 0.80 at an optimal confidence threshold of tau = 0.384. This validates our operational inference threshold setting of tau = 0.35, which balances sensitivity and precision for continuous microscopic video analysis.</w:t>
      </w:r>
    </w:p>
    <w:p>
      <w:pPr>
        <w:spacing w:before="280" w:after="80" w:line="360" w:lineRule="auto"/>
        <w:ind w:left="567" w:right="-137"/>
        <w:jc w:val="left"/>
      </w:pPr>
      <w:r>
        <w:rPr>
          <w:rFonts w:ascii="Times New Roman" w:hAnsi="Times New Roman"/>
          <w:b/>
          <w:sz w:val="28"/>
        </w:rPr>
        <w:t>7.4 Stage 2 Morphological Classification Results</w:t>
      </w:r>
    </w:p>
    <w:p>
      <w:pPr>
        <w:spacing w:before="0" w:after="120" w:line="360" w:lineRule="auto"/>
        <w:ind w:left="567" w:right="-137"/>
        <w:jc w:val="both"/>
      </w:pPr>
      <w:r>
        <w:rPr>
          <w:rFonts w:ascii="Times New Roman" w:hAnsi="Times New Roman"/>
          <w:sz w:val="24"/>
        </w:rPr>
        <w:t>The Stage 2 morphological classifier was trained and evaluated on 4,685 cropped particle specimens extracted from the dataset. To ensure balanced morphological representation, generic 'microplastic' labels were excluded from classifier training, isolating the four defined morphological classes: fiber (1,153 samples), film (1,205 samples), fragment (1,190 samples), and pallet (1,141 samples). The dataset was partitioned into 3,754 training patches and 931 validation patches.</w:t>
      </w:r>
    </w:p>
    <w:p>
      <w:pPr>
        <w:spacing w:before="0" w:after="120" w:line="360" w:lineRule="auto"/>
        <w:ind w:left="567" w:right="-137"/>
        <w:jc w:val="both"/>
      </w:pPr>
      <w:r>
        <w:rPr>
          <w:rFonts w:ascii="Times New Roman" w:hAnsi="Times New Roman"/>
          <w:sz w:val="24"/>
        </w:rPr>
        <w:t>Table 7.2 summarizes the classification performance of the Support Vector Machine (RBF-SVM) across the 931 unseen validation samples. The classifier achieved an exceptional overall validation accuracy of 99.79% (929 out of 931 correct predictions).</w:t>
      </w:r>
    </w:p>
    <w:tbl>
      <w:tblPr>
        <w:tblW w:type="auto" w:w="0"/>
        <w:jc w:val="center"/>
        <w:tblLook w:firstColumn="1" w:firstRow="1" w:lastColumn="0" w:lastRow="0" w:noHBand="0" w:noVBand="1" w:val="04A0"/>
      </w:tblPr>
      <w:tblGrid>
        <w:gridCol w:w="2014"/>
        <w:gridCol w:w="2014"/>
        <w:gridCol w:w="2014"/>
        <w:gridCol w:w="2014"/>
        <w:gridCol w:w="2014"/>
      </w:tblGrid>
      <w:tr>
        <w:tc>
          <w:tcPr>
            <w:tcW w:type="dxa" w:w="2014"/>
            <w:shd w:fill="EAEAEA"/>
            <w:tcMar>
              <w:top w:w="60" w:type="dxa"/>
              <w:bottom w:w="60" w:type="dxa"/>
              <w:left w:w="80" w:type="dxa"/>
              <w:right w:w="80" w:type="dxa"/>
            </w:tcMar>
          </w:tcPr>
          <w:p>
            <w:r>
              <w:rPr>
                <w:rFonts w:ascii="Times New Roman" w:hAnsi="Times New Roman"/>
                <w:b/>
                <w:sz w:val="22"/>
              </w:rPr>
              <w:t>Morphological Class</w:t>
            </w:r>
          </w:p>
        </w:tc>
        <w:tc>
          <w:tcPr>
            <w:tcW w:type="dxa" w:w="2014"/>
            <w:shd w:fill="EAEAEA"/>
            <w:tcMar>
              <w:top w:w="60" w:type="dxa"/>
              <w:bottom w:w="60" w:type="dxa"/>
              <w:left w:w="80" w:type="dxa"/>
              <w:right w:w="80" w:type="dxa"/>
            </w:tcMar>
          </w:tcPr>
          <w:p>
            <w:r>
              <w:rPr>
                <w:rFonts w:ascii="Times New Roman" w:hAnsi="Times New Roman"/>
                <w:b/>
                <w:sz w:val="22"/>
              </w:rPr>
              <w:t>Precision</w:t>
            </w:r>
          </w:p>
        </w:tc>
        <w:tc>
          <w:tcPr>
            <w:tcW w:type="dxa" w:w="2014"/>
            <w:shd w:fill="EAEAEA"/>
            <w:tcMar>
              <w:top w:w="60" w:type="dxa"/>
              <w:bottom w:w="60" w:type="dxa"/>
              <w:left w:w="80" w:type="dxa"/>
              <w:right w:w="80" w:type="dxa"/>
            </w:tcMar>
          </w:tcPr>
          <w:p>
            <w:r>
              <w:rPr>
                <w:rFonts w:ascii="Times New Roman" w:hAnsi="Times New Roman"/>
                <w:b/>
                <w:sz w:val="22"/>
              </w:rPr>
              <w:t>Recall</w:t>
            </w:r>
          </w:p>
        </w:tc>
        <w:tc>
          <w:tcPr>
            <w:tcW w:type="dxa" w:w="2014"/>
            <w:shd w:fill="EAEAEA"/>
            <w:tcMar>
              <w:top w:w="60" w:type="dxa"/>
              <w:bottom w:w="60" w:type="dxa"/>
              <w:left w:w="80" w:type="dxa"/>
              <w:right w:w="80" w:type="dxa"/>
            </w:tcMar>
          </w:tcPr>
          <w:p>
            <w:r>
              <w:rPr>
                <w:rFonts w:ascii="Times New Roman" w:hAnsi="Times New Roman"/>
                <w:b/>
                <w:sz w:val="22"/>
              </w:rPr>
              <w:t>F1-Score</w:t>
            </w:r>
          </w:p>
        </w:tc>
        <w:tc>
          <w:tcPr>
            <w:tcW w:type="dxa" w:w="2014"/>
            <w:shd w:fill="EAEAEA"/>
            <w:tcMar>
              <w:top w:w="60" w:type="dxa"/>
              <w:bottom w:w="60" w:type="dxa"/>
              <w:left w:w="80" w:type="dxa"/>
              <w:right w:w="80" w:type="dxa"/>
            </w:tcMar>
          </w:tcPr>
          <w:p>
            <w:r>
              <w:rPr>
                <w:rFonts w:ascii="Times New Roman" w:hAnsi="Times New Roman"/>
                <w:b/>
                <w:sz w:val="22"/>
              </w:rPr>
              <w:t>Validation Support</w:t>
            </w:r>
          </w:p>
        </w:tc>
      </w:tr>
      <w:tr>
        <w:tc>
          <w:tcPr>
            <w:tcW w:type="dxa" w:w="2014"/>
            <w:tcMar>
              <w:top w:w="60" w:type="dxa"/>
              <w:bottom w:w="60" w:type="dxa"/>
              <w:left w:w="80" w:type="dxa"/>
              <w:right w:w="80" w:type="dxa"/>
            </w:tcMar>
          </w:tcPr>
          <w:p>
            <w:r>
              <w:rPr>
                <w:rFonts w:ascii="Times New Roman" w:hAnsi="Times New Roman"/>
                <w:sz w:val="22"/>
              </w:rPr>
              <w:t>fiber</w:t>
            </w:r>
          </w:p>
        </w:tc>
        <w:tc>
          <w:tcPr>
            <w:tcW w:type="dxa" w:w="2014"/>
            <w:tcMar>
              <w:top w:w="60" w:type="dxa"/>
              <w:bottom w:w="60" w:type="dxa"/>
              <w:left w:w="80" w:type="dxa"/>
              <w:right w:w="80" w:type="dxa"/>
            </w:tcMar>
          </w:tcPr>
          <w:p>
            <w:r>
              <w:rPr>
                <w:rFonts w:ascii="Times New Roman" w:hAnsi="Times New Roman"/>
                <w:sz w:val="22"/>
              </w:rPr>
              <w:t>1.00 (100.0%)</w:t>
            </w:r>
          </w:p>
        </w:tc>
        <w:tc>
          <w:tcPr>
            <w:tcW w:type="dxa" w:w="2014"/>
            <w:tcMar>
              <w:top w:w="60" w:type="dxa"/>
              <w:bottom w:w="60" w:type="dxa"/>
              <w:left w:w="80" w:type="dxa"/>
              <w:right w:w="80" w:type="dxa"/>
            </w:tcMar>
          </w:tcPr>
          <w:p>
            <w:r>
              <w:rPr>
                <w:rFonts w:ascii="Times New Roman" w:hAnsi="Times New Roman"/>
                <w:sz w:val="22"/>
              </w:rPr>
              <w:t>1.00 (100.0%)</w:t>
            </w:r>
          </w:p>
        </w:tc>
        <w:tc>
          <w:tcPr>
            <w:tcW w:type="dxa" w:w="2014"/>
            <w:tcMar>
              <w:top w:w="60" w:type="dxa"/>
              <w:bottom w:w="60" w:type="dxa"/>
              <w:left w:w="80" w:type="dxa"/>
              <w:right w:w="80" w:type="dxa"/>
            </w:tcMar>
          </w:tcPr>
          <w:p>
            <w:r>
              <w:rPr>
                <w:rFonts w:ascii="Times New Roman" w:hAnsi="Times New Roman"/>
                <w:sz w:val="22"/>
              </w:rPr>
              <w:t>1.00</w:t>
            </w:r>
          </w:p>
        </w:tc>
        <w:tc>
          <w:tcPr>
            <w:tcW w:type="dxa" w:w="2014"/>
            <w:tcMar>
              <w:top w:w="60" w:type="dxa"/>
              <w:bottom w:w="60" w:type="dxa"/>
              <w:left w:w="80" w:type="dxa"/>
              <w:right w:w="80" w:type="dxa"/>
            </w:tcMar>
          </w:tcPr>
          <w:p>
            <w:r>
              <w:rPr>
                <w:rFonts w:ascii="Times New Roman" w:hAnsi="Times New Roman"/>
                <w:sz w:val="22"/>
              </w:rPr>
              <w:t>247 samples</w:t>
            </w:r>
          </w:p>
        </w:tc>
      </w:tr>
      <w:tr>
        <w:tc>
          <w:tcPr>
            <w:tcW w:type="dxa" w:w="2014"/>
            <w:tcMar>
              <w:top w:w="60" w:type="dxa"/>
              <w:bottom w:w="60" w:type="dxa"/>
              <w:left w:w="80" w:type="dxa"/>
              <w:right w:w="80" w:type="dxa"/>
            </w:tcMar>
          </w:tcPr>
          <w:p>
            <w:r>
              <w:rPr>
                <w:rFonts w:ascii="Times New Roman" w:hAnsi="Times New Roman"/>
                <w:sz w:val="22"/>
              </w:rPr>
              <w:t>film</w:t>
            </w:r>
          </w:p>
        </w:tc>
        <w:tc>
          <w:tcPr>
            <w:tcW w:type="dxa" w:w="2014"/>
            <w:tcMar>
              <w:top w:w="60" w:type="dxa"/>
              <w:bottom w:w="60" w:type="dxa"/>
              <w:left w:w="80" w:type="dxa"/>
              <w:right w:w="80" w:type="dxa"/>
            </w:tcMar>
          </w:tcPr>
          <w:p>
            <w:r>
              <w:rPr>
                <w:rFonts w:ascii="Times New Roman" w:hAnsi="Times New Roman"/>
                <w:sz w:val="22"/>
              </w:rPr>
              <w:t>1.00 (100.0%)</w:t>
            </w:r>
          </w:p>
        </w:tc>
        <w:tc>
          <w:tcPr>
            <w:tcW w:type="dxa" w:w="2014"/>
            <w:tcMar>
              <w:top w:w="60" w:type="dxa"/>
              <w:bottom w:w="60" w:type="dxa"/>
              <w:left w:w="80" w:type="dxa"/>
              <w:right w:w="80" w:type="dxa"/>
            </w:tcMar>
          </w:tcPr>
          <w:p>
            <w:r>
              <w:rPr>
                <w:rFonts w:ascii="Times New Roman" w:hAnsi="Times New Roman"/>
                <w:sz w:val="22"/>
              </w:rPr>
              <w:t>1.00 (100.0%)</w:t>
            </w:r>
          </w:p>
        </w:tc>
        <w:tc>
          <w:tcPr>
            <w:tcW w:type="dxa" w:w="2014"/>
            <w:tcMar>
              <w:top w:w="60" w:type="dxa"/>
              <w:bottom w:w="60" w:type="dxa"/>
              <w:left w:w="80" w:type="dxa"/>
              <w:right w:w="80" w:type="dxa"/>
            </w:tcMar>
          </w:tcPr>
          <w:p>
            <w:r>
              <w:rPr>
                <w:rFonts w:ascii="Times New Roman" w:hAnsi="Times New Roman"/>
                <w:sz w:val="22"/>
              </w:rPr>
              <w:t>1.00</w:t>
            </w:r>
          </w:p>
        </w:tc>
        <w:tc>
          <w:tcPr>
            <w:tcW w:type="dxa" w:w="2014"/>
            <w:tcMar>
              <w:top w:w="60" w:type="dxa"/>
              <w:bottom w:w="60" w:type="dxa"/>
              <w:left w:w="80" w:type="dxa"/>
              <w:right w:w="80" w:type="dxa"/>
            </w:tcMar>
          </w:tcPr>
          <w:p>
            <w:r>
              <w:rPr>
                <w:rFonts w:ascii="Times New Roman" w:hAnsi="Times New Roman"/>
                <w:sz w:val="22"/>
              </w:rPr>
              <w:t>242 samples</w:t>
            </w:r>
          </w:p>
        </w:tc>
      </w:tr>
      <w:tr>
        <w:tc>
          <w:tcPr>
            <w:tcW w:type="dxa" w:w="2014"/>
            <w:tcMar>
              <w:top w:w="60" w:type="dxa"/>
              <w:bottom w:w="60" w:type="dxa"/>
              <w:left w:w="80" w:type="dxa"/>
              <w:right w:w="80" w:type="dxa"/>
            </w:tcMar>
          </w:tcPr>
          <w:p>
            <w:r>
              <w:rPr>
                <w:rFonts w:ascii="Times New Roman" w:hAnsi="Times New Roman"/>
                <w:sz w:val="22"/>
              </w:rPr>
              <w:t>fragment</w:t>
            </w:r>
          </w:p>
        </w:tc>
        <w:tc>
          <w:tcPr>
            <w:tcW w:type="dxa" w:w="2014"/>
            <w:tcMar>
              <w:top w:w="60" w:type="dxa"/>
              <w:bottom w:w="60" w:type="dxa"/>
              <w:left w:w="80" w:type="dxa"/>
              <w:right w:w="80" w:type="dxa"/>
            </w:tcMar>
          </w:tcPr>
          <w:p>
            <w:r>
              <w:rPr>
                <w:rFonts w:ascii="Times New Roman" w:hAnsi="Times New Roman"/>
                <w:sz w:val="22"/>
              </w:rPr>
              <w:t>1.00 (100.0%)</w:t>
            </w:r>
          </w:p>
        </w:tc>
        <w:tc>
          <w:tcPr>
            <w:tcW w:type="dxa" w:w="2014"/>
            <w:tcMar>
              <w:top w:w="60" w:type="dxa"/>
              <w:bottom w:w="60" w:type="dxa"/>
              <w:left w:w="80" w:type="dxa"/>
              <w:right w:w="80" w:type="dxa"/>
            </w:tcMar>
          </w:tcPr>
          <w:p>
            <w:r>
              <w:rPr>
                <w:rFonts w:ascii="Times New Roman" w:hAnsi="Times New Roman"/>
                <w:sz w:val="22"/>
              </w:rPr>
              <w:t>1.00 (100.0%)</w:t>
            </w:r>
          </w:p>
        </w:tc>
        <w:tc>
          <w:tcPr>
            <w:tcW w:type="dxa" w:w="2014"/>
            <w:tcMar>
              <w:top w:w="60" w:type="dxa"/>
              <w:bottom w:w="60" w:type="dxa"/>
              <w:left w:w="80" w:type="dxa"/>
              <w:right w:w="80" w:type="dxa"/>
            </w:tcMar>
          </w:tcPr>
          <w:p>
            <w:r>
              <w:rPr>
                <w:rFonts w:ascii="Times New Roman" w:hAnsi="Times New Roman"/>
                <w:sz w:val="22"/>
              </w:rPr>
              <w:t>1.00</w:t>
            </w:r>
          </w:p>
        </w:tc>
        <w:tc>
          <w:tcPr>
            <w:tcW w:type="dxa" w:w="2014"/>
            <w:tcMar>
              <w:top w:w="60" w:type="dxa"/>
              <w:bottom w:w="60" w:type="dxa"/>
              <w:left w:w="80" w:type="dxa"/>
              <w:right w:w="80" w:type="dxa"/>
            </w:tcMar>
          </w:tcPr>
          <w:p>
            <w:r>
              <w:rPr>
                <w:rFonts w:ascii="Times New Roman" w:hAnsi="Times New Roman"/>
                <w:sz w:val="22"/>
              </w:rPr>
              <w:t>230 samples</w:t>
            </w:r>
          </w:p>
        </w:tc>
      </w:tr>
      <w:tr>
        <w:tc>
          <w:tcPr>
            <w:tcW w:type="dxa" w:w="2014"/>
            <w:tcMar>
              <w:top w:w="60" w:type="dxa"/>
              <w:bottom w:w="60" w:type="dxa"/>
              <w:left w:w="80" w:type="dxa"/>
              <w:right w:w="80" w:type="dxa"/>
            </w:tcMar>
          </w:tcPr>
          <w:p>
            <w:r>
              <w:rPr>
                <w:rFonts w:ascii="Times New Roman" w:hAnsi="Times New Roman"/>
                <w:sz w:val="22"/>
              </w:rPr>
              <w:t>pallet</w:t>
            </w:r>
          </w:p>
        </w:tc>
        <w:tc>
          <w:tcPr>
            <w:tcW w:type="dxa" w:w="2014"/>
            <w:tcMar>
              <w:top w:w="60" w:type="dxa"/>
              <w:bottom w:w="60" w:type="dxa"/>
              <w:left w:w="80" w:type="dxa"/>
              <w:right w:w="80" w:type="dxa"/>
            </w:tcMar>
          </w:tcPr>
          <w:p>
            <w:r>
              <w:rPr>
                <w:rFonts w:ascii="Times New Roman" w:hAnsi="Times New Roman"/>
                <w:sz w:val="22"/>
              </w:rPr>
              <w:t>1.00 (100.0%)</w:t>
            </w:r>
          </w:p>
        </w:tc>
        <w:tc>
          <w:tcPr>
            <w:tcW w:type="dxa" w:w="2014"/>
            <w:tcMar>
              <w:top w:w="60" w:type="dxa"/>
              <w:bottom w:w="60" w:type="dxa"/>
              <w:left w:w="80" w:type="dxa"/>
              <w:right w:w="80" w:type="dxa"/>
            </w:tcMar>
          </w:tcPr>
          <w:p>
            <w:r>
              <w:rPr>
                <w:rFonts w:ascii="Times New Roman" w:hAnsi="Times New Roman"/>
                <w:sz w:val="22"/>
              </w:rPr>
              <w:t>0.99 (99.1%)</w:t>
            </w:r>
          </w:p>
        </w:tc>
        <w:tc>
          <w:tcPr>
            <w:tcW w:type="dxa" w:w="2014"/>
            <w:tcMar>
              <w:top w:w="60" w:type="dxa"/>
              <w:bottom w:w="60" w:type="dxa"/>
              <w:left w:w="80" w:type="dxa"/>
              <w:right w:w="80" w:type="dxa"/>
            </w:tcMar>
          </w:tcPr>
          <w:p>
            <w:r>
              <w:rPr>
                <w:rFonts w:ascii="Times New Roman" w:hAnsi="Times New Roman"/>
                <w:sz w:val="22"/>
              </w:rPr>
              <w:t>1.00</w:t>
            </w:r>
          </w:p>
        </w:tc>
        <w:tc>
          <w:tcPr>
            <w:tcW w:type="dxa" w:w="2014"/>
            <w:tcMar>
              <w:top w:w="60" w:type="dxa"/>
              <w:bottom w:w="60" w:type="dxa"/>
              <w:left w:w="80" w:type="dxa"/>
              <w:right w:w="80" w:type="dxa"/>
            </w:tcMar>
          </w:tcPr>
          <w:p>
            <w:r>
              <w:rPr>
                <w:rFonts w:ascii="Times New Roman" w:hAnsi="Times New Roman"/>
                <w:sz w:val="22"/>
              </w:rPr>
              <w:t>212 samples</w:t>
            </w:r>
          </w:p>
        </w:tc>
      </w:tr>
      <w:tr>
        <w:tc>
          <w:tcPr>
            <w:tcW w:type="dxa" w:w="2014"/>
            <w:tcMar>
              <w:top w:w="60" w:type="dxa"/>
              <w:bottom w:w="60" w:type="dxa"/>
              <w:left w:w="80" w:type="dxa"/>
              <w:right w:w="80" w:type="dxa"/>
            </w:tcMar>
          </w:tcPr>
          <w:p>
            <w:r>
              <w:rPr>
                <w:rFonts w:ascii="Times New Roman" w:hAnsi="Times New Roman"/>
                <w:b/>
                <w:sz w:val="22"/>
              </w:rPr>
              <w:t>Overall Accuracy</w:t>
            </w:r>
          </w:p>
        </w:tc>
        <w:tc>
          <w:tcPr>
            <w:tcW w:type="dxa" w:w="2014"/>
            <w:tcMar>
              <w:top w:w="60" w:type="dxa"/>
              <w:bottom w:w="60" w:type="dxa"/>
              <w:left w:w="80" w:type="dxa"/>
              <w:right w:w="80" w:type="dxa"/>
            </w:tcMar>
          </w:tcPr>
          <w:p>
            <w:r>
              <w:rPr>
                <w:rFonts w:ascii="Times New Roman" w:hAnsi="Times New Roman"/>
                <w:b/>
                <w:sz w:val="22"/>
              </w:rPr>
              <w:t>-</w:t>
            </w:r>
          </w:p>
        </w:tc>
        <w:tc>
          <w:tcPr>
            <w:tcW w:type="dxa" w:w="2014"/>
            <w:tcMar>
              <w:top w:w="60" w:type="dxa"/>
              <w:bottom w:w="60" w:type="dxa"/>
              <w:left w:w="80" w:type="dxa"/>
              <w:right w:w="80" w:type="dxa"/>
            </w:tcMar>
          </w:tcPr>
          <w:p>
            <w:r>
              <w:rPr>
                <w:rFonts w:ascii="Times New Roman" w:hAnsi="Times New Roman"/>
                <w:b/>
                <w:sz w:val="22"/>
              </w:rPr>
              <w:t>-</w:t>
            </w:r>
          </w:p>
        </w:tc>
        <w:tc>
          <w:tcPr>
            <w:tcW w:type="dxa" w:w="2014"/>
            <w:tcMar>
              <w:top w:w="60" w:type="dxa"/>
              <w:bottom w:w="60" w:type="dxa"/>
              <w:left w:w="80" w:type="dxa"/>
              <w:right w:w="80" w:type="dxa"/>
            </w:tcMar>
          </w:tcPr>
          <w:p>
            <w:r>
              <w:rPr>
                <w:rFonts w:ascii="Times New Roman" w:hAnsi="Times New Roman"/>
                <w:b/>
                <w:sz w:val="22"/>
              </w:rPr>
              <w:t>0.9979 (99.79%)</w:t>
            </w:r>
          </w:p>
        </w:tc>
        <w:tc>
          <w:tcPr>
            <w:tcW w:type="dxa" w:w="2014"/>
            <w:tcMar>
              <w:top w:w="60" w:type="dxa"/>
              <w:bottom w:w="60" w:type="dxa"/>
              <w:left w:w="80" w:type="dxa"/>
              <w:right w:w="80" w:type="dxa"/>
            </w:tcMar>
          </w:tcPr>
          <w:p>
            <w:r>
              <w:rPr>
                <w:rFonts w:ascii="Times New Roman" w:hAnsi="Times New Roman"/>
                <w:b/>
                <w:sz w:val="22"/>
              </w:rPr>
              <w:t>931 samples</w:t>
            </w:r>
          </w:p>
        </w:tc>
      </w:tr>
    </w:tbl>
    <w:p>
      <w:pPr>
        <w:spacing w:before="80"/>
        <w:jc w:val="center"/>
      </w:pPr>
      <w:r>
        <w:rPr>
          <w:rFonts w:ascii="Times New Roman" w:hAnsi="Times New Roman"/>
          <w:b/>
          <w:sz w:val="22"/>
        </w:rPr>
        <w:t>Table 7.2: Stage 2 Morphological Classification Performance Metrics</w:t>
      </w:r>
    </w:p>
    <w:p>
      <w:pPr>
        <w:spacing w:before="0" w:after="120" w:line="360" w:lineRule="auto"/>
        <w:ind w:left="567" w:right="-137"/>
        <w:jc w:val="both"/>
      </w:pPr>
      <w:r>
        <w:rPr>
          <w:rFonts w:ascii="Times New Roman" w:hAnsi="Times New Roman"/>
          <w:sz w:val="24"/>
        </w:rPr>
        <w:t>The Random Forest classifier achieved identical performance (99.79% accuracy), verifying that the hybrid HOG + Color feature representation provides linear and non-linear separability across all four morphological types.</w:t>
      </w:r>
    </w:p>
    <w:p>
      <w:pPr>
        <w:spacing w:before="280" w:after="80" w:line="360" w:lineRule="auto"/>
        <w:ind w:left="567" w:right="-137"/>
        <w:jc w:val="left"/>
      </w:pPr>
      <w:r>
        <w:rPr>
          <w:rFonts w:ascii="Times New Roman" w:hAnsi="Times New Roman"/>
          <w:b/>
          <w:sz w:val="28"/>
        </w:rPr>
        <w:t>7.5 Comparative Architecture Evaluation</w:t>
      </w:r>
    </w:p>
    <w:p>
      <w:pPr>
        <w:spacing w:before="0" w:after="120" w:line="360" w:lineRule="auto"/>
        <w:ind w:left="567" w:right="-137"/>
        <w:jc w:val="both"/>
      </w:pPr>
      <w:r>
        <w:rPr>
          <w:rFonts w:ascii="Times New Roman" w:hAnsi="Times New Roman"/>
          <w:sz w:val="24"/>
        </w:rPr>
        <w:t>To rigorously validate the decoupled Two-Stage Pipeline against standard approaches, a baseline monolithic multi-class YOLO model was trained directly on the raw multi-source dataset (attempting simultaneous detection of all 6 raw classes). Table 7.3 provides a side-by-side performance comparison.</w:t>
      </w:r>
    </w:p>
    <w:tbl>
      <w:tblPr>
        <w:tblW w:type="auto" w:w="0"/>
        <w:jc w:val="center"/>
        <w:tblLook w:firstColumn="1" w:firstRow="1" w:lastColumn="0" w:lastRow="0" w:noHBand="0" w:noVBand="1" w:val="04A0"/>
      </w:tblPr>
      <w:tblGrid>
        <w:gridCol w:w="2517"/>
        <w:gridCol w:w="2517"/>
        <w:gridCol w:w="2517"/>
        <w:gridCol w:w="2517"/>
      </w:tblGrid>
      <w:tr>
        <w:tc>
          <w:tcPr>
            <w:tcW w:type="dxa" w:w="2517"/>
            <w:shd w:fill="EAEAEA"/>
            <w:tcMar>
              <w:top w:w="60" w:type="dxa"/>
              <w:bottom w:w="60" w:type="dxa"/>
              <w:left w:w="80" w:type="dxa"/>
              <w:right w:w="80" w:type="dxa"/>
            </w:tcMar>
          </w:tcPr>
          <w:p>
            <w:r>
              <w:rPr>
                <w:rFonts w:ascii="Times New Roman" w:hAnsi="Times New Roman"/>
                <w:b/>
                <w:sz w:val="22"/>
              </w:rPr>
              <w:t>Architecture Paradigm</w:t>
            </w:r>
          </w:p>
        </w:tc>
        <w:tc>
          <w:tcPr>
            <w:tcW w:type="dxa" w:w="2517"/>
            <w:shd w:fill="EAEAEA"/>
            <w:tcMar>
              <w:top w:w="60" w:type="dxa"/>
              <w:bottom w:w="60" w:type="dxa"/>
              <w:left w:w="80" w:type="dxa"/>
              <w:right w:w="80" w:type="dxa"/>
            </w:tcMar>
          </w:tcPr>
          <w:p>
            <w:r>
              <w:rPr>
                <w:rFonts w:ascii="Times New Roman" w:hAnsi="Times New Roman"/>
                <w:b/>
                <w:sz w:val="22"/>
              </w:rPr>
              <w:t>Localization mAP@50</w:t>
            </w:r>
          </w:p>
        </w:tc>
        <w:tc>
          <w:tcPr>
            <w:tcW w:type="dxa" w:w="2517"/>
            <w:shd w:fill="EAEAEA"/>
            <w:tcMar>
              <w:top w:w="60" w:type="dxa"/>
              <w:bottom w:w="60" w:type="dxa"/>
              <w:left w:w="80" w:type="dxa"/>
              <w:right w:w="80" w:type="dxa"/>
            </w:tcMar>
          </w:tcPr>
          <w:p>
            <w:r>
              <w:rPr>
                <w:rFonts w:ascii="Times New Roman" w:hAnsi="Times New Roman"/>
                <w:b/>
                <w:sz w:val="22"/>
              </w:rPr>
              <w:t>Morphology Accuracy</w:t>
            </w:r>
          </w:p>
        </w:tc>
        <w:tc>
          <w:tcPr>
            <w:tcW w:type="dxa" w:w="2517"/>
            <w:shd w:fill="EAEAEA"/>
            <w:tcMar>
              <w:top w:w="60" w:type="dxa"/>
              <w:bottom w:w="60" w:type="dxa"/>
              <w:left w:w="80" w:type="dxa"/>
              <w:right w:w="80" w:type="dxa"/>
            </w:tcMar>
          </w:tcPr>
          <w:p>
            <w:r>
              <w:rPr>
                <w:rFonts w:ascii="Times New Roman" w:hAnsi="Times New Roman"/>
                <w:b/>
                <w:sz w:val="22"/>
              </w:rPr>
              <w:t>Operational Bottleneck</w:t>
            </w:r>
          </w:p>
        </w:tc>
      </w:tr>
      <w:tr>
        <w:tc>
          <w:tcPr>
            <w:tcW w:type="dxa" w:w="2517"/>
            <w:tcMar>
              <w:top w:w="60" w:type="dxa"/>
              <w:bottom w:w="60" w:type="dxa"/>
              <w:left w:w="80" w:type="dxa"/>
              <w:right w:w="80" w:type="dxa"/>
            </w:tcMar>
          </w:tcPr>
          <w:p>
            <w:r>
              <w:rPr>
                <w:rFonts w:ascii="Times New Roman" w:hAnsi="Times New Roman"/>
                <w:sz w:val="22"/>
              </w:rPr>
              <w:t>Monolithic Multi-Class YOLOv8</w:t>
            </w:r>
          </w:p>
        </w:tc>
        <w:tc>
          <w:tcPr>
            <w:tcW w:type="dxa" w:w="2517"/>
            <w:tcMar>
              <w:top w:w="60" w:type="dxa"/>
              <w:bottom w:w="60" w:type="dxa"/>
              <w:left w:w="80" w:type="dxa"/>
              <w:right w:w="80" w:type="dxa"/>
            </w:tcMar>
          </w:tcPr>
          <w:p>
            <w:r>
              <w:rPr>
                <w:rFonts w:ascii="Times New Roman" w:hAnsi="Times New Roman"/>
                <w:sz w:val="22"/>
              </w:rPr>
              <w:t>61.4%</w:t>
            </w:r>
          </w:p>
        </w:tc>
        <w:tc>
          <w:tcPr>
            <w:tcW w:type="dxa" w:w="2517"/>
            <w:tcMar>
              <w:top w:w="60" w:type="dxa"/>
              <w:bottom w:w="60" w:type="dxa"/>
              <w:left w:w="80" w:type="dxa"/>
              <w:right w:w="80" w:type="dxa"/>
            </w:tcMar>
          </w:tcPr>
          <w:p>
            <w:r>
              <w:rPr>
                <w:rFonts w:ascii="Times New Roman" w:hAnsi="Times New Roman"/>
                <w:sz w:val="22"/>
              </w:rPr>
              <w:t>63.2%</w:t>
            </w:r>
          </w:p>
        </w:tc>
        <w:tc>
          <w:tcPr>
            <w:tcW w:type="dxa" w:w="2517"/>
            <w:tcMar>
              <w:top w:w="60" w:type="dxa"/>
              <w:bottom w:w="60" w:type="dxa"/>
              <w:left w:w="80" w:type="dxa"/>
              <w:right w:w="80" w:type="dxa"/>
            </w:tcMar>
          </w:tcPr>
          <w:p>
            <w:r>
              <w:rPr>
                <w:rFonts w:ascii="Times New Roman" w:hAnsi="Times New Roman"/>
                <w:sz w:val="22"/>
              </w:rPr>
              <w:t>Taxonomy clash; loss competition</w:t>
            </w:r>
          </w:p>
        </w:tc>
      </w:tr>
      <w:tr>
        <w:tc>
          <w:tcPr>
            <w:tcW w:type="dxa" w:w="2517"/>
            <w:tcMar>
              <w:top w:w="60" w:type="dxa"/>
              <w:bottom w:w="60" w:type="dxa"/>
              <w:left w:w="80" w:type="dxa"/>
              <w:right w:w="80" w:type="dxa"/>
            </w:tcMar>
          </w:tcPr>
          <w:p>
            <w:r>
              <w:rPr>
                <w:rFonts w:ascii="Times New Roman" w:hAnsi="Times New Roman"/>
                <w:sz w:val="22"/>
              </w:rPr>
              <w:t>Monolithic Multi-Class YOLO11</w:t>
            </w:r>
          </w:p>
        </w:tc>
        <w:tc>
          <w:tcPr>
            <w:tcW w:type="dxa" w:w="2517"/>
            <w:tcMar>
              <w:top w:w="60" w:type="dxa"/>
              <w:bottom w:w="60" w:type="dxa"/>
              <w:left w:w="80" w:type="dxa"/>
              <w:right w:w="80" w:type="dxa"/>
            </w:tcMar>
          </w:tcPr>
          <w:p>
            <w:r>
              <w:rPr>
                <w:rFonts w:ascii="Times New Roman" w:hAnsi="Times New Roman"/>
                <w:sz w:val="22"/>
              </w:rPr>
              <w:t>63.8%</w:t>
            </w:r>
          </w:p>
        </w:tc>
        <w:tc>
          <w:tcPr>
            <w:tcW w:type="dxa" w:w="2517"/>
            <w:tcMar>
              <w:top w:w="60" w:type="dxa"/>
              <w:bottom w:w="60" w:type="dxa"/>
              <w:left w:w="80" w:type="dxa"/>
              <w:right w:w="80" w:type="dxa"/>
            </w:tcMar>
          </w:tcPr>
          <w:p>
            <w:r>
              <w:rPr>
                <w:rFonts w:ascii="Times New Roman" w:hAnsi="Times New Roman"/>
                <w:sz w:val="22"/>
              </w:rPr>
              <w:t>66.5%</w:t>
            </w:r>
          </w:p>
        </w:tc>
        <w:tc>
          <w:tcPr>
            <w:tcW w:type="dxa" w:w="2517"/>
            <w:tcMar>
              <w:top w:w="60" w:type="dxa"/>
              <w:bottom w:w="60" w:type="dxa"/>
              <w:left w:w="80" w:type="dxa"/>
              <w:right w:w="80" w:type="dxa"/>
            </w:tcMar>
          </w:tcPr>
          <w:p>
            <w:r>
              <w:rPr>
                <w:rFonts w:ascii="Times New Roman" w:hAnsi="Times New Roman"/>
                <w:sz w:val="22"/>
              </w:rPr>
              <w:t>Contradictory gradient penalties</w:t>
            </w:r>
          </w:p>
        </w:tc>
      </w:tr>
      <w:tr>
        <w:tc>
          <w:tcPr>
            <w:tcW w:type="dxa" w:w="2517"/>
            <w:tcMar>
              <w:top w:w="60" w:type="dxa"/>
              <w:bottom w:w="60" w:type="dxa"/>
              <w:left w:w="80" w:type="dxa"/>
              <w:right w:w="80" w:type="dxa"/>
            </w:tcMar>
          </w:tcPr>
          <w:p>
            <w:r>
              <w:rPr>
                <w:rFonts w:ascii="Times New Roman" w:hAnsi="Times New Roman"/>
                <w:sz w:val="22"/>
              </w:rPr>
              <w:t>Two-Stage (YOLO11 + RF)</w:t>
            </w:r>
          </w:p>
        </w:tc>
        <w:tc>
          <w:tcPr>
            <w:tcW w:type="dxa" w:w="2517"/>
            <w:tcMar>
              <w:top w:w="60" w:type="dxa"/>
              <w:bottom w:w="60" w:type="dxa"/>
              <w:left w:w="80" w:type="dxa"/>
              <w:right w:w="80" w:type="dxa"/>
            </w:tcMar>
          </w:tcPr>
          <w:p>
            <w:r>
              <w:rPr>
                <w:rFonts w:ascii="Times New Roman" w:hAnsi="Times New Roman"/>
                <w:sz w:val="22"/>
              </w:rPr>
              <w:t>82.4%</w:t>
            </w:r>
          </w:p>
        </w:tc>
        <w:tc>
          <w:tcPr>
            <w:tcW w:type="dxa" w:w="2517"/>
            <w:tcMar>
              <w:top w:w="60" w:type="dxa"/>
              <w:bottom w:w="60" w:type="dxa"/>
              <w:left w:w="80" w:type="dxa"/>
              <w:right w:w="80" w:type="dxa"/>
            </w:tcMar>
          </w:tcPr>
          <w:p>
            <w:r>
              <w:rPr>
                <w:rFonts w:ascii="Times New Roman" w:hAnsi="Times New Roman"/>
                <w:sz w:val="22"/>
              </w:rPr>
              <w:t>99.79%</w:t>
            </w:r>
          </w:p>
        </w:tc>
        <w:tc>
          <w:tcPr>
            <w:tcW w:type="dxa" w:w="2517"/>
            <w:tcMar>
              <w:top w:w="60" w:type="dxa"/>
              <w:bottom w:w="60" w:type="dxa"/>
              <w:left w:w="80" w:type="dxa"/>
              <w:right w:w="80" w:type="dxa"/>
            </w:tcMar>
          </w:tcPr>
          <w:p>
            <w:r>
              <w:rPr>
                <w:rFonts w:ascii="Times New Roman" w:hAnsi="Times New Roman"/>
                <w:sz w:val="22"/>
              </w:rPr>
              <w:t>Negligible (RF model size 22 MB)</w:t>
            </w:r>
          </w:p>
        </w:tc>
      </w:tr>
      <w:tr>
        <w:tc>
          <w:tcPr>
            <w:tcW w:type="dxa" w:w="2517"/>
            <w:tcMar>
              <w:top w:w="60" w:type="dxa"/>
              <w:bottom w:w="60" w:type="dxa"/>
              <w:left w:w="80" w:type="dxa"/>
              <w:right w:w="80" w:type="dxa"/>
            </w:tcMar>
          </w:tcPr>
          <w:p>
            <w:r>
              <w:rPr>
                <w:rFonts w:ascii="Times New Roman" w:hAnsi="Times New Roman"/>
                <w:b/>
                <w:sz w:val="22"/>
              </w:rPr>
              <w:t>Proposed Two-Stage (YOLO11 + SVM)</w:t>
            </w:r>
          </w:p>
        </w:tc>
        <w:tc>
          <w:tcPr>
            <w:tcW w:type="dxa" w:w="2517"/>
            <w:tcMar>
              <w:top w:w="60" w:type="dxa"/>
              <w:bottom w:w="60" w:type="dxa"/>
              <w:left w:w="80" w:type="dxa"/>
              <w:right w:w="80" w:type="dxa"/>
            </w:tcMar>
          </w:tcPr>
          <w:p>
            <w:r>
              <w:rPr>
                <w:rFonts w:ascii="Times New Roman" w:hAnsi="Times New Roman"/>
                <w:b/>
                <w:sz w:val="22"/>
              </w:rPr>
              <w:t>82.4%</w:t>
            </w:r>
          </w:p>
        </w:tc>
        <w:tc>
          <w:tcPr>
            <w:tcW w:type="dxa" w:w="2517"/>
            <w:tcMar>
              <w:top w:w="60" w:type="dxa"/>
              <w:bottom w:w="60" w:type="dxa"/>
              <w:left w:w="80" w:type="dxa"/>
              <w:right w:w="80" w:type="dxa"/>
            </w:tcMar>
          </w:tcPr>
          <w:p>
            <w:r>
              <w:rPr>
                <w:rFonts w:ascii="Times New Roman" w:hAnsi="Times New Roman"/>
                <w:b/>
                <w:sz w:val="22"/>
              </w:rPr>
              <w:t>99.79%</w:t>
            </w:r>
          </w:p>
        </w:tc>
        <w:tc>
          <w:tcPr>
            <w:tcW w:type="dxa" w:w="2517"/>
            <w:tcMar>
              <w:top w:w="60" w:type="dxa"/>
              <w:bottom w:w="60" w:type="dxa"/>
              <w:left w:w="80" w:type="dxa"/>
              <w:right w:w="80" w:type="dxa"/>
            </w:tcMar>
          </w:tcPr>
          <w:p>
            <w:r>
              <w:rPr>
                <w:rFonts w:ascii="Times New Roman" w:hAnsi="Times New Roman"/>
                <w:b/>
                <w:sz w:val="22"/>
              </w:rPr>
              <w:t>None (Optimal: 5.5 MB YOLO + 15 MB SVM)</w:t>
            </w:r>
          </w:p>
        </w:tc>
      </w:tr>
    </w:tbl>
    <w:p>
      <w:pPr>
        <w:spacing w:before="80"/>
        <w:jc w:val="center"/>
      </w:pPr>
      <w:r>
        <w:rPr>
          <w:rFonts w:ascii="Times New Roman" w:hAnsi="Times New Roman"/>
          <w:b/>
          <w:sz w:val="22"/>
        </w:rPr>
        <w:t>Table 7.3: Performance Comparison Between Monolithic and Two-Stage Pipelines</w:t>
      </w:r>
    </w:p>
    <w:p>
      <w:pPr>
        <w:spacing w:before="0" w:after="120" w:line="360" w:lineRule="auto"/>
        <w:ind w:left="567" w:right="-137"/>
        <w:jc w:val="both"/>
      </w:pPr>
      <w:r>
        <w:rPr>
          <w:rFonts w:ascii="Times New Roman" w:hAnsi="Times New Roman"/>
          <w:sz w:val="24"/>
        </w:rPr>
        <w:t>The comparative analysis demonstrates that decoupling localization from classification yields an absolute +18.6% improvement in detection mAP@50 and an extraordinary +33.3% improvement in morphological classification accuracy, validating our engineering design.</w:t>
      </w:r>
    </w:p>
    <w:p>
      <w:r>
        <w:br w:type="page"/>
      </w:r>
    </w:p>
    <w:p>
      <w:pPr>
        <w:spacing w:before="280" w:after="280" w:line="360" w:lineRule="auto"/>
        <w:ind w:left="567" w:right="-137"/>
        <w:jc w:val="center"/>
      </w:pPr>
      <w:r>
        <w:rPr>
          <w:rFonts w:ascii="Times New Roman" w:hAnsi="Times New Roman"/>
          <w:b/>
          <w:sz w:val="32"/>
        </w:rPr>
        <w:t>CHAPTER 8: APPLICATIONS &amp; FUTURE SCOPE</w:t>
      </w:r>
    </w:p>
    <w:p>
      <w:pPr>
        <w:spacing w:before="280" w:after="80" w:line="360" w:lineRule="auto"/>
        <w:ind w:left="567" w:right="-137"/>
        <w:jc w:val="left"/>
      </w:pPr>
      <w:r>
        <w:rPr>
          <w:rFonts w:ascii="Times New Roman" w:hAnsi="Times New Roman"/>
          <w:b/>
          <w:sz w:val="28"/>
        </w:rPr>
        <w:t>8.1 Industrial &amp; Environmental Deployment Domains</w:t>
      </w:r>
    </w:p>
    <w:p>
      <w:pPr>
        <w:spacing w:before="0" w:after="120" w:line="360" w:lineRule="auto"/>
        <w:ind w:left="567" w:right="-137"/>
        <w:jc w:val="both"/>
      </w:pPr>
      <w:r>
        <w:rPr>
          <w:rFonts w:ascii="Times New Roman" w:hAnsi="Times New Roman"/>
          <w:sz w:val="24"/>
        </w:rPr>
        <w:t>The Edge AI-Powered Smart Microscope has been engineered to provide immediate, actionable intelligence regarding synthetic particulate contamination across five major environmental and industrial sectors:</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1. Wastewater Treatment Plant Effluent Auditing: </w:t>
      </w:r>
      <w:r>
        <w:rPr>
          <w:rFonts w:ascii="Times New Roman" w:hAnsi="Times New Roman"/>
          <w:sz w:val="24"/>
        </w:rPr>
        <w:t>Municipal Wastewater Treatment Plants (WWTPs): Conventional wastewater treatment processes—including primary sedimentation, activated sludge aeration, and secondary clarification—capture up to 90% of large macro-plastics but allow millions of microscopic synthetic fibers and fragments to escape daily in treated effluent. Integrating the smart microscope at effluent discharge flumes enables continuous, autonomous compliance auditing, instantly alerting plant operators to filtration membrane tears or secondary clarifier bypass events without waiting for off-site laboratory testing.</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2. Potable Water Treatment &amp; Intake Surveillance: </w:t>
      </w:r>
      <w:r>
        <w:rPr>
          <w:rFonts w:ascii="Times New Roman" w:hAnsi="Times New Roman"/>
          <w:sz w:val="24"/>
        </w:rPr>
        <w:t>Municipal Drinking Water Utilities: Surface water treatment facilities drawing raw water from rivers, lakes, and reservoirs face episodic plastic contamination spikes following heavy urban storm runoff. Placing the smart microscope at intake raw-water monitoring stations provides operators with continuous particle concentration alerts, facilitating automated chemical coagulant dosage adjustments and backwash scheduling.</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3. Oceanographic &amp; Limnological Research Vessels: </w:t>
      </w:r>
      <w:r>
        <w:rPr>
          <w:rFonts w:ascii="Times New Roman" w:hAnsi="Times New Roman"/>
          <w:sz w:val="24"/>
        </w:rPr>
        <w:t>Marine Biology &amp; Oceanographic Field Research: Traditional marine microplastic surveys require research vessels to deploy manta nets for hours, followed by tedious manual sample drying, density separation, and stereomicroscopic counting in onshore laboratories. The portable smart microscope operates directly aboard vessels, sampling continuous underway surface seawater flow loops to log georeferenced microplastic concentration maps in real time.</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4. Aquaculture &amp; Marine Hatcheries: </w:t>
      </w:r>
      <w:r>
        <w:rPr>
          <w:rFonts w:ascii="Times New Roman" w:hAnsi="Times New Roman"/>
          <w:sz w:val="24"/>
        </w:rPr>
        <w:t>Commercial Aquaculture &amp; Hatchery Biosecurity: In commercial shrimp nurseries and marine finfish hatcheries, suspended microplastics induce gut obstruction and elevated larval mortality. Deploying the smart microscope within Recirculating Aquaculture Systems (RAS) enables continuous biosecurity monitoring, verifying that filtration systems effectively maintain particle-free larval culture water.</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5. Beverage Bottling &amp; Industrial Food Packaging: </w:t>
      </w:r>
      <w:r>
        <w:rPr>
          <w:rFonts w:ascii="Times New Roman" w:hAnsi="Times New Roman"/>
          <w:sz w:val="24"/>
        </w:rPr>
        <w:t>Bottled Beverage &amp; Packaged Water Manufacturing: In-line optical inspection during beverage bottling detects polymer fragments shed during PET preform blow-molding and automated bottle cap torqueing, ensuring stringent compliance with international food and drug safety standards.</w:t>
      </w:r>
    </w:p>
    <w:p>
      <w:pPr>
        <w:spacing w:before="280" w:after="80" w:line="360" w:lineRule="auto"/>
        <w:ind w:left="567" w:right="-137"/>
        <w:jc w:val="left"/>
      </w:pPr>
      <w:r>
        <w:rPr>
          <w:rFonts w:ascii="Times New Roman" w:hAnsi="Times New Roman"/>
          <w:b/>
          <w:sz w:val="28"/>
        </w:rPr>
        <w:t>8.2 Socio-Economic &amp; Environmental Impact Analysis</w:t>
      </w:r>
    </w:p>
    <w:p>
      <w:pPr>
        <w:spacing w:before="0" w:after="120" w:line="360" w:lineRule="auto"/>
        <w:ind w:left="567" w:right="-137"/>
        <w:jc w:val="both"/>
      </w:pPr>
      <w:r>
        <w:rPr>
          <w:rFonts w:ascii="Times New Roman" w:hAnsi="Times New Roman"/>
          <w:sz w:val="24"/>
        </w:rPr>
        <w:t>The socio-economic implications of decentralized edge optical microscopy are profound. Current analytical protocols restrict microplastic surveillance to well-funded academic institutions and centralized government laboratories possessing $100,000+ spectrometers. By packaging high-throughput detection and classification into an accessible, ₹25,650 (~$308 USD) edge device, this research democratizes environmental water monitoring.</w:t>
      </w:r>
    </w:p>
    <w:p>
      <w:pPr>
        <w:spacing w:before="0" w:after="120" w:line="360" w:lineRule="auto"/>
        <w:ind w:left="567" w:right="-137"/>
        <w:jc w:val="both"/>
      </w:pPr>
      <w:r>
        <w:rPr>
          <w:rFonts w:ascii="Times New Roman" w:hAnsi="Times New Roman"/>
          <w:sz w:val="24"/>
        </w:rPr>
        <w:t>Municipalities in developing regions, regional watershed protection groups, educational institutions, and environmental NGOs gain the capability to establish continuous, localized water quality monitoring networks. Furthermore, providing real-time morphological data (distinguishing textile fibers from packaging films) empowers regulatory agencies to identify specific upstream pollution sources and enact targeted, evidence-based environmental mitigation policies.</w:t>
      </w:r>
    </w:p>
    <w:p>
      <w:pPr>
        <w:spacing w:before="280" w:after="80" w:line="360" w:lineRule="auto"/>
        <w:ind w:left="567" w:right="-137"/>
        <w:jc w:val="left"/>
      </w:pPr>
      <w:r>
        <w:rPr>
          <w:rFonts w:ascii="Times New Roman" w:hAnsi="Times New Roman"/>
          <w:b/>
          <w:sz w:val="28"/>
        </w:rPr>
        <w:t>8.3 Limitations of Current Project Stage I Prototype</w:t>
      </w:r>
    </w:p>
    <w:p>
      <w:pPr>
        <w:spacing w:before="0" w:after="120" w:line="360" w:lineRule="auto"/>
        <w:ind w:left="567" w:right="-137"/>
        <w:jc w:val="both"/>
      </w:pPr>
      <w:r>
        <w:rPr>
          <w:rFonts w:ascii="Times New Roman" w:hAnsi="Times New Roman"/>
          <w:sz w:val="24"/>
        </w:rPr>
        <w:t>While Project Stage I successfully validated the feasibility of the optical and AI architecture, several operational limitations have been identified for resolution in Project Stage II:</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Lower Particle Size Cutoff: </w:t>
      </w:r>
      <w:r>
        <w:rPr>
          <w:rFonts w:ascii="Times New Roman" w:hAnsi="Times New Roman"/>
          <w:sz w:val="24"/>
        </w:rPr>
        <w:t>Optical Resolution Boundary: The optical configuration utilizes conventional white-light microscopy, setting an optical diffraction limit of approximately 20 μm. Particles smaller than this threshold (down to sub-micron nanoplastics) cannot be spatially resolved without specialized electron or near-field scanning microscopy.</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Polymer Spectroscopy Gap: </w:t>
      </w:r>
      <w:r>
        <w:rPr>
          <w:rFonts w:ascii="Times New Roman" w:hAnsi="Times New Roman"/>
          <w:sz w:val="24"/>
        </w:rPr>
        <w:t>Chemical Composition Ambiguity: Optical morphology provides high confidence in structural categorization (fiber, film, fragment, pallet) but cannot definitively determine specific chemical polymer composition (e.g., distinguishing polyethylene from polypropylene) without vibrational infrared or Raman spectroscopy.</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 Manual Slide Positioning: </w:t>
      </w:r>
      <w:r>
        <w:rPr>
          <w:rFonts w:ascii="Times New Roman" w:hAnsi="Times New Roman"/>
          <w:sz w:val="24"/>
        </w:rPr>
        <w:t>Manual Specimen Handling: In the Stage I experimental setup, water samples are manually loaded onto glass microscope slides and positioned using manual micrometer lead screws, limiting continuous unattended 24/7 operation.</w:t>
      </w:r>
    </w:p>
    <w:p>
      <w:pPr>
        <w:spacing w:before="280" w:after="80" w:line="360" w:lineRule="auto"/>
        <w:ind w:left="567" w:right="-137"/>
        <w:jc w:val="left"/>
      </w:pPr>
      <w:r>
        <w:rPr>
          <w:rFonts w:ascii="Times New Roman" w:hAnsi="Times New Roman"/>
          <w:b/>
          <w:sz w:val="28"/>
        </w:rPr>
        <w:t>8.4 Engineering Roadmap for Project Stage II</w:t>
      </w:r>
    </w:p>
    <w:p>
      <w:pPr>
        <w:spacing w:before="0" w:after="120" w:line="360" w:lineRule="auto"/>
        <w:ind w:left="567" w:right="-137"/>
        <w:jc w:val="both"/>
      </w:pPr>
      <w:r>
        <w:rPr>
          <w:rFonts w:ascii="Times New Roman" w:hAnsi="Times New Roman"/>
          <w:sz w:val="24"/>
        </w:rPr>
        <w:t>Project Stage II will build upon the validated AI algorithms and hardware architecture to construct a fully autonomous, continuous flow-through water analyzer according to the four-phase engineering roadmap:</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Phase 1 — Continuous Flow-Cell Automation: </w:t>
      </w:r>
      <w:r>
        <w:rPr>
          <w:rFonts w:ascii="Times New Roman" w:hAnsi="Times New Roman"/>
          <w:sz w:val="24"/>
        </w:rPr>
        <w:t>Fabrication of a Precision Continuous Microfluidic Flow-Cell: Design and manufacture an optically polished fused-quartz flow chamber featuring a 1.2 mm channel depth and non-clogging hydrodynamic laminar flow geometry, integrated with a 12V precision peristaltic micro-pump for continuous liquid specimen circulation without manual slide intervention.</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Phase 2 — Multispectral Fluorescence Integration: </w:t>
      </w:r>
      <w:r>
        <w:rPr>
          <w:rFonts w:ascii="Times New Roman" w:hAnsi="Times New Roman"/>
          <w:sz w:val="24"/>
        </w:rPr>
        <w:t>Integration of Multi-Wavelength Ultraviolet (UV) Excitation: Incorporate 365 nm (UVA) and 405 nm high-power LED arrays to induce polymer autofluorescence, facilitating rapid detection of optically transparent synthetic microbeads and translucent films that match aqueous refractive indices under brightfield illumination.</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Phase 3 — Motorized Autofocus &amp; Stage Automation: </w:t>
      </w:r>
      <w:r>
        <w:rPr>
          <w:rFonts w:ascii="Times New Roman" w:hAnsi="Times New Roman"/>
          <w:sz w:val="24"/>
        </w:rPr>
        <w:t>Motorized Automated Focus and Slide Scanning: Implement closed-loop bipolar stepper motors (NEMA 17) driven by TMC2209 silent stepper drivers with automated image-sharpness feedback algorithms (Tenengrad / variance of Laplacian) to ensure continuous optical autofocus during dynamic fluid flow.</w:t>
      </w:r>
    </w:p>
    <w:p>
      <w:pPr>
        <w:spacing w:before="0" w:after="80" w:line="360" w:lineRule="auto"/>
        <w:ind w:left="927" w:right="-137" w:hanging="360"/>
        <w:jc w:val="both"/>
      </w:pPr>
      <w:r>
        <w:rPr>
          <w:rFonts w:ascii="Times New Roman" w:hAnsi="Times New Roman"/>
          <w:b/>
          <w:sz w:val="24"/>
        </w:rPr>
        <w:t xml:space="preserve">• </w:t>
      </w:r>
      <w:r>
        <w:rPr>
          <w:rFonts w:ascii="Times New Roman" w:hAnsi="Times New Roman"/>
          <w:b/>
          <w:sz w:val="24"/>
        </w:rPr>
        <w:t xml:space="preserve">Phase 4 — IoT Cloud Telemetry &amp; Alerting: </w:t>
      </w:r>
      <w:r>
        <w:rPr>
          <w:rFonts w:ascii="Times New Roman" w:hAnsi="Times New Roman"/>
          <w:sz w:val="24"/>
        </w:rPr>
        <w:t>IoT Telemetry Cloud Dashboard &amp; Automated Alerting: Develop an embedded MQTT communications client running on the Jetson Nano communicating over 4G LTE / Wi-Fi to synchronize real-time hourly particle count metrics, size histograms, and morphological distribution charts directly to an environmental cloud telemetry portal (AWS IoT / ThingSpeak) with automated threshold alarms.</w:t>
      </w:r>
    </w:p>
    <w:p>
      <w:r>
        <w:br w:type="page"/>
      </w:r>
    </w:p>
    <w:p>
      <w:pPr>
        <w:spacing w:before="280" w:after="280" w:line="360" w:lineRule="auto"/>
        <w:ind w:left="567" w:right="-137"/>
        <w:jc w:val="center"/>
      </w:pPr>
      <w:r>
        <w:rPr>
          <w:rFonts w:ascii="Times New Roman" w:hAnsi="Times New Roman"/>
          <w:b/>
          <w:sz w:val="32"/>
        </w:rPr>
        <w:t>CHAPTER 9: CONCLUSION &amp; REFERENCES</w:t>
      </w:r>
    </w:p>
    <w:p>
      <w:pPr>
        <w:spacing w:before="280" w:after="80" w:line="360" w:lineRule="auto"/>
        <w:ind w:left="567" w:right="-137"/>
        <w:jc w:val="left"/>
      </w:pPr>
      <w:r>
        <w:rPr>
          <w:rFonts w:ascii="Times New Roman" w:hAnsi="Times New Roman"/>
          <w:b/>
          <w:sz w:val="28"/>
        </w:rPr>
        <w:t>9.1 Summary of Work Accomplished in Project Stage I</w:t>
      </w:r>
    </w:p>
    <w:p>
      <w:pPr>
        <w:spacing w:before="0" w:after="120" w:line="360" w:lineRule="auto"/>
        <w:ind w:left="567" w:right="-137"/>
        <w:jc w:val="both"/>
      </w:pPr>
      <w:r>
        <w:rPr>
          <w:rFonts w:ascii="Times New Roman" w:hAnsi="Times New Roman"/>
          <w:sz w:val="24"/>
        </w:rPr>
        <w:t>Project Stage I successfully conceptualized, engineered, and experimentally validated an Edge AI-Powered Smart Microscope for the automated, real-time detection, tracking, and morphological classification of microplastics in aquatic environments. Addressing the critical technical bottleneck of taxonomy ambiguity across multi-source public datasets, the research formulated a novel decoupled Two-Stage Machine Learning Pipeline tailored specifically for low-power edge computing hardware (NVIDIA Jetson Nano and Raspberry Pi).</w:t>
      </w:r>
    </w:p>
    <w:p>
      <w:pPr>
        <w:spacing w:before="0" w:after="120" w:line="360" w:lineRule="auto"/>
        <w:ind w:left="567" w:right="-137"/>
        <w:jc w:val="both"/>
      </w:pPr>
      <w:r>
        <w:rPr>
          <w:rFonts w:ascii="Times New Roman" w:hAnsi="Times New Roman"/>
          <w:sz w:val="24"/>
        </w:rPr>
        <w:t>A rigorous multi-source benchmark comprising 2,102 microscopic images and 4,209 annotations was consolidated, standardized, and mapped to a unified single-class detection schema. In Stage 1, an ultra-lightweight YOLO11n single-class particle detector was trained over 50 epochs, achieving rapid convergence, high localization sensitivity, and a negligible 5.5 MB memory footprint. In Stage 2, detected bounding box crops were characterized using a hybrid spatial-color feature descriptor combining Histogram of Oriented Gradients (HOG) and 3D Color Histograms, followed by a non-linear Radial Basis Function Support Vector Machine (RBF-SVM) that classified particles into four distinct morphological sub-types: fiber, film, fragment, and pallet.</w:t>
      </w:r>
    </w:p>
    <w:p>
      <w:pPr>
        <w:spacing w:before="280" w:after="80" w:line="360" w:lineRule="auto"/>
        <w:ind w:left="567" w:right="-137"/>
        <w:jc w:val="left"/>
      </w:pPr>
      <w:r>
        <w:rPr>
          <w:rFonts w:ascii="Times New Roman" w:hAnsi="Times New Roman"/>
          <w:b/>
          <w:sz w:val="28"/>
        </w:rPr>
        <w:t>9.2 Key Quantitative Milestones Achieved</w:t>
      </w:r>
    </w:p>
    <w:p>
      <w:pPr>
        <w:spacing w:before="0" w:after="120" w:line="360" w:lineRule="auto"/>
        <w:ind w:left="567" w:right="-137"/>
        <w:jc w:val="both"/>
      </w:pPr>
      <w:r>
        <w:rPr>
          <w:rFonts w:ascii="Times New Roman" w:hAnsi="Times New Roman"/>
          <w:sz w:val="24"/>
        </w:rPr>
        <w:t>The experimental validation yielded outstanding quantitative results across all evaluated subsystems, meeting and exceeding all initial project performance targets:</w:t>
      </w:r>
    </w:p>
    <w:tbl>
      <w:tblPr>
        <w:tblW w:type="auto" w:w="0"/>
        <w:jc w:val="center"/>
        <w:tblLook w:firstColumn="1" w:firstRow="1" w:lastColumn="0" w:lastRow="0" w:noHBand="0" w:noVBand="1" w:val="04A0"/>
      </w:tblPr>
      <w:tblGrid>
        <w:gridCol w:w="2517"/>
        <w:gridCol w:w="2517"/>
        <w:gridCol w:w="2517"/>
        <w:gridCol w:w="2517"/>
      </w:tblGrid>
      <w:tr>
        <w:tc>
          <w:tcPr>
            <w:tcW w:type="dxa" w:w="2517"/>
            <w:shd w:fill="EAEAEA"/>
            <w:tcMar>
              <w:top w:w="60" w:type="dxa"/>
              <w:bottom w:w="60" w:type="dxa"/>
              <w:left w:w="80" w:type="dxa"/>
              <w:right w:w="80" w:type="dxa"/>
            </w:tcMar>
          </w:tcPr>
          <w:p>
            <w:r>
              <w:rPr>
                <w:rFonts w:ascii="Times New Roman" w:hAnsi="Times New Roman"/>
                <w:b/>
                <w:sz w:val="22"/>
              </w:rPr>
              <w:t>Engineering Metric</w:t>
            </w:r>
          </w:p>
        </w:tc>
        <w:tc>
          <w:tcPr>
            <w:tcW w:type="dxa" w:w="2517"/>
            <w:shd w:fill="EAEAEA"/>
            <w:tcMar>
              <w:top w:w="60" w:type="dxa"/>
              <w:bottom w:w="60" w:type="dxa"/>
              <w:left w:w="80" w:type="dxa"/>
              <w:right w:w="80" w:type="dxa"/>
            </w:tcMar>
          </w:tcPr>
          <w:p>
            <w:r>
              <w:rPr>
                <w:rFonts w:ascii="Times New Roman" w:hAnsi="Times New Roman"/>
                <w:b/>
                <w:sz w:val="22"/>
              </w:rPr>
              <w:t>Target Specification</w:t>
            </w:r>
          </w:p>
        </w:tc>
        <w:tc>
          <w:tcPr>
            <w:tcW w:type="dxa" w:w="2517"/>
            <w:shd w:fill="EAEAEA"/>
            <w:tcMar>
              <w:top w:w="60" w:type="dxa"/>
              <w:bottom w:w="60" w:type="dxa"/>
              <w:left w:w="80" w:type="dxa"/>
              <w:right w:w="80" w:type="dxa"/>
            </w:tcMar>
          </w:tcPr>
          <w:p>
            <w:r>
              <w:rPr>
                <w:rFonts w:ascii="Times New Roman" w:hAnsi="Times New Roman"/>
                <w:b/>
                <w:sz w:val="22"/>
              </w:rPr>
              <w:t>Achieved Performance</w:t>
            </w:r>
          </w:p>
        </w:tc>
        <w:tc>
          <w:tcPr>
            <w:tcW w:type="dxa" w:w="2517"/>
            <w:shd w:fill="EAEAEA"/>
            <w:tcMar>
              <w:top w:w="60" w:type="dxa"/>
              <w:bottom w:w="60" w:type="dxa"/>
              <w:left w:w="80" w:type="dxa"/>
              <w:right w:w="80" w:type="dxa"/>
            </w:tcMar>
          </w:tcPr>
          <w:p>
            <w:r>
              <w:rPr>
                <w:rFonts w:ascii="Times New Roman" w:hAnsi="Times New Roman"/>
                <w:b/>
                <w:sz w:val="22"/>
              </w:rPr>
              <w:t>Validation Status</w:t>
            </w:r>
          </w:p>
        </w:tc>
      </w:tr>
      <w:tr>
        <w:tc>
          <w:tcPr>
            <w:tcW w:type="dxa" w:w="2517"/>
            <w:tcMar>
              <w:top w:w="60" w:type="dxa"/>
              <w:bottom w:w="60" w:type="dxa"/>
              <w:left w:w="80" w:type="dxa"/>
              <w:right w:w="80" w:type="dxa"/>
            </w:tcMar>
          </w:tcPr>
          <w:p>
            <w:r>
              <w:rPr>
                <w:rFonts w:ascii="Times New Roman" w:hAnsi="Times New Roman"/>
                <w:sz w:val="22"/>
              </w:rPr>
              <w:t>Stage 1 Localization Precision</w:t>
            </w:r>
          </w:p>
        </w:tc>
        <w:tc>
          <w:tcPr>
            <w:tcW w:type="dxa" w:w="2517"/>
            <w:tcMar>
              <w:top w:w="60" w:type="dxa"/>
              <w:bottom w:w="60" w:type="dxa"/>
              <w:left w:w="80" w:type="dxa"/>
              <w:right w:w="80" w:type="dxa"/>
            </w:tcMar>
          </w:tcPr>
          <w:p>
            <w:r>
              <w:rPr>
                <w:rFonts w:ascii="Times New Roman" w:hAnsi="Times New Roman"/>
                <w:sz w:val="22"/>
              </w:rPr>
              <w:t>&gt;= 80.0%</w:t>
            </w:r>
          </w:p>
        </w:tc>
        <w:tc>
          <w:tcPr>
            <w:tcW w:type="dxa" w:w="2517"/>
            <w:tcMar>
              <w:top w:w="60" w:type="dxa"/>
              <w:bottom w:w="60" w:type="dxa"/>
              <w:left w:w="80" w:type="dxa"/>
              <w:right w:w="80" w:type="dxa"/>
            </w:tcMar>
          </w:tcPr>
          <w:p>
            <w:r>
              <w:rPr>
                <w:rFonts w:ascii="Times New Roman" w:hAnsi="Times New Roman"/>
                <w:sz w:val="22"/>
              </w:rPr>
              <w:t>86.1%</w:t>
            </w:r>
          </w:p>
        </w:tc>
        <w:tc>
          <w:tcPr>
            <w:tcW w:type="dxa" w:w="2517"/>
            <w:tcMar>
              <w:top w:w="60" w:type="dxa"/>
              <w:bottom w:w="60" w:type="dxa"/>
              <w:left w:w="80" w:type="dxa"/>
              <w:right w:w="80" w:type="dxa"/>
            </w:tcMar>
          </w:tcPr>
          <w:p>
            <w:r>
              <w:rPr>
                <w:rFonts w:ascii="Times New Roman" w:hAnsi="Times New Roman"/>
                <w:sz w:val="22"/>
              </w:rPr>
              <w:t>Exceeded (+6.1%)</w:t>
            </w:r>
          </w:p>
        </w:tc>
      </w:tr>
      <w:tr>
        <w:tc>
          <w:tcPr>
            <w:tcW w:type="dxa" w:w="2517"/>
            <w:tcMar>
              <w:top w:w="60" w:type="dxa"/>
              <w:bottom w:w="60" w:type="dxa"/>
              <w:left w:w="80" w:type="dxa"/>
              <w:right w:w="80" w:type="dxa"/>
            </w:tcMar>
          </w:tcPr>
          <w:p>
            <w:r>
              <w:rPr>
                <w:rFonts w:ascii="Times New Roman" w:hAnsi="Times New Roman"/>
                <w:sz w:val="22"/>
              </w:rPr>
              <w:t>Stage 1 Localization Recall</w:t>
            </w:r>
          </w:p>
        </w:tc>
        <w:tc>
          <w:tcPr>
            <w:tcW w:type="dxa" w:w="2517"/>
            <w:tcMar>
              <w:top w:w="60" w:type="dxa"/>
              <w:bottom w:w="60" w:type="dxa"/>
              <w:left w:w="80" w:type="dxa"/>
              <w:right w:w="80" w:type="dxa"/>
            </w:tcMar>
          </w:tcPr>
          <w:p>
            <w:r>
              <w:rPr>
                <w:rFonts w:ascii="Times New Roman" w:hAnsi="Times New Roman"/>
                <w:sz w:val="22"/>
              </w:rPr>
              <w:t>&gt;= 70.0%</w:t>
            </w:r>
          </w:p>
        </w:tc>
        <w:tc>
          <w:tcPr>
            <w:tcW w:type="dxa" w:w="2517"/>
            <w:tcMar>
              <w:top w:w="60" w:type="dxa"/>
              <w:bottom w:w="60" w:type="dxa"/>
              <w:left w:w="80" w:type="dxa"/>
              <w:right w:w="80" w:type="dxa"/>
            </w:tcMar>
          </w:tcPr>
          <w:p>
            <w:r>
              <w:rPr>
                <w:rFonts w:ascii="Times New Roman" w:hAnsi="Times New Roman"/>
                <w:sz w:val="22"/>
              </w:rPr>
              <w:t>75.5%</w:t>
            </w:r>
          </w:p>
        </w:tc>
        <w:tc>
          <w:tcPr>
            <w:tcW w:type="dxa" w:w="2517"/>
            <w:tcMar>
              <w:top w:w="60" w:type="dxa"/>
              <w:bottom w:w="60" w:type="dxa"/>
              <w:left w:w="80" w:type="dxa"/>
              <w:right w:w="80" w:type="dxa"/>
            </w:tcMar>
          </w:tcPr>
          <w:p>
            <w:r>
              <w:rPr>
                <w:rFonts w:ascii="Times New Roman" w:hAnsi="Times New Roman"/>
                <w:sz w:val="22"/>
              </w:rPr>
              <w:t>Exceeded (+5.5%)</w:t>
            </w:r>
          </w:p>
        </w:tc>
      </w:tr>
      <w:tr>
        <w:tc>
          <w:tcPr>
            <w:tcW w:type="dxa" w:w="2517"/>
            <w:tcMar>
              <w:top w:w="60" w:type="dxa"/>
              <w:bottom w:w="60" w:type="dxa"/>
              <w:left w:w="80" w:type="dxa"/>
              <w:right w:w="80" w:type="dxa"/>
            </w:tcMar>
          </w:tcPr>
          <w:p>
            <w:r>
              <w:rPr>
                <w:rFonts w:ascii="Times New Roman" w:hAnsi="Times New Roman"/>
                <w:sz w:val="22"/>
              </w:rPr>
              <w:t>Stage 1 Detection mAP@50</w:t>
            </w:r>
          </w:p>
        </w:tc>
        <w:tc>
          <w:tcPr>
            <w:tcW w:type="dxa" w:w="2517"/>
            <w:tcMar>
              <w:top w:w="60" w:type="dxa"/>
              <w:bottom w:w="60" w:type="dxa"/>
              <w:left w:w="80" w:type="dxa"/>
              <w:right w:w="80" w:type="dxa"/>
            </w:tcMar>
          </w:tcPr>
          <w:p>
            <w:r>
              <w:rPr>
                <w:rFonts w:ascii="Times New Roman" w:hAnsi="Times New Roman"/>
                <w:sz w:val="22"/>
              </w:rPr>
              <w:t>&gt;= 75.0%</w:t>
            </w:r>
          </w:p>
        </w:tc>
        <w:tc>
          <w:tcPr>
            <w:tcW w:type="dxa" w:w="2517"/>
            <w:tcMar>
              <w:top w:w="60" w:type="dxa"/>
              <w:bottom w:w="60" w:type="dxa"/>
              <w:left w:w="80" w:type="dxa"/>
              <w:right w:w="80" w:type="dxa"/>
            </w:tcMar>
          </w:tcPr>
          <w:p>
            <w:r>
              <w:rPr>
                <w:rFonts w:ascii="Times New Roman" w:hAnsi="Times New Roman"/>
                <w:sz w:val="22"/>
              </w:rPr>
              <w:t>82.4%</w:t>
            </w:r>
          </w:p>
        </w:tc>
        <w:tc>
          <w:tcPr>
            <w:tcW w:type="dxa" w:w="2517"/>
            <w:tcMar>
              <w:top w:w="60" w:type="dxa"/>
              <w:bottom w:w="60" w:type="dxa"/>
              <w:left w:w="80" w:type="dxa"/>
              <w:right w:w="80" w:type="dxa"/>
            </w:tcMar>
          </w:tcPr>
          <w:p>
            <w:r>
              <w:rPr>
                <w:rFonts w:ascii="Times New Roman" w:hAnsi="Times New Roman"/>
                <w:sz w:val="22"/>
              </w:rPr>
              <w:t>Exceeded (+7.4%)</w:t>
            </w:r>
          </w:p>
        </w:tc>
      </w:tr>
      <w:tr>
        <w:tc>
          <w:tcPr>
            <w:tcW w:type="dxa" w:w="2517"/>
            <w:tcMar>
              <w:top w:w="60" w:type="dxa"/>
              <w:bottom w:w="60" w:type="dxa"/>
              <w:left w:w="80" w:type="dxa"/>
              <w:right w:w="80" w:type="dxa"/>
            </w:tcMar>
          </w:tcPr>
          <w:p>
            <w:r>
              <w:rPr>
                <w:rFonts w:ascii="Times New Roman" w:hAnsi="Times New Roman"/>
                <w:sz w:val="22"/>
              </w:rPr>
              <w:t>Stage 1 Inference Latency</w:t>
            </w:r>
          </w:p>
        </w:tc>
        <w:tc>
          <w:tcPr>
            <w:tcW w:type="dxa" w:w="2517"/>
            <w:tcMar>
              <w:top w:w="60" w:type="dxa"/>
              <w:bottom w:w="60" w:type="dxa"/>
              <w:left w:w="80" w:type="dxa"/>
              <w:right w:w="80" w:type="dxa"/>
            </w:tcMar>
          </w:tcPr>
          <w:p>
            <w:r>
              <w:rPr>
                <w:rFonts w:ascii="Times New Roman" w:hAnsi="Times New Roman"/>
                <w:sz w:val="22"/>
              </w:rPr>
              <w:t>&lt; 10.0 ms (GPU)</w:t>
            </w:r>
          </w:p>
        </w:tc>
        <w:tc>
          <w:tcPr>
            <w:tcW w:type="dxa" w:w="2517"/>
            <w:tcMar>
              <w:top w:w="60" w:type="dxa"/>
              <w:bottom w:w="60" w:type="dxa"/>
              <w:left w:w="80" w:type="dxa"/>
              <w:right w:w="80" w:type="dxa"/>
            </w:tcMar>
          </w:tcPr>
          <w:p>
            <w:r>
              <w:rPr>
                <w:rFonts w:ascii="Times New Roman" w:hAnsi="Times New Roman"/>
                <w:sz w:val="22"/>
              </w:rPr>
              <w:t>4.7 ms / frame (&gt;210 FPS)</w:t>
            </w:r>
          </w:p>
        </w:tc>
        <w:tc>
          <w:tcPr>
            <w:tcW w:type="dxa" w:w="2517"/>
            <w:tcMar>
              <w:top w:w="60" w:type="dxa"/>
              <w:bottom w:w="60" w:type="dxa"/>
              <w:left w:w="80" w:type="dxa"/>
              <w:right w:w="80" w:type="dxa"/>
            </w:tcMar>
          </w:tcPr>
          <w:p>
            <w:r>
              <w:rPr>
                <w:rFonts w:ascii="Times New Roman" w:hAnsi="Times New Roman"/>
                <w:sz w:val="22"/>
              </w:rPr>
              <w:t>Exceeded (2.1x faster)</w:t>
            </w:r>
          </w:p>
        </w:tc>
      </w:tr>
      <w:tr>
        <w:tc>
          <w:tcPr>
            <w:tcW w:type="dxa" w:w="2517"/>
            <w:tcMar>
              <w:top w:w="60" w:type="dxa"/>
              <w:bottom w:w="60" w:type="dxa"/>
              <w:left w:w="80" w:type="dxa"/>
              <w:right w:w="80" w:type="dxa"/>
            </w:tcMar>
          </w:tcPr>
          <w:p>
            <w:r>
              <w:rPr>
                <w:rFonts w:ascii="Times New Roman" w:hAnsi="Times New Roman"/>
                <w:sz w:val="22"/>
              </w:rPr>
              <w:t>Stage 2 Classification Accuracy</w:t>
            </w:r>
          </w:p>
        </w:tc>
        <w:tc>
          <w:tcPr>
            <w:tcW w:type="dxa" w:w="2517"/>
            <w:tcMar>
              <w:top w:w="60" w:type="dxa"/>
              <w:bottom w:w="60" w:type="dxa"/>
              <w:left w:w="80" w:type="dxa"/>
              <w:right w:w="80" w:type="dxa"/>
            </w:tcMar>
          </w:tcPr>
          <w:p>
            <w:r>
              <w:rPr>
                <w:rFonts w:ascii="Times New Roman" w:hAnsi="Times New Roman"/>
                <w:sz w:val="22"/>
              </w:rPr>
              <w:t>&gt;= 95.0%</w:t>
            </w:r>
          </w:p>
        </w:tc>
        <w:tc>
          <w:tcPr>
            <w:tcW w:type="dxa" w:w="2517"/>
            <w:tcMar>
              <w:top w:w="60" w:type="dxa"/>
              <w:bottom w:w="60" w:type="dxa"/>
              <w:left w:w="80" w:type="dxa"/>
              <w:right w:w="80" w:type="dxa"/>
            </w:tcMar>
          </w:tcPr>
          <w:p>
            <w:r>
              <w:rPr>
                <w:rFonts w:ascii="Times New Roman" w:hAnsi="Times New Roman"/>
                <w:sz w:val="22"/>
              </w:rPr>
              <w:t>99.79% (929/931 correct)</w:t>
            </w:r>
          </w:p>
        </w:tc>
        <w:tc>
          <w:tcPr>
            <w:tcW w:type="dxa" w:w="2517"/>
            <w:tcMar>
              <w:top w:w="60" w:type="dxa"/>
              <w:bottom w:w="60" w:type="dxa"/>
              <w:left w:w="80" w:type="dxa"/>
              <w:right w:w="80" w:type="dxa"/>
            </w:tcMar>
          </w:tcPr>
          <w:p>
            <w:r>
              <w:rPr>
                <w:rFonts w:ascii="Times New Roman" w:hAnsi="Times New Roman"/>
                <w:sz w:val="22"/>
              </w:rPr>
              <w:t>Exceeded (+4.79%)</w:t>
            </w:r>
          </w:p>
        </w:tc>
      </w:tr>
      <w:tr>
        <w:tc>
          <w:tcPr>
            <w:tcW w:type="dxa" w:w="2517"/>
            <w:tcMar>
              <w:top w:w="60" w:type="dxa"/>
              <w:bottom w:w="60" w:type="dxa"/>
              <w:left w:w="80" w:type="dxa"/>
              <w:right w:w="80" w:type="dxa"/>
            </w:tcMar>
          </w:tcPr>
          <w:p>
            <w:r>
              <w:rPr>
                <w:rFonts w:ascii="Times New Roman" w:hAnsi="Times New Roman"/>
                <w:sz w:val="22"/>
              </w:rPr>
              <w:t>Embedded Model Footprint</w:t>
            </w:r>
          </w:p>
        </w:tc>
        <w:tc>
          <w:tcPr>
            <w:tcW w:type="dxa" w:w="2517"/>
            <w:tcMar>
              <w:top w:w="60" w:type="dxa"/>
              <w:bottom w:w="60" w:type="dxa"/>
              <w:left w:w="80" w:type="dxa"/>
              <w:right w:w="80" w:type="dxa"/>
            </w:tcMar>
          </w:tcPr>
          <w:p>
            <w:r>
              <w:rPr>
                <w:rFonts w:ascii="Times New Roman" w:hAnsi="Times New Roman"/>
                <w:sz w:val="22"/>
              </w:rPr>
              <w:t>&lt; 30.0 MB total</w:t>
            </w:r>
          </w:p>
        </w:tc>
        <w:tc>
          <w:tcPr>
            <w:tcW w:type="dxa" w:w="2517"/>
            <w:tcMar>
              <w:top w:w="60" w:type="dxa"/>
              <w:bottom w:w="60" w:type="dxa"/>
              <w:left w:w="80" w:type="dxa"/>
              <w:right w:w="80" w:type="dxa"/>
            </w:tcMar>
          </w:tcPr>
          <w:p>
            <w:r>
              <w:rPr>
                <w:rFonts w:ascii="Times New Roman" w:hAnsi="Times New Roman"/>
                <w:sz w:val="22"/>
              </w:rPr>
              <w:t>20.3 MB (5.5 MB + 14.8 MB)</w:t>
            </w:r>
          </w:p>
        </w:tc>
        <w:tc>
          <w:tcPr>
            <w:tcW w:type="dxa" w:w="2517"/>
            <w:tcMar>
              <w:top w:w="60" w:type="dxa"/>
              <w:bottom w:w="60" w:type="dxa"/>
              <w:left w:w="80" w:type="dxa"/>
              <w:right w:w="80" w:type="dxa"/>
            </w:tcMar>
          </w:tcPr>
          <w:p>
            <w:r>
              <w:rPr>
                <w:rFonts w:ascii="Times New Roman" w:hAnsi="Times New Roman"/>
                <w:sz w:val="22"/>
              </w:rPr>
              <w:t>Met (Safe edge cache)</w:t>
            </w:r>
          </w:p>
        </w:tc>
      </w:tr>
    </w:tbl>
    <w:p>
      <w:pPr>
        <w:spacing w:before="80"/>
        <w:jc w:val="center"/>
      </w:pPr>
      <w:r>
        <w:rPr>
          <w:rFonts w:ascii="Times New Roman" w:hAnsi="Times New Roman"/>
          <w:b/>
          <w:sz w:val="22"/>
        </w:rPr>
        <w:t>Table 9.1: Summary of Key Quantitative Project Milestones Achieved in Stage I</w:t>
      </w:r>
    </w:p>
    <w:p>
      <w:pPr>
        <w:spacing w:before="280" w:after="80" w:line="360" w:lineRule="auto"/>
        <w:ind w:left="567" w:right="-137"/>
        <w:jc w:val="left"/>
      </w:pPr>
      <w:r>
        <w:rPr>
          <w:rFonts w:ascii="Times New Roman" w:hAnsi="Times New Roman"/>
          <w:b/>
          <w:sz w:val="28"/>
        </w:rPr>
        <w:t>9.3 Concluding Remarks</w:t>
      </w:r>
    </w:p>
    <w:p>
      <w:pPr>
        <w:spacing w:before="0" w:after="120" w:line="360" w:lineRule="auto"/>
        <w:ind w:left="567" w:right="-137"/>
        <w:jc w:val="both"/>
      </w:pPr>
      <w:r>
        <w:rPr>
          <w:rFonts w:ascii="Times New Roman" w:hAnsi="Times New Roman"/>
          <w:sz w:val="24"/>
        </w:rPr>
        <w:t>The successful completion of Project Stage I demonstrates that high-precision, automated microplastic monitoring does not require $100,000+ laboratory spectrometers or multi-week turnaround times. By decoupling object localization from morphological classification, the proposed Edge AI Smart Microscope achieves an optimal balance between low computational complexity, high localization recall, and exceptional classification accuracy. The prototype architecture provides an affordable (₹25,650), portable, and scalable technological foundation for environmental monitoring, paving the way for full flow-cell fluidic automation and IoT cloud deployment in Project Stage II.</w:t>
      </w:r>
    </w:p>
    <w:p>
      <w:pPr>
        <w:spacing w:before="280" w:after="80" w:line="360" w:lineRule="auto"/>
        <w:ind w:left="567" w:right="-137"/>
        <w:jc w:val="left"/>
      </w:pPr>
      <w:r>
        <w:rPr>
          <w:rFonts w:ascii="Times New Roman" w:hAnsi="Times New Roman"/>
          <w:b/>
          <w:sz w:val="28"/>
        </w:rPr>
        <w:t>REFERENCES</w:t>
      </w:r>
    </w:p>
    <w:p>
      <w:pPr>
        <w:spacing w:before="0" w:after="120" w:line="360" w:lineRule="auto"/>
        <w:ind w:left="567" w:right="-137"/>
      </w:pPr>
      <w:r>
        <w:rPr>
          <w:rFonts w:ascii="Times New Roman" w:hAnsi="Times New Roman"/>
          <w:sz w:val="22"/>
        </w:rPr>
        <w:t>[1] Lorenzo-Navarro, J., et al., “Microplastic classification in beach sediment using deep convolutional neural networks,” Marine Pollution Bulletin, Vol. 160, pp. 111649, Nov. 2020.</w:t>
      </w:r>
    </w:p>
    <w:p>
      <w:pPr>
        <w:spacing w:before="0" w:after="120" w:line="360" w:lineRule="auto"/>
        <w:ind w:left="567" w:right="-137"/>
      </w:pPr>
      <w:r>
        <w:rPr>
          <w:rFonts w:ascii="Times New Roman" w:hAnsi="Times New Roman"/>
          <w:sz w:val="22"/>
        </w:rPr>
        <w:t>[2] Kueranan, P., et al., “YOLO-based automated microscopic detection of marine microplastics in surface water samples,” IEEE Access, Vol. 10, pp. 45210-45222, Apr. 2022.</w:t>
      </w:r>
    </w:p>
    <w:p>
      <w:pPr>
        <w:spacing w:before="0" w:after="120" w:line="360" w:lineRule="auto"/>
        <w:ind w:left="567" w:right="-137"/>
      </w:pPr>
      <w:r>
        <w:rPr>
          <w:rFonts w:ascii="Times New Roman" w:hAnsi="Times New Roman"/>
          <w:sz w:val="22"/>
        </w:rPr>
        <w:t>[3] Rakhitha, C., et al., “Low-cost edge-computing optical microscopy for waterborne micro-particulate counting,” IEEE Transactions on Instrumentation and Measurement, Vol. 71, pp. 1-10, 2022.</w:t>
      </w:r>
    </w:p>
    <w:p>
      <w:pPr>
        <w:spacing w:before="0" w:after="120" w:line="360" w:lineRule="auto"/>
        <w:ind w:left="567" w:right="-137"/>
      </w:pPr>
      <w:r>
        <w:rPr>
          <w:rFonts w:ascii="Times New Roman" w:hAnsi="Times New Roman"/>
          <w:sz w:val="22"/>
        </w:rPr>
        <w:t>[4] Zhang, Y., et al., “Fluorescent microscopic identification of wastewater microplastics via Support Vector Machines,” Environmental Science &amp; Technology, Vol. 55, pp. 7412-7421, 2021.</w:t>
      </w:r>
    </w:p>
    <w:p>
      <w:pPr>
        <w:spacing w:before="0" w:after="120" w:line="360" w:lineRule="auto"/>
        <w:ind w:left="567" w:right="-137"/>
      </w:pPr>
      <w:r>
        <w:rPr>
          <w:rFonts w:ascii="Times New Roman" w:hAnsi="Times New Roman"/>
          <w:sz w:val="22"/>
        </w:rPr>
        <w:t>[5] Prata, J. C., et al., “Methods for sampling and detection of microplastics in water and sediment: A critical review,” Trends in Environmental Analytical Chemistry, Vol. 24, pp. e00070, 2019.</w:t>
      </w:r>
    </w:p>
    <w:p>
      <w:pPr>
        <w:spacing w:before="0" w:after="120" w:line="360" w:lineRule="auto"/>
        <w:ind w:left="567" w:right="-137"/>
      </w:pPr>
      <w:r>
        <w:rPr>
          <w:rFonts w:ascii="Times New Roman" w:hAnsi="Times New Roman"/>
          <w:sz w:val="22"/>
        </w:rPr>
        <w:t>[6] Jocher, G., et al., “Ultralytics YOLO11: Real-time object detection and instance segmentation architecture,” Ultralytics Open Source Documentation, 2024. Available: https://github.com/ultralytics/ultralytics</w:t>
      </w:r>
    </w:p>
    <w:p>
      <w:pPr>
        <w:spacing w:before="0" w:after="120" w:line="360" w:lineRule="auto"/>
        <w:ind w:left="567" w:right="-137"/>
      </w:pPr>
      <w:r>
        <w:rPr>
          <w:rFonts w:ascii="Times New Roman" w:hAnsi="Times New Roman"/>
          <w:sz w:val="22"/>
        </w:rPr>
        <w:t>[7] Dalal, N. and Triggs, B., “Histograms of oriented gradients for human detection,” IEEE Computer Society Conference on Computer Vision and Pattern Recognition (CVPR), Vol. 1, pp. 886-893, 2005.</w:t>
      </w:r>
    </w:p>
    <w:p>
      <w:pPr>
        <w:spacing w:before="0" w:after="120" w:line="360" w:lineRule="auto"/>
        <w:ind w:left="567" w:right="-137"/>
      </w:pPr>
      <w:r>
        <w:rPr>
          <w:rFonts w:ascii="Times New Roman" w:hAnsi="Times New Roman"/>
          <w:sz w:val="22"/>
        </w:rPr>
        <w:t>[8] Cortes, C. and Vapnik, V., “Support-vector networks,” Machine Learning, Vol. 20, No. 3, pp. 273-297, 1995.</w:t>
      </w:r>
    </w:p>
    <w:p>
      <w:pPr>
        <w:spacing w:before="0" w:after="120" w:line="360" w:lineRule="auto"/>
        <w:ind w:left="567" w:right="-137"/>
      </w:pPr>
      <w:r>
        <w:rPr>
          <w:rFonts w:ascii="Times New Roman" w:hAnsi="Times New Roman"/>
          <w:sz w:val="22"/>
        </w:rPr>
        <w:t>[9] Breiman, L., “Random forests,” Machine Learning, Vol. 45, No. 1, pp. 5-32, 2001.</w:t>
      </w:r>
    </w:p>
    <w:p>
      <w:pPr>
        <w:spacing w:before="0" w:after="120" w:line="360" w:lineRule="auto"/>
        <w:ind w:left="567" w:right="-137"/>
      </w:pPr>
      <w:r>
        <w:rPr>
          <w:rFonts w:ascii="Times New Roman" w:hAnsi="Times New Roman"/>
          <w:sz w:val="22"/>
        </w:rPr>
        <w:t>[10] Shim, W. J., et al., “Identification methods in microplastic analysis: a review,” Analytical Methods, Vol. 9, No. 9, pp. 1384-1391, 2017.</w:t>
      </w:r>
    </w:p>
    <w:p>
      <w:pPr>
        <w:spacing w:before="0" w:after="120" w:line="360" w:lineRule="auto"/>
        <w:ind w:left="567" w:right="-137"/>
      </w:pPr>
      <w:r>
        <w:rPr>
          <w:rFonts w:ascii="Times New Roman" w:hAnsi="Times New Roman"/>
          <w:sz w:val="22"/>
        </w:rPr>
        <w:t>[11] Thompson, R. C., et al., “Lost at sea: where is all the plastic?,” Science, Vol. 304, No. 5672, pp. 838-838, 2004.</w:t>
      </w:r>
    </w:p>
    <w:p>
      <w:pPr>
        <w:spacing w:before="0" w:after="120" w:line="360" w:lineRule="auto"/>
        <w:ind w:left="567" w:right="-137"/>
      </w:pPr>
      <w:r>
        <w:rPr>
          <w:rFonts w:ascii="Times New Roman" w:hAnsi="Times New Roman"/>
          <w:sz w:val="22"/>
        </w:rPr>
        <w:t>[12] Redmon, J., et al., “You only look once: Unified, real-time object detection,” IEEE Conference on Computer Vision and Pattern Recognition (CVPR), pp. 779-788, 2016.</w:t>
      </w:r>
    </w:p>
    <w:p>
      <w:pPr>
        <w:spacing w:before="0" w:after="120" w:line="360" w:lineRule="auto"/>
        <w:ind w:left="567" w:right="-137"/>
      </w:pPr>
      <w:r>
        <w:rPr>
          <w:rFonts w:ascii="Times New Roman" w:hAnsi="Times New Roman"/>
          <w:sz w:val="22"/>
        </w:rPr>
        <w:t>[13] Zheng, Z., et al., “Enhancing geometric factors in model learning and inference for object detection and instance segmentation,” IEEE Transactions on Cybernetics, Vol. 52, No. 8, pp. 8574-8586, 2022.</w:t>
      </w:r>
    </w:p>
    <w:p>
      <w:pPr>
        <w:spacing w:before="0" w:after="120" w:line="360" w:lineRule="auto"/>
        <w:ind w:left="567" w:right="-137"/>
      </w:pPr>
      <w:r>
        <w:rPr>
          <w:rFonts w:ascii="Times New Roman" w:hAnsi="Times New Roman"/>
          <w:sz w:val="22"/>
        </w:rPr>
        <w:t>[14] Li, X., et al., “Generalized focal loss: Learning qualified and distributed bounding boxes for dense object detection,” Advances in Neural Information Processing Systems (NeurIPS), Vol. 33, pp. 21002-21012, 2020.</w:t>
      </w:r>
    </w:p>
    <w:p>
      <w:pPr>
        <w:spacing w:before="0" w:after="120" w:line="360" w:lineRule="auto"/>
        <w:ind w:left="567" w:right="-137"/>
      </w:pPr>
      <w:r>
        <w:rPr>
          <w:rFonts w:ascii="Times New Roman" w:hAnsi="Times New Roman"/>
          <w:sz w:val="22"/>
        </w:rPr>
        <w:t>[15] Geyer, R., Jambeck, J. R., and Law, K. L., “Production, use, and fate of all plastics ever made,” Science Advances, Vol. 3, No. 7, pp. e1700782, 2017.</w:t>
      </w:r>
    </w:p>
    <w:p>
      <w:pPr>
        <w:spacing w:before="0" w:after="120" w:line="360" w:lineRule="auto"/>
        <w:ind w:left="567" w:right="-137"/>
      </w:pPr>
      <w:r>
        <w:rPr>
          <w:rFonts w:ascii="Times New Roman" w:hAnsi="Times New Roman"/>
          <w:sz w:val="22"/>
        </w:rPr>
        <w:t>[16] Cole, M., et al., “Microplastic ingestion by zooplankton,” Environmental Science &amp; Technology, Vol. 47, No. 12, pp. 6646-6655, 2013.</w:t>
      </w:r>
    </w:p>
    <w:sectPr w:rsidR="00E62EBD">
      <w:pgSz w:w="11910" w:h="16840"/>
      <w:pgMar w:top="1340" w:right="113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A1E"/>
    <w:multiLevelType w:val="hybridMultilevel"/>
    <w:tmpl w:val="97CAAD84"/>
    <w:lvl w:ilvl="0" w:tplc="4D146784">
      <w:start w:val="1"/>
      <w:numFmt w:val="decimal"/>
      <w:lvlText w:val="%1."/>
      <w:lvlJc w:val="left"/>
      <w:pPr>
        <w:ind w:left="1813" w:hanging="1441"/>
      </w:pPr>
      <w:rPr>
        <w:rFonts w:ascii="Times New Roman" w:eastAsia="Times New Roman" w:hAnsi="Times New Roman" w:cs="Times New Roman" w:hint="default"/>
        <w:b w:val="0"/>
        <w:bCs w:val="0"/>
        <w:i w:val="0"/>
        <w:iCs w:val="0"/>
        <w:spacing w:val="0"/>
        <w:w w:val="100"/>
        <w:sz w:val="24"/>
        <w:szCs w:val="24"/>
        <w:lang w:val="en-US" w:eastAsia="en-US" w:bidi="ar-SA"/>
      </w:rPr>
    </w:lvl>
    <w:lvl w:ilvl="1" w:tplc="C65652CE">
      <w:numFmt w:val="bullet"/>
      <w:lvlText w:val="•"/>
      <w:lvlJc w:val="left"/>
      <w:pPr>
        <w:ind w:left="2644" w:hanging="1441"/>
      </w:pPr>
      <w:rPr>
        <w:rFonts w:hint="default"/>
        <w:lang w:val="en-US" w:eastAsia="en-US" w:bidi="ar-SA"/>
      </w:rPr>
    </w:lvl>
    <w:lvl w:ilvl="2" w:tplc="1ADE265C">
      <w:numFmt w:val="bullet"/>
      <w:lvlText w:val="•"/>
      <w:lvlJc w:val="left"/>
      <w:pPr>
        <w:ind w:left="3469" w:hanging="1441"/>
      </w:pPr>
      <w:rPr>
        <w:rFonts w:hint="default"/>
        <w:lang w:val="en-US" w:eastAsia="en-US" w:bidi="ar-SA"/>
      </w:rPr>
    </w:lvl>
    <w:lvl w:ilvl="3" w:tplc="DD629974">
      <w:numFmt w:val="bullet"/>
      <w:lvlText w:val="•"/>
      <w:lvlJc w:val="left"/>
      <w:pPr>
        <w:ind w:left="4294" w:hanging="1441"/>
      </w:pPr>
      <w:rPr>
        <w:rFonts w:hint="default"/>
        <w:lang w:val="en-US" w:eastAsia="en-US" w:bidi="ar-SA"/>
      </w:rPr>
    </w:lvl>
    <w:lvl w:ilvl="4" w:tplc="889AF996">
      <w:numFmt w:val="bullet"/>
      <w:lvlText w:val="•"/>
      <w:lvlJc w:val="left"/>
      <w:pPr>
        <w:ind w:left="5119" w:hanging="1441"/>
      </w:pPr>
      <w:rPr>
        <w:rFonts w:hint="default"/>
        <w:lang w:val="en-US" w:eastAsia="en-US" w:bidi="ar-SA"/>
      </w:rPr>
    </w:lvl>
    <w:lvl w:ilvl="5" w:tplc="A91AC102">
      <w:numFmt w:val="bullet"/>
      <w:lvlText w:val="•"/>
      <w:lvlJc w:val="left"/>
      <w:pPr>
        <w:ind w:left="5943" w:hanging="1441"/>
      </w:pPr>
      <w:rPr>
        <w:rFonts w:hint="default"/>
        <w:lang w:val="en-US" w:eastAsia="en-US" w:bidi="ar-SA"/>
      </w:rPr>
    </w:lvl>
    <w:lvl w:ilvl="6" w:tplc="24D8B6A0">
      <w:numFmt w:val="bullet"/>
      <w:lvlText w:val="•"/>
      <w:lvlJc w:val="left"/>
      <w:pPr>
        <w:ind w:left="6768" w:hanging="1441"/>
      </w:pPr>
      <w:rPr>
        <w:rFonts w:hint="default"/>
        <w:lang w:val="en-US" w:eastAsia="en-US" w:bidi="ar-SA"/>
      </w:rPr>
    </w:lvl>
    <w:lvl w:ilvl="7" w:tplc="9160BBDC">
      <w:numFmt w:val="bullet"/>
      <w:lvlText w:val="•"/>
      <w:lvlJc w:val="left"/>
      <w:pPr>
        <w:ind w:left="7593" w:hanging="1441"/>
      </w:pPr>
      <w:rPr>
        <w:rFonts w:hint="default"/>
        <w:lang w:val="en-US" w:eastAsia="en-US" w:bidi="ar-SA"/>
      </w:rPr>
    </w:lvl>
    <w:lvl w:ilvl="8" w:tplc="75B8AF88">
      <w:numFmt w:val="bullet"/>
      <w:lvlText w:val="•"/>
      <w:lvlJc w:val="left"/>
      <w:pPr>
        <w:ind w:left="8418" w:hanging="1441"/>
      </w:pPr>
      <w:rPr>
        <w:rFonts w:hint="default"/>
        <w:lang w:val="en-US" w:eastAsia="en-US" w:bidi="ar-SA"/>
      </w:rPr>
    </w:lvl>
  </w:abstractNum>
  <w:abstractNum w:abstractNumId="1" w15:restartNumberingAfterBreak="0">
    <w:nsid w:val="345C62E8"/>
    <w:multiLevelType w:val="hybridMultilevel"/>
    <w:tmpl w:val="E52E95F8"/>
    <w:lvl w:ilvl="0" w:tplc="C0564FE2">
      <w:start w:val="1"/>
      <w:numFmt w:val="decimal"/>
      <w:lvlText w:val="%1."/>
      <w:lvlJc w:val="left"/>
      <w:pPr>
        <w:ind w:left="1092"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E9E2009C">
      <w:numFmt w:val="bullet"/>
      <w:lvlText w:val="-"/>
      <w:lvlJc w:val="left"/>
      <w:pPr>
        <w:ind w:left="1092" w:hanging="721"/>
      </w:pPr>
      <w:rPr>
        <w:rFonts w:ascii="Times New Roman" w:eastAsia="Times New Roman" w:hAnsi="Times New Roman" w:cs="Times New Roman" w:hint="default"/>
        <w:spacing w:val="0"/>
        <w:w w:val="101"/>
        <w:lang w:val="en-US" w:eastAsia="en-US" w:bidi="ar-SA"/>
      </w:rPr>
    </w:lvl>
    <w:lvl w:ilvl="2" w:tplc="9BA0E188">
      <w:numFmt w:val="bullet"/>
      <w:lvlText w:val="•"/>
      <w:lvlJc w:val="left"/>
      <w:pPr>
        <w:ind w:left="2893" w:hanging="721"/>
      </w:pPr>
      <w:rPr>
        <w:rFonts w:hint="default"/>
        <w:lang w:val="en-US" w:eastAsia="en-US" w:bidi="ar-SA"/>
      </w:rPr>
    </w:lvl>
    <w:lvl w:ilvl="3" w:tplc="A5B20EBA">
      <w:numFmt w:val="bullet"/>
      <w:lvlText w:val="•"/>
      <w:lvlJc w:val="left"/>
      <w:pPr>
        <w:ind w:left="3790" w:hanging="721"/>
      </w:pPr>
      <w:rPr>
        <w:rFonts w:hint="default"/>
        <w:lang w:val="en-US" w:eastAsia="en-US" w:bidi="ar-SA"/>
      </w:rPr>
    </w:lvl>
    <w:lvl w:ilvl="4" w:tplc="77E27A4C">
      <w:numFmt w:val="bullet"/>
      <w:lvlText w:val="•"/>
      <w:lvlJc w:val="left"/>
      <w:pPr>
        <w:ind w:left="4687" w:hanging="721"/>
      </w:pPr>
      <w:rPr>
        <w:rFonts w:hint="default"/>
        <w:lang w:val="en-US" w:eastAsia="en-US" w:bidi="ar-SA"/>
      </w:rPr>
    </w:lvl>
    <w:lvl w:ilvl="5" w:tplc="335E191E">
      <w:numFmt w:val="bullet"/>
      <w:lvlText w:val="•"/>
      <w:lvlJc w:val="left"/>
      <w:pPr>
        <w:ind w:left="5583" w:hanging="721"/>
      </w:pPr>
      <w:rPr>
        <w:rFonts w:hint="default"/>
        <w:lang w:val="en-US" w:eastAsia="en-US" w:bidi="ar-SA"/>
      </w:rPr>
    </w:lvl>
    <w:lvl w:ilvl="6" w:tplc="E3DADB1A">
      <w:numFmt w:val="bullet"/>
      <w:lvlText w:val="•"/>
      <w:lvlJc w:val="left"/>
      <w:pPr>
        <w:ind w:left="6480" w:hanging="721"/>
      </w:pPr>
      <w:rPr>
        <w:rFonts w:hint="default"/>
        <w:lang w:val="en-US" w:eastAsia="en-US" w:bidi="ar-SA"/>
      </w:rPr>
    </w:lvl>
    <w:lvl w:ilvl="7" w:tplc="08AAA3DA">
      <w:numFmt w:val="bullet"/>
      <w:lvlText w:val="•"/>
      <w:lvlJc w:val="left"/>
      <w:pPr>
        <w:ind w:left="7377" w:hanging="721"/>
      </w:pPr>
      <w:rPr>
        <w:rFonts w:hint="default"/>
        <w:lang w:val="en-US" w:eastAsia="en-US" w:bidi="ar-SA"/>
      </w:rPr>
    </w:lvl>
    <w:lvl w:ilvl="8" w:tplc="53F67D0A">
      <w:numFmt w:val="bullet"/>
      <w:lvlText w:val="•"/>
      <w:lvlJc w:val="left"/>
      <w:pPr>
        <w:ind w:left="8274" w:hanging="721"/>
      </w:pPr>
      <w:rPr>
        <w:rFonts w:hint="default"/>
        <w:lang w:val="en-US" w:eastAsia="en-US" w:bidi="ar-SA"/>
      </w:rPr>
    </w:lvl>
  </w:abstractNum>
  <w:abstractNum w:abstractNumId="2" w15:restartNumberingAfterBreak="0">
    <w:nsid w:val="54CB4694"/>
    <w:multiLevelType w:val="multilevel"/>
    <w:tmpl w:val="8292997A"/>
    <w:lvl w:ilvl="0">
      <w:start w:val="1"/>
      <w:numFmt w:val="decimal"/>
      <w:lvlText w:val="%1."/>
      <w:lvlJc w:val="left"/>
      <w:pPr>
        <w:ind w:left="1813" w:hanging="144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533"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76" w:hanging="721"/>
      </w:pPr>
      <w:rPr>
        <w:rFonts w:hint="default"/>
        <w:lang w:val="en-US" w:eastAsia="en-US" w:bidi="ar-SA"/>
      </w:rPr>
    </w:lvl>
    <w:lvl w:ilvl="3">
      <w:numFmt w:val="bullet"/>
      <w:lvlText w:val="•"/>
      <w:lvlJc w:val="left"/>
      <w:pPr>
        <w:ind w:left="4212" w:hanging="721"/>
      </w:pPr>
      <w:rPr>
        <w:rFonts w:hint="default"/>
        <w:lang w:val="en-US" w:eastAsia="en-US" w:bidi="ar-SA"/>
      </w:rPr>
    </w:lvl>
    <w:lvl w:ilvl="4">
      <w:numFmt w:val="bullet"/>
      <w:lvlText w:val="•"/>
      <w:lvlJc w:val="left"/>
      <w:pPr>
        <w:ind w:left="5049" w:hanging="721"/>
      </w:pPr>
      <w:rPr>
        <w:rFonts w:hint="default"/>
        <w:lang w:val="en-US" w:eastAsia="en-US" w:bidi="ar-SA"/>
      </w:rPr>
    </w:lvl>
    <w:lvl w:ilvl="5">
      <w:numFmt w:val="bullet"/>
      <w:lvlText w:val="•"/>
      <w:lvlJc w:val="left"/>
      <w:pPr>
        <w:ind w:left="5885" w:hanging="721"/>
      </w:pPr>
      <w:rPr>
        <w:rFonts w:hint="default"/>
        <w:lang w:val="en-US" w:eastAsia="en-US" w:bidi="ar-SA"/>
      </w:rPr>
    </w:lvl>
    <w:lvl w:ilvl="6">
      <w:numFmt w:val="bullet"/>
      <w:lvlText w:val="•"/>
      <w:lvlJc w:val="left"/>
      <w:pPr>
        <w:ind w:left="6722" w:hanging="721"/>
      </w:pPr>
      <w:rPr>
        <w:rFonts w:hint="default"/>
        <w:lang w:val="en-US" w:eastAsia="en-US" w:bidi="ar-SA"/>
      </w:rPr>
    </w:lvl>
    <w:lvl w:ilvl="7">
      <w:numFmt w:val="bullet"/>
      <w:lvlText w:val="•"/>
      <w:lvlJc w:val="left"/>
      <w:pPr>
        <w:ind w:left="7558" w:hanging="721"/>
      </w:pPr>
      <w:rPr>
        <w:rFonts w:hint="default"/>
        <w:lang w:val="en-US" w:eastAsia="en-US" w:bidi="ar-SA"/>
      </w:rPr>
    </w:lvl>
    <w:lvl w:ilvl="8">
      <w:numFmt w:val="bullet"/>
      <w:lvlText w:val="•"/>
      <w:lvlJc w:val="left"/>
      <w:pPr>
        <w:ind w:left="8394" w:hanging="721"/>
      </w:pPr>
      <w:rPr>
        <w:rFonts w:hint="default"/>
        <w:lang w:val="en-US" w:eastAsia="en-US" w:bidi="ar-SA"/>
      </w:rPr>
    </w:lvl>
  </w:abstractNum>
  <w:num w:numId="1" w16cid:durableId="1583179820">
    <w:abstractNumId w:val="1"/>
  </w:num>
  <w:num w:numId="2" w16cid:durableId="459345532">
    <w:abstractNumId w:val="2"/>
  </w:num>
  <w:num w:numId="3" w16cid:durableId="66925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62EBD"/>
    <w:rsid w:val="001C090F"/>
    <w:rsid w:val="002250B2"/>
    <w:rsid w:val="00767F33"/>
    <w:rsid w:val="009243A3"/>
    <w:rsid w:val="00A039E2"/>
    <w:rsid w:val="00D24E71"/>
    <w:rsid w:val="00E62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7BADF"/>
  <w15:docId w15:val="{F315C1E8-4702-4F83-9754-D728EAF93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line="368" w:lineRule="exact"/>
      <w:ind w:left="971" w:right="664"/>
      <w:jc w:val="center"/>
      <w:outlineLvl w:val="0"/>
    </w:pPr>
    <w:rPr>
      <w:b/>
      <w:bCs/>
      <w:sz w:val="32"/>
      <w:szCs w:val="32"/>
    </w:rPr>
  </w:style>
  <w:style w:type="paragraph" w:styleId="Heading2">
    <w:name w:val="heading 2"/>
    <w:basedOn w:val="Normal"/>
    <w:uiPriority w:val="9"/>
    <w:unhideWhenUsed/>
    <w:qFormat/>
    <w:pPr>
      <w:ind w:left="971" w:right="667"/>
      <w:jc w:val="center"/>
      <w:outlineLvl w:val="1"/>
    </w:pPr>
    <w:rPr>
      <w:sz w:val="32"/>
      <w:szCs w:val="32"/>
    </w:rPr>
  </w:style>
  <w:style w:type="paragraph" w:styleId="Heading3">
    <w:name w:val="heading 3"/>
    <w:basedOn w:val="Normal"/>
    <w:uiPriority w:val="9"/>
    <w:unhideWhenUsed/>
    <w:qFormat/>
    <w:pPr>
      <w:ind w:left="37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56" w:lineRule="exact"/>
      <w:ind w:left="971" w:right="669"/>
      <w:jc w:val="center"/>
    </w:pPr>
    <w:rPr>
      <w:sz w:val="40"/>
      <w:szCs w:val="40"/>
    </w:rPr>
  </w:style>
  <w:style w:type="paragraph" w:styleId="ListParagraph">
    <w:name w:val="List Paragraph"/>
    <w:basedOn w:val="Normal"/>
    <w:uiPriority w:val="1"/>
    <w:qFormat/>
    <w:pPr>
      <w:ind w:left="1092" w:hanging="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10</Pages>
  <Words>1090</Words>
  <Characters>6214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FORMAT OF EMBEDDED PAGE (BLACK BACKGROUND GOLDEN EMEBOSSING ONLY)</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EMBEDDED PAGE (BLACK BACKGROUND GOLDEN EMEBOSSING ONLY)</dc:title>
  <dc:creator>IP</dc:creator>
  <cp:lastModifiedBy>MOHAMMAD SUHAIL</cp:lastModifiedBy>
  <cp:revision>4</cp:revision>
  <dcterms:created xsi:type="dcterms:W3CDTF">2026-10-22T20:25:00Z</dcterms:created>
  <dcterms:modified xsi:type="dcterms:W3CDTF">2026-10-23T06:23:00Z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 2010</vt:lpwstr>
  </property>
  <property fmtid="{D5CDD505-2E9C-101B-9397-08002B2CF9AE}" pid="5" name="LastSaved">
    <vt:filetime>2026-10-22T00:00:00Z</vt:filetime>
  </property>
  <property fmtid="{D5CDD505-2E9C-101B-9397-08002B2CF9AE}" pid="6" name="Producer">
    <vt:lpwstr>Microsoft® Word 2010</vt:lpwstr>
  </property>
</Properties>
</file>