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chère. Une lectrice exceptionnelle de ce que j’écris au piano. »</w:t>
      </w:r>
    </w:p>
    <w:p>
      <w:pPr>
        <w:spacing w:before="240" w:after="100"/>
      </w:pPr>
      <w:r>
        <w:rPr>
          <w:b/>
          <w:bCs/>
          <w:color w:val="5D4037"/>
          <w:sz w:val="24"/>
          <w:szCs w:val="24"/>
        </w:rPr>
        <w:t xml:space="preserve">Sur quelque chose d’étrange peu avant sa mort : « Elle m’a regardée plus tendrement que d’habitude après le toast. Comme si elle voulait me dire quelque chose et n’osait pas.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Brisée. Je joue pour ne pas m’effondrer. Si je m’arrête, je tombe.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Pardonnez-moi — je suis trop bouleversée pour brosser un tableau. »</w:t>
      </w:r>
    </w:p>
    <w:p>
      <w:pPr>
        <w:spacing w:before="240" w:after="100"/>
      </w:pPr>
      <w:r>
        <w:rPr>
          <w:b/>
          <w:bCs/>
          <w:color w:val="5D4037"/>
          <w:sz w:val="24"/>
          <w:szCs w:val="24"/>
        </w:rPr>
        <w:t xml:space="preserve">Aucun chantage de Léa (elle vous aimait). Mais sur la liaison avec Léa : NIEZ tant que Chloé n’a pas vu votre paquet de lettres.</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