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15 w16se w16cid w16 w16cex w16sdtdh wp14">
  <w:body>
    <w:p>
      <w:pPr>
        <w:spacing w:after="900"/>
      </w:pPr>
    </w:p>
    <w:p>
      <w:pPr>
        <w:spacing w:after="300"/>
        <w:jc w:val="center"/>
      </w:pPr>
      <w:r>
        <w:rPr>
          <w:color w:val="B8860B"/>
          <w:sz w:val="32"/>
          <w:szCs w:val="32"/>
          <w:rFonts w:ascii="Garamond" w:hAnsi="Garamond" w:cs="Garamond"/>
        </w:rPr>
        <w:t xml:space="preserve">❦  ❦  ❦</w:t>
      </w:r>
    </w:p>
    <w:p>
      <w:pPr>
        <w:spacing w:after="80"/>
        <w:jc w:val="center"/>
      </w:pPr>
      <w:r>
        <w:rPr>
          <w:i/>
          <w:iCs/>
          <w:color w:val="5D4037"/>
          <w:sz w:val="56"/>
          <w:szCs w:val="56"/>
          <w:rFonts w:ascii="Garamond" w:hAnsi="Garamond" w:cs="Garamond"/>
        </w:rPr>
        <w:t xml:space="preserve">Meurtre au Domaine</w:t>
      </w:r>
    </w:p>
    <w:p>
      <w:pPr>
        <w:spacing w:after="400"/>
        <w:jc w:val="center"/>
      </w:pPr>
      <w:r>
        <w:rPr>
          <w:i/>
          <w:iCs/>
          <w:color w:val="5D4037"/>
          <w:sz w:val="56"/>
          <w:szCs w:val="56"/>
          <w:rFonts w:ascii="Garamond" w:hAnsi="Garamond" w:cs="Garamond"/>
        </w:rPr>
        <w:t xml:space="preserve">des Beuhaies</w:t>
      </w:r>
    </w:p>
    <w:p>
      <w:pPr>
        <w:spacing w:after="600"/>
        <w:jc w:val="center"/>
      </w:pPr>
      <w:r>
        <w:rPr>
          <w:color w:val="B8860B"/>
          <w:sz w:val="28"/>
          <w:szCs w:val="28"/>
          <w:rFonts w:ascii="Garamond" w:hAnsi="Garamond" w:cs="Garamond"/>
        </w:rPr>
        <w:t xml:space="preserve">— ⚜ —</w:t>
      </w:r>
    </w:p>
    <w:p>
      <w:pPr>
        <w:spacing w:after="120"/>
        <w:jc w:val="center"/>
      </w:pPr>
      <w:r>
        <w:rPr>
          <w:b/>
          <w:bCs/>
          <w:color w:val="6D4C41"/>
          <w:sz w:val="40"/>
          <w:szCs w:val="40"/>
          <w:rFonts w:ascii="Garamond" w:hAnsi="Garamond" w:cs="Garamond"/>
        </w:rPr>
        <w:t xml:space="preserve">Deuxième Livre — L'Enquêtrice</w:t>
      </w:r>
    </w:p>
    <w:p>
      <w:pPr>
        <w:spacing w:after="600"/>
        <w:jc w:val="center"/>
      </w:pPr>
      <w:r>
        <w:rPr>
          <w:i/>
          <w:iCs/>
          <w:color w:val="8D6E63"/>
          <w:sz w:val="28"/>
          <w:szCs w:val="28"/>
          <w:rFonts w:ascii="Garamond" w:hAnsi="Garamond" w:cs="Garamond"/>
        </w:rPr>
        <w:t xml:space="preserve">Lady Chloé Chrétien des Beuhaies · alias Lady Whistledown</w:t>
      </w:r>
    </w:p>
    <w:p>
      <w:pPr>
        <w:spacing w:after="400"/>
        <w:jc w:val="center"/>
      </w:pPr>
      <w:r>
        <w:rPr>
          <w:color w:val="B8860B"/>
          <w:sz w:val="24"/>
          <w:szCs w:val="24"/>
          <w:rFonts w:ascii="Garamond" w:hAnsi="Garamond" w:cs="Garamond"/>
        </w:rPr>
        <w:t xml:space="preserve">— ❦ —</w:t>
      </w:r>
    </w:p>
    <w:p>
      <w:pPr>
        <w:spacing w:after="300"/>
        <w:ind w:left="1440" w:right="1440"/>
        <w:jc w:val="center"/>
      </w:pPr>
      <w:r>
        <w:rPr>
          <w:i/>
          <w:iCs/>
          <w:color w:val="6D4C41"/>
          <w:sz w:val="26"/>
          <w:szCs w:val="26"/>
          <w:rFonts w:ascii="Garamond" w:hAnsi="Garamond" w:cs="Garamond"/>
        </w:rPr>
        <w:t xml:space="preserve">Votre fiche personnelle. À lire à tête reposée, une demi-heure avant votre retour du coiffeur.</w:t>
      </w:r>
    </w:p>
    <w:p>
      <w:pPr>
        <w:spacing w:after="800"/>
      </w:pPr>
    </w:p>
    <w:p>
      <w:pPr>
        <w:spacing w:after="80"/>
        <w:jc w:val="center"/>
      </w:pPr>
      <w:r>
        <w:rPr>
          <w:i/>
          <w:iCs/>
          <w:color w:val="8D6E63"/>
          <w:sz w:val="22"/>
          <w:szCs w:val="22"/>
          <w:rFonts w:ascii="Garamond" w:hAnsi="Garamond" w:cs="Garamond"/>
        </w:rPr>
        <w:t xml:space="preserve">Une soirée de mystère &amp; d'intrigue</w:t>
      </w:r>
    </w:p>
    <w:p>
      <w:pPr>
        <w:spacing w:after="200"/>
        <w:jc w:val="center"/>
      </w:pPr>
      <w:r>
        <w:rPr>
          <w:i/>
          <w:iCs/>
          <w:color w:val="8D6E63"/>
          <w:sz w:val="22"/>
          <w:szCs w:val="22"/>
          <w:rFonts w:ascii="Garamond" w:hAnsi="Garamond" w:cs="Garamond"/>
        </w:rPr>
        <w:t xml:space="preserve">à la manière des Bridgerton</w:t>
      </w:r>
    </w:p>
    <w:p>
      <w:pPr>
        <w:spacing w:after="80"/>
        <w:jc w:val="center"/>
      </w:pPr>
      <w:r>
        <w:rPr>
          <w:color w:val="C4878C"/>
          <w:sz w:val="28"/>
          <w:szCs w:val="28"/>
          <w:rFonts w:ascii="Garamond" w:hAnsi="Garamond" w:cs="Garamond"/>
        </w:rPr>
        <w:t xml:space="preserve">✦</w:t>
      </w:r>
    </w:p>
    <w:p>
      <w:r>
        <w:br w:type="page"/>
      </w:r>
    </w:p>
    <w:p>
      <w:pPr>
        <w:sectPr>
          <w:type w:val="nextPage"/>
          <w:headerReference w:type="default" ns2:id="rIdHeader"/>
          <w:footerReference w:type="default" ns2:id="rIdFooter"/>
          <w:pgSz w:w="11906" w:h="16838"/>
          <w:pgMar w:top="1700" w:right="1417" w:bottom="1700" w:left="1417" w:header="708" w:footer="708" w:gutter="0"/>
          <w:cols w:space="708"/>
          <w:docGrid w:linePitch="360"/>
          <w:titlePg/>
        </w:sectPr>
      </w:pPr>
    </w:p>
    <w:p>
      <w:pPr>
        <w:spacing w:before="120" w:after="60"/>
        <w:jc w:val="center"/>
      </w:pPr>
      <w:r>
        <w:rPr>
          <w:color w:val="B8860B"/>
          <w:sz w:val="28"/>
          <w:rFonts w:ascii="Garamond" w:hAnsi="Garamond"/>
        </w:rPr>
        <w:t>❦ ⚜ ❦ ⚜ ❦</w:t>
      </w:r>
    </w:p>
    <w:p>
      <w:r>
        <w:br w:type="page"/>
      </w:r>
    </w:p>
    <w:p>
      <w:pPr>
        <w:spacing w:before="60" w:after="60"/>
        <w:jc w:val="center"/>
      </w:pPr>
      <w:r>
        <w:rPr>
          <w:b/>
          <w:bCs/>
          <w:color w:val="5D4037"/>
          <w:sz w:val="36"/>
          <w:szCs w:val="36"/>
        </w:rPr>
        <w:t>LADY CHLOÉ CHRÉTIEN DES BEUHAIES</w:t>
      </w:r>
    </w:p>
    <w:p>
      <w:pPr>
        <w:spacing w:after="200"/>
        <w:jc w:val="center"/>
      </w:pPr>
      <w:r>
        <w:rPr>
          <w:i/>
          <w:iCs/>
          <w:color w:val="6D4C41"/>
        </w:rPr>
        <w:t>alias Lady Whistledown — la chroniqueuse</w:t>
      </w:r>
    </w:p>
    <w:p>
      <w:pPr>
        <w:spacing w:before="80" w:after="200" w:line="300" w:lineRule="auto"/>
        <w:ind w:left="720" w:right="720"/>
        <w:jc w:val="center"/>
      </w:pPr>
      <w:r>
        <w:rPr>
          <w:i/>
          <w:iCs/>
          <w:color w:val="5D4037"/>
        </w:rPr>
        <w:t>« Très chers lecteurs, c’est mon anniversaire. Et voilà qu’on me prie d’élucider un meurtre dans mon propre domaine. »</w:t>
      </w:r>
    </w:p>
    <w:p>
      <w:pPr>
        <w:spacing w:before="80" w:after="200" w:line="300" w:lineRule="auto"/>
        <w:ind w:left="720" w:right="720"/>
        <w:jc w:val="center"/>
      </w:pPr>
      <w:r>
        <w:rPr>
          <w:i/>
          <w:iCs/>
          <w:color w:val="5D4037"/>
        </w:rPr>
        <w:t xml:space="preserve">Ce qui s’est passé</w:t>
      </w:r>
    </w:p>
    <w:p>
      <w:pPr>
        <w:spacing w:before="80" w:after="200" w:line="300" w:lineRule="auto"/>
        <w:ind w:left="720" w:right="720"/>
        <w:jc w:val="center"/>
      </w:pPr>
      <w:r>
        <w:rPr>
          <w:i/>
          <w:iCs/>
          <w:color w:val="5D4037"/>
        </w:rPr>
        <w:t xml:space="preserve">Samedi 6 juin 1925, vous fêtez vos trente ans. Vous avez quitté le Domaine en fin de matinée pour quelques courses. Quand vous rentrez à 18h00, Lady Victoria vous accueille en larmes : Lady Léa de Pavy a été trouvée morte dans la dépendance. Lord Louis-Marc, médecin, a confirmé l’empoisonnement à la digitaline — mort vers 17h25. La gendarmerie ne sera prévenue qu’à l’aube. Vous avez une heure pour démêler les fils.</w:t>
      </w:r>
    </w:p>
    <w:p>
      <w:pPr>
        <w:spacing w:before="280" w:after="120"/>
      </w:pPr>
      <w:r>
        <w:rPr>
          <w:b/>
          <w:bCs/>
          <w:color w:val="5D4037"/>
          <w:sz w:val="26"/>
          <w:szCs w:val="26"/>
        </w:rPr>
        <w:t>Vous êtes Lady Whistledown</w:t>
      </w:r>
    </w:p>
    <w:p>
      <w:pPr>
        <w:spacing w:before="60" w:after="60" w:line="320" w:lineRule="auto"/>
        <w:jc w:val="both"/>
      </w:pPr>
      <w:r>
        <w:t>Sous votre nom, le monde vous connaît comme l’épouse de Sir Amaury et la maîtresse de ces murs. Sous votre plume, anonyme, vous êtes la chroniqueuse mondaine la plus crainte de la haute société. Vous savez écouter, recouper, retourner une phrase pour en deviner l’arrière. Vous savez deviner ce qui se cache derrière un sourire trop maîtrisé.</w:t>
      </w:r>
    </w:p>
    <w:p>
      <w:pPr>
        <w:spacing w:before="60" w:after="60" w:line="320" w:lineRule="auto"/>
        <w:jc w:val="both"/>
      </w:pPr>
      <w:r>
        <w:t>C’est précisément pour cela qu’Amaury vous a faite venir.</w:t>
      </w:r>
    </w:p>
    <w:p>
      <w:pPr>
        <w:spacing w:before="280" w:after="120"/>
      </w:pPr>
      <w:r>
        <w:rPr>
          <w:b/>
          <w:bCs/>
          <w:color w:val="5D4037"/>
          <w:sz w:val="26"/>
          <w:szCs w:val="26"/>
        </w:rPr>
        <w:t>Les convives autour de vous</w:t>
      </w:r>
    </w:p>
    <w:p>
      <w:pPr>
        <w:spacing w:before="60" w:after="60" w:line="320" w:lineRule="auto"/>
        <w:jc w:val="both"/>
      </w:pPr>
      <w:r>
        <w:t>Sir Amaury vous présentera chacun à votre arrivée, comme à toute soirée mondaine. En voici la liste, dans l’ordre où il les accueillera :</w:t>
      </w:r>
    </w:p>
    <w:p>
      <w:pPr>
        <w:spacing w:before="40" w:after="40" w:line="300" w:lineRule="auto"/>
        <w:ind w:left="360"/>
      </w:pPr>
      <w:r>
        <w:rPr>
          <w:b/>
          <w:bCs/>
        </w:rPr>
        <w:t>Sir Amaury Chrétien des Beuhaies</w:t>
      </w:r>
      <w:r>
        <w:t xml:space="preserve"> — votre époux, maître du Domaine.</w:t>
      </w:r>
    </w:p>
    <w:p>
      <w:pPr>
        <w:spacing w:before="40" w:after="40" w:line="300" w:lineRule="auto"/>
        <w:ind w:left="360"/>
      </w:pPr>
      <w:r>
        <w:rPr>
          <w:b/>
          <w:bCs/>
        </w:rPr>
        <w:t>Duc Théodorette de Parisette</w:t>
      </w:r>
      <w:r>
        <w:t xml:space="preserve"> — diplomate, époux d’Amandinette.</w:t>
      </w:r>
    </w:p>
    <w:p>
      <w:pPr>
        <w:spacing w:before="40" w:after="40" w:line="300" w:lineRule="auto"/>
        <w:ind w:left="360"/>
      </w:pPr>
      <w:r>
        <w:rPr>
          <w:b/>
          <w:bCs/>
        </w:rPr>
        <w:t>Duchesse Amandinette de Parisette</w:t>
      </w:r>
      <w:r>
        <w:t xml:space="preserve"> — duchesse, amie d’enfance de Léa.</w:t>
      </w:r>
    </w:p>
    <w:p>
      <w:pPr>
        <w:spacing w:before="40" w:after="40" w:line="300" w:lineRule="auto"/>
        <w:ind w:left="360"/>
      </w:pPr>
      <w:r>
        <w:rPr>
          <w:b/>
          <w:bCs/>
        </w:rPr>
        <w:t>Lord Louis-Marc de Riegel</w:t>
      </w:r>
      <w:r>
        <w:t xml:space="preserve"> — médecin de la famille.</w:t>
      </w:r>
    </w:p>
    <w:p>
      <w:pPr>
        <w:spacing w:before="40" w:after="40" w:line="300" w:lineRule="auto"/>
        <w:ind w:left="360"/>
      </w:pPr>
      <w:r>
        <w:rPr>
          <w:b/>
          <w:bCs/>
        </w:rPr>
        <w:t>Lady Marie de Riegel</w:t>
      </w:r>
      <w:r>
        <w:t xml:space="preserve"> — pianiste, épouse de Louis.</w:t>
      </w:r>
    </w:p>
    <w:p>
      <w:pPr>
        <w:spacing w:before="40" w:after="40" w:line="300" w:lineRule="auto"/>
        <w:ind w:left="360"/>
      </w:pPr>
      <w:r>
        <w:rPr>
          <w:b/>
          <w:bCs/>
        </w:rPr>
        <w:t>Lord Gautier de Lemoine</w:t>
      </w:r>
      <w:r>
        <w:t xml:space="preserve"> — financier.</w:t>
      </w:r>
    </w:p>
    <w:p>
      <w:pPr>
        <w:spacing w:before="40" w:after="40" w:line="300" w:lineRule="auto"/>
        <w:ind w:left="360"/>
      </w:pPr>
      <w:r>
        <w:rPr>
          <w:b/>
          <w:bCs/>
        </w:rPr>
        <w:t>Lady Alicia de Lemoine</w:t>
      </w:r>
      <w:r>
        <w:t xml:space="preserve"> — épouse de Gautier.</w:t>
      </w:r>
    </w:p>
    <w:p>
      <w:pPr>
        <w:spacing w:before="40" w:after="40" w:line="300" w:lineRule="auto"/>
        <w:ind w:left="360"/>
      </w:pPr>
      <w:r>
        <w:rPr>
          <w:b/>
          <w:bCs/>
        </w:rPr>
        <w:t xml:space="preserve">Monsieur Baptiste André — caricaturiste, secrètement « M. Plumeau ».</w:t>
      </w:r>
      <w:r>
        <w:t xml:space="preserve"/>
      </w:r>
    </w:p>
    <w:p>
      <w:pPr>
        <w:spacing w:before="40" w:after="40" w:line="300" w:lineRule="auto"/>
        <w:ind w:left="360"/>
      </w:pPr>
      <w:r>
        <w:rPr>
          <w:b/>
          <w:bCs/>
        </w:rPr>
        <w:t xml:space="preserve">Mademoiselle Maëlys Bouchard — demoiselle, votre jeune protégée.</w:t>
      </w:r>
      <w:r>
        <w:t xml:space="preserve"/>
      </w:r>
    </w:p>
    <w:p>
      <w:pPr>
        <w:spacing w:before="40" w:after="40" w:line="300" w:lineRule="auto"/>
        <w:ind w:left="360"/>
      </w:pPr>
      <w:r>
        <w:rPr>
          <w:b/>
          <w:bCs/>
        </w:rPr>
        <w:t>Lady Boulet de Myrtilles</w:t>
      </w:r>
      <w:r>
        <w:t xml:space="preserve"> — généalogiste amateur, mémoire prodigieuse.</w:t>
      </w:r>
    </w:p>
    <w:p>
      <w:pPr>
        <w:spacing w:before="40" w:after="40" w:line="300" w:lineRule="auto"/>
        <w:ind w:left="360"/>
      </w:pPr>
      <w:r>
        <w:rPr>
          <w:b/>
          <w:bCs/>
        </w:rPr>
        <w:t>Sir Tatoine de Crevonville</w:t>
      </w:r>
      <w:r>
        <w:t xml:space="preserve"> — diplomate, ami du Duc.</w:t>
      </w:r>
    </w:p>
    <w:p>
      <w:pPr>
        <w:spacing w:before="40" w:after="40" w:line="300" w:lineRule="auto"/>
        <w:ind w:left="360"/>
      </w:pPr>
      <w:r>
        <w:rPr>
          <w:b/>
          <w:bCs/>
        </w:rPr>
        <w:t>Lady Cloé Fischer de Crevonville</w:t>
      </w:r>
      <w:r>
        <w:t xml:space="preserve"> — son épouse, surnommée Clochette.</w:t>
      </w:r>
    </w:p>
    <w:p>
      <w:pPr>
        <w:spacing w:before="40" w:after="40" w:line="300" w:lineRule="auto"/>
        <w:ind w:left="360"/>
      </w:pPr>
      <w:r>
        <w:rPr>
          <w:b/>
          <w:bCs/>
        </w:rPr>
        <w:t xml:space="preserve">Mademoiselle Lisa Lepra — cantatrice, ancienne muse de Léa.</w:t>
      </w:r>
      <w:r>
        <w:t xml:space="preserve"/>
      </w:r>
    </w:p>
    <w:p>
      <w:pPr>
        <w:spacing w:before="40" w:after="40" w:line="300" w:lineRule="auto"/>
        <w:ind w:left="360"/>
      </w:pPr>
      <w:r>
        <w:rPr>
          <w:b/>
          <w:bCs/>
        </w:rPr>
        <w:t xml:space="preserve">Comte Lorenzo Pariset — amateur d’art italien, mari de Lola.</w:t>
      </w:r>
      <w:r>
        <w:t xml:space="preserve"/>
      </w:r>
    </w:p>
    <w:p>
      <w:pPr>
        <w:spacing w:before="40" w:after="40" w:line="300" w:lineRule="auto"/>
        <w:ind w:left="360"/>
      </w:pPr>
      <w:r>
        <w:rPr>
          <w:b/>
          <w:bCs/>
        </w:rPr>
        <w:t xml:space="preserve">Comtesse Lola Pariset, née Bastien — héritière française, épouse de Lorenzo.</w:t>
      </w:r>
      <w:r>
        <w:t xml:space="preserve"/>
      </w:r>
    </w:p>
    <w:p>
      <w:pPr>
        <w:spacing w:before="40" w:after="40" w:line="300" w:lineRule="auto"/>
        <w:ind w:left="360"/>
      </w:pPr>
      <w:r>
        <w:rPr>
          <w:b/>
          <w:bCs/>
        </w:rPr>
        <w:t>Lady Victoria Chevessand</w:t>
      </w:r>
      <w:r>
        <w:t xml:space="preserve"> — votre amie de toujours, qui a découvert le corps.</w:t>
      </w:r>
    </w:p>
    <w:p>
      <w:pPr>
        <w:spacing w:before="280" w:after="120"/>
      </w:pPr>
      <w:r>
        <w:rPr>
          <w:b/>
          <w:bCs/>
          <w:color w:val="5D4037"/>
          <w:sz w:val="26"/>
          <w:szCs w:val="26"/>
        </w:rPr>
        <w:t>Comment les faire parler</w:t>
      </w:r>
    </w:p>
    <w:p>
      <w:pPr>
        <w:spacing w:before="60" w:after="60" w:line="320" w:lineRule="auto"/>
        <w:jc w:val="both"/>
      </w:pPr>
      <w:r>
        <w:t>Les observations qu’ils ont faites cet après-midi sortent assez facilement, pour peu que vous posiez la bonne question au bon moment. Demandez-leur ce qu’ils ont vu, qui ils ont croisé, où ils étaient à telle heure. Chacun a observé quelque chose.</w:t>
      </w:r>
    </w:p>
    <w:p>
      <w:pPr>
        <w:spacing w:before="60" w:after="60" w:line="320" w:lineRule="auto"/>
        <w:jc w:val="both"/>
      </w:pPr>
      <w:r>
        <w:t xml:space="preserve">Leurs </w:t>
      </w:r>
      <w:r>
        <w:rPr>
          <w:b/>
          <w:bCs/>
        </w:rPr>
        <w:t>secrets</w:t>
      </w:r>
      <w:r>
        <w:t>, eux, se gardent. Pour qu’un convive avoue ce qui le compromet, il vous faut un levier : un indice physique, une contradiction dans son alibi, un témoignage croisé. Présentez-lui calmement ce que vous savez, et ses lèvres s’ouvriront. Une confidence en ouvre une autre. C’est ainsi qu’on remonte les fils.</w:t>
      </w:r>
    </w:p>
    <w:p>
      <w:pPr>
        <w:spacing w:before="60" w:after="60" w:line="320" w:lineRule="auto"/>
        <w:jc w:val="both"/>
      </w:pPr>
      <w:r>
        <w:t xml:space="preserve">Aucun domestique n’est interrogeable — tous congédiés pour la soirée. Les quinze convives autour de vous (Sir Amaury reste en retrait — il vous ouvre les pièces mais ne témoigne pas) sont vos seules sources.</w:t>
      </w:r>
    </w:p>
    <w:p>
      <w:pPr>
        <w:spacing w:before="60" w:after="60" w:line="320" w:lineRule="auto"/>
        <w:jc w:val="both"/>
      </w:pPr>
      <w:r>
        <w:t xml:space="preserve">Deux questions à ne pas oublier</w:t>
      </w:r>
    </w:p>
    <w:p>
      <w:pPr>
        <w:spacing w:before="60" w:after="60" w:line="320" w:lineRule="auto"/>
        <w:jc w:val="both"/>
      </w:pPr>
      <w:r>
        <w:t xml:space="preserve">Quel que soit le convive interrogé, deux questions vous serviront partout : « Connaissiez-vous bien Léa ? » — pour mesurer la distance que chacun met avec la victime, et y entendre ce qui sonne faux ; et « Avez-vous remarqué quelque chose d’étrange peu avant sa mort ? » — pour faire surface les petites observations qui, mises bout à bout, dessinent un trajet. Posez-les tôt. Vous y reviendrez en fin d’enquête, quand les contradictions auront poussé.</w:t>
      </w:r>
    </w:p>
    <w:p>
      <w:pPr>
        <w:spacing w:before="280" w:after="120"/>
      </w:pPr>
      <w:r>
        <w:rPr>
          <w:b/>
          <w:bCs/>
          <w:color w:val="5D4037"/>
          <w:sz w:val="26"/>
          <w:szCs w:val="26"/>
        </w:rPr>
        <w:t>Votre carnet</w:t>
      </w:r>
    </w:p>
    <w:p>
      <w:pPr>
        <w:spacing w:before="60" w:after="60" w:line="320" w:lineRule="auto"/>
        <w:jc w:val="both"/>
      </w:pPr>
      <w:r>
        <w:t>Sir Amaury vous a fait préparer un carnet et un crayon. Tenez-le ouvert sur la table tout au long de la soirée. Notez ce que chacun vous dit, ce qu’il cache, ce qui ne colle pas. Organisez-le comme bon vous semble — par convive, par heure, par lieu. C’est votre arme la plus précieuse.</w:t>
      </w:r>
    </w:p>
    <w:p>
      <w:pPr>
        <w:spacing w:before="60" w:after="60" w:line="320" w:lineRule="auto"/>
        <w:jc w:val="both"/>
      </w:pPr>
      <w:r>
        <w:t xml:space="preserve">L’app du Domaine (option)</w:t>
      </w:r>
    </w:p>
    <w:p>
      <w:pPr>
        <w:spacing w:before="60" w:after="60" w:line="320" w:lineRule="auto"/>
        <w:jc w:val="both"/>
      </w:pPr>
      <w:r>
        <w:t xml:space="preserve">Si Sir Amaury vous met devant un écran : c’est l’app du Domaine. Vous y retrouverez la liste des convives à interroger, votre carnet automatique, le plan du Domaine (bouton 🗺️), et — au pied du coffret — un cadenas à composer. L’app ne remplace pas votre flair : elle le suit.</w:t>
      </w:r>
    </w:p>
    <w:p>
      <w:pPr>
        <w:spacing w:before="280" w:after="120"/>
      </w:pPr>
      <w:r>
        <w:rPr>
          <w:b/>
          <w:bCs/>
          <w:color w:val="5D4037"/>
          <w:sz w:val="26"/>
          <w:szCs w:val="26"/>
        </w:rPr>
        <w:t>Le Domaine</w:t>
      </w:r>
    </w:p>
    <w:p>
      <w:pPr>
        <w:spacing w:before="60" w:after="60" w:line="320" w:lineRule="auto"/>
        <w:jc w:val="both"/>
      </w:pPr>
      <w:r>
        <w:t xml:space="preserve">Amaury a fait fermer toutes les pièces avant votre arrivée — pour préserver les preuves, et empêcher quiconque de les altérer pendant qu’on vous attendait. À votre retour, seuls </w:t>
      </w:r>
      <w:r>
        <w:rPr>
          <w:b/>
          <w:bCs/>
        </w:rPr>
        <w:t>le jardin et le potager</w:t>
      </w:r>
      <w:r>
        <w:t xml:space="preserve"> vous sont accessibles. Il vous ouvrira les autres pièces une à une, à mesure que votre enquête l’exigera.</w:t>
      </w:r>
    </w:p>
    <w:p>
      <w:pPr>
        <w:spacing w:before="60" w:after="60" w:line="320" w:lineRule="auto"/>
        <w:jc w:val="both"/>
      </w:pPr>
      <w:r>
        <w:t>Une porte refusée n’est jamais un caprice de votre mari : c’est un appel à creuser ailleurs avant.</w:t>
      </w:r>
    </w:p>
    <w:p>
      <w:pPr>
        <w:spacing w:before="60" w:after="60" w:line="320" w:lineRule="auto"/>
        <w:jc w:val="both"/>
      </w:pPr>
      <w:r>
        <w:t xml:space="preserve">Le déroulé : quatre actes</w:t>
      </w:r>
    </w:p>
    <w:p>
      <w:pPr>
        <w:spacing w:before="60" w:after="60" w:line="320" w:lineRule="auto"/>
        <w:jc w:val="both"/>
      </w:pPr>
      <w:r>
        <w:t xml:space="preserve">Sir Amaury vous ouvrira les pièces une à une, à mesure que vos questions le justifient — Acte I : le jardin et le potager (tout commence dehors) ; Acte II : le bar et le salon (où le toast a eu lieu et où les manteaux pendent encore sur les tabourets) ; Acte III : le couloir intérieur, les chambres, le placard ; Acte IV : la dépendance — l’atelier où Léa écrivait, où on l’a retrouvée. Si une porte ne s’ouvre pas, c’est qu’il vous reste à interroger ailleurs avant.</w:t>
      </w:r>
    </w:p>
    <w:p>
      <w:r>
        <w:br w:type="page"/>
      </w:r>
    </w:p>
    <w:p>
      <w:pPr>
        <w:spacing w:before="280" w:after="120"/>
      </w:pPr>
      <w:r>
        <w:rPr>
          <w:b/>
          <w:bCs/>
          <w:color w:val="5D4037"/>
          <w:sz w:val="26"/>
          <w:szCs w:val="26"/>
        </w:rPr>
        <w:t>Plan du Domaine</w:t>
      </w:r>
    </w:p>
    <w:p>
      <w:pPr>
        <w:spacing w:before="60" w:after="60" w:line="320" w:lineRule="auto"/>
        <w:jc w:val="both"/>
      </w:pPr>
      <w:r>
        <w:rPr>
          <w:i/>
          <w:iCs/>
        </w:rPr>
        <w:t>Dressé par Amaury à votre intention.</w:t>
      </w:r>
    </w:p>
    <w:p>
      <w:pPr>
        <w:spacing w:before="60" w:after="60" w:line="320" w:lineRule="auto"/>
        <w:jc w:val="both"/>
      </w:pPr>
      <w:r>
        <w:rPr>
          <w:i/>
          <w:iCs/>
        </w:rPr>
        <w:t xml:space="preserve">Le coffret final</w:t>
      </w:r>
    </w:p>
    <w:p>
      <w:pPr>
        <w:spacing w:before="60" w:after="60" w:line="320" w:lineRule="auto"/>
        <w:jc w:val="both"/>
      </w:pPr>
      <w:r>
        <w:rPr>
          <w:i/>
          <w:iCs/>
        </w:rPr>
        <w:t xml:space="preserve">Dans le jardin, sous la malle de rotin, Léa a glissé une boîte fermée par un cadenas à trois chiffres. Elle préparait son départ — ce qu’elle a laissé là est essentiel. Le code change chaque jour ; il dérive du carnet personnel de Léa, conservé dans son atelier. Une grille de chiffrement y figure, ainsi qu’un journal de bord poétique daté. Liez la grille à l’entrée du jour, et le coffret cèdera. Ce qu’il contient ouvrira tout le reste.</w:t>
      </w:r>
    </w:p>
    <w:p>
      <w:pPr>
        <w:spacing w:before="200" w:after="200"/>
        <w:jc w:val="center"/>
      </w:pPr>
      <w:r>
        <w:drawing>
          <ns3:inline distT="0" distB="0" distL="0" distR="0">
            <ns3:extent cx="4572000" cy="7459578"/>
            <ns3:effectExtent l="0" t="0" r="0" b="0"/>
            <ns3:docPr id="100" name="Plan du Domaine"/>
            <ns3:cNvGraphicFramePr>
              <ns4:graphicFrameLocks noChangeAspect="1"/>
            </ns3:cNvGraphicFramePr>
            <ns4:graphic>
              <ns4:graphicData uri="http://schemas.openxmlformats.org/drawingml/2006/picture">
                <ns5:pic>
                  <ns5:nvPicPr>
                    <ns5:cNvPr id="100" name="Plan"/>
                    <ns5:cNvPicPr/>
                  </ns5:nvPicPr>
                  <ns5:blipFill>
                    <ns4:blip ns2:embed="rIdPlanChloe"/>
                    <ns4:stretch>
                      <ns4:fillRect/>
                    </ns4:stretch>
                  </ns5:blipFill>
                  <ns5:spPr>
                    <ns4:xfrm>
                      <ns4:off x="0" y="0"/>
                      <ns4:ext cx="4572000" cy="7459578"/>
                    </ns4:xfrm>
                    <ns4:prstGeom prst="rect">
                      <ns4:avLst/>
                    </ns4:prstGeom>
                  </ns5:spPr>
                </ns5:pic>
              </ns4:graphicData>
            </ns4:graphic>
          </ns3:inline>
        </w:drawing>
      </w:r>
    </w:p>
    <w:p>
      <w:pPr>
        <w:spacing w:before="280" w:after="120"/>
      </w:pPr>
      <w:r>
        <w:rPr>
          <w:b/>
          <w:bCs/>
          <w:color w:val="5D4037"/>
          <w:sz w:val="26"/>
          <w:szCs w:val="26"/>
        </w:rPr>
        <w:t>La révélation</w:t>
      </w:r>
    </w:p>
    <w:p>
      <w:pPr>
        <w:spacing w:before="60" w:after="60" w:line="320" w:lineRule="auto"/>
        <w:jc w:val="both"/>
      </w:pPr>
      <w:r>
        <w:t>Quand vous aurez identifié la coupable et tenu la preuve qui confond, à vous de la confronter publiquement. Improvisez la tirade qui vous ressemble, dans le ton de votre plume. Amaury vous laissera la parole, et le salon se taira. C’est votre soirée. C’est votre voix.</w:t>
      </w:r>
    </w:p>
    <w:p>
      <w:pPr>
        <w:spacing w:before="180" w:after="180"/>
        <w:jc w:val="center"/>
      </w:pPr>
      <w:r>
        <w:rPr>
          <w:color w:val="8D6E63"/>
        </w:rPr>
        <w:t>❦ ❦ ❦</w:t>
      </w:r>
    </w:p>
    <w:sectPr>
      <w:headerReference w:type="default" ns2:id="rIdHeader"/>
      <w:footerReference w:type="default" ns2:id="rIdFooter"/>
      <w:pgBorders w:offsetFrom="page">
        <w:top w:val="thinThickSmallGap" w:sz="24" w:space="24" w:color="B8860B"/>
        <w:left w:val="thinThickSmallGap" w:sz="24" w:space="24" w:color="B8860B"/>
        <w:bottom w:val="thickThinSmallGap" w:sz="24" w:space="24" w:color="B8860B"/>
        <w:right w:val="thickThinSmallGap" w:sz="24" w:space="24" w:color="B8860B"/>
      </w:pgBorders>
      <w:pgSz w:w="11906" w:h="16838"/>
      <w:pgMar w:top="1700" w:right="1417" w:bottom="1700" w:left="1417"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r>
      <w:rPr>
        <w:color w:val="B8860B"/>
        <w:sz w:val="20"/>
        <w:rFonts w:ascii="Garamond" w:hAnsi="Garamond"/>
      </w:rPr>
      <w:t>❦  </w:t>
    </w:r>
    <w:r>
      <w:rPr>
        <w:color w:val="6D4C41"/>
        <w:sz w:val="20"/>
        <w:rFonts w:ascii="Garamond" w:hAnsi="Garamond"/>
      </w:rPr>
      <w:fldChar w:fldCharType="begin"/>
    </w:r>
    <w:r>
      <w:rPr>
        <w:color w:val="6D4C41"/>
        <w:sz w:val="20"/>
        <w:rFonts w:ascii="Garamond" w:hAnsi="Garamond"/>
      </w:rPr>
      <w:instrText xml:space="preserve"> PAGE </w:instrText>
    </w:r>
    <w:r>
      <w:rPr>
        <w:color w:val="6D4C41"/>
        <w:sz w:val="20"/>
        <w:rFonts w:ascii="Garamond" w:hAnsi="Garamond"/>
      </w:rPr>
      <w:fldChar w:fldCharType="end"/>
    </w:r>
    <w:r>
      <w:rPr>
        <w:color w:val="B8860B"/>
        <w:sz w:val="20"/>
        <w:rFonts w:ascii="Garamond" w:hAnsi="Garamond"/>
      </w:rPr>
      <w:t>  ❦</w:t>
    </w:r>
  </w:p>
</w:ftr>
</file>

<file path=word/header1.xml><?xml version="1.0" encoding="utf-8"?>
<w:hdr xmlns:w="http://schemas.openxmlformats.org/wordprocessingml/2006/main">
  <w:p>
    <w:pPr>
      <w:jc w:val="center"/>
    </w:pPr>
    <w:r>
      <w:rPr>
        <w:i/>
        <w:iCs/>
        <w:color w:val="8D6E63"/>
        <w:sz w:val="20"/>
        <w:rFonts w:ascii="Garamond" w:hAnsi="Garamond"/>
      </w:rPr>
      <w:t>Domaine des Beuhaies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Header" Type="http://schemas.openxmlformats.org/officeDocument/2006/relationships/header" Target="header1.xml"/><Relationship Id="rIdFooter" Type="http://schemas.openxmlformats.org/officeDocument/2006/relationships/footer" Target="footer1.xml"/><Relationship Id="rIdPlanChloe" Type="http://schemas.openxmlformats.org/officeDocument/2006/relationships/image" Target="media/plan_chloe.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