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Les quatre actes — par environnement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Principe directeur</w:t>
      </w:r>
    </w:p>
    <w:p>
      <w:pPr>
        <w:spacing w:before="60" w:after="60" w:line="300" w:lineRule="auto"/>
        <w:jc w:val="both"/>
      </w:pPr>
      <w:r>
        <w:t xml:space="preserve">Quatre lieux, quatre paliers narratifs, quatre suspects principaux qui se relaient au foyer dramatique. À chaque acte, un nouveau lieu s’ouvre, un nouveau suspect prend le devant de la scène. Les autres ne disparaissent jamais — ils continuent de se laisser interroger. </w:t>
      </w:r>
      <w:r>
        <w:rPr>
          <w:b/>
          <w:bCs/>
        </w:rPr>
        <w:t>Le jardin ET le potager sont accessibles dès le début.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Acte I — Le jardin et le potager · Foyer : Lord Louis-Marc</w:t>
      </w:r>
    </w:p>
    <w:p>
      <w:pPr>
        <w:spacing w:before="60" w:after="60" w:line="300" w:lineRule="auto"/>
        <w:jc w:val="both"/>
      </w:pPr>
      <w:r>
        <w:rPr>
          <w:b/>
          <w:bCs/>
        </w:rPr>
        <w:t>Lieux ouverts</w:t>
      </w:r>
      <w:r>
        <w:t xml:space="preserve"> : jardin (banc, barbecue, </w:t>
      </w:r>
      <w:r>
        <w:rPr>
          <w:b/>
          <w:bCs/>
        </w:rPr>
        <w:t>malle de rotin</w:t>
      </w:r>
      <w:r>
        <w:t>) + potager (allées, rangées de légumes).</w:t>
      </w:r>
    </w:p>
    <w:p>
      <w:pPr>
        <w:spacing w:before="60" w:after="60" w:line="300" w:lineRule="auto"/>
        <w:jc w:val="both"/>
      </w:pPr>
      <w:r>
        <w:rPr>
          <w:b/>
          <w:bCs/>
        </w:rPr>
        <w:t>Foyer dramatique</w:t>
      </w:r>
      <w:r>
        <w:t xml:space="preserve"> : Lord Louis-Marc. Il a fumé seul au banc entre 16h55 et 17h20. Il a tenté de brûler un mot — qui lui a échappé. Tatoine l’a vu.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Indices physiques disponibles dès l’Acte I</w:t>
      </w:r>
    </w:p>
    <w:p>
      <w:pPr>
        <w:spacing w:before="60" w:after="60" w:line="300" w:lineRule="auto"/>
        <w:jc w:val="both"/>
      </w:pPr>
      <w:r>
        <w:rPr>
          <w:b/>
          <w:bCs/>
        </w:rPr>
        <w:t>1. Le mot perdu de Léa, près du banc</w:t>
      </w:r>
      <w:r>
        <w:t xml:space="preserve"> : à dissimuler dans l’herbe ou sous un caillou à quelques pas du banc, légèrement carbonisé sur un bord. Texte : « Mon cher Lord Louis-Marc, on porte certains secrets cinq années entières avant qu’une plume étrangère ne les surprenne. Je sais — pour Gautier, et pour vous. Cinq cents livres, samedi soir sans faute, et la rumeur s’éteint dans l’œuf. — L. » → mène à Louis (chantage liaison Gautier).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2. Le fragment de papier brûlé au barbecue : un petit morceau noirci portant les mots « ...la Grande Leu... » + une signature partielle « ...e Pavy ». À placer dans les cendres du barbecue (à allumer brièvement avant l’arrivée de Chloé pour la crédibilité). → Pour le MJ : ce fragment est ce qu’il reste de la lettre que Léa avait préparée pour Amandinette et qui se trouvait dans l’atelier — Amandinette l’a prise sur Léa agonisante à 17h25 puis a tenté de la brûler au barbecue à 17h30 (interrompue par des voix dans le couloir, elle a fui avant combustion complète). Les deux indices visibles confirment : (a) la lettre mentionnait « la Grande Leu(leu) » — référence à l’identité usurpée d’Amandinette ; (b) elle était signée « ...e Pavy » — c’est-à-dire « Léa de Pavy ». Mène, plus tard, à Amandinette de la Grande Leuleu (énigme finale, Acte IV).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>3. La malle de rotin du jardin</w:t>
      </w:r>
      <w:r>
        <w:t xml:space="preserve"> : ouverte, accessible. À l’intérieur : un châle de Léa, un livre annoté, un éventail abîmé, </w:t>
      </w:r>
      <w:r>
        <w:rPr>
          <w:b/>
          <w:bCs/>
        </w:rPr>
        <w:t>et une petite boîte en bois cadenassée</w:t>
      </w:r>
      <w:r>
        <w:t xml:space="preserve"> (cadenas 3 chiffres, code 1-7-3). À ce stade, Chloé voit la boîte mais ne peut pas l’ouvrir. Aucun convive ne sait à qui appartient la malle — elle est là depuis longtemps. (Sir Tatoine peut, sur question, dire qu’il croit que c’est celle de Léa, mais sans certitude.)</w:t>
      </w:r>
    </w:p>
    <w:p>
      <w:pPr>
        <w:spacing w:before="60" w:after="60" w:line="300" w:lineRule="auto"/>
        <w:jc w:val="both"/>
      </w:pPr>
      <w:r>
        <w:rPr>
          <w:b/>
          <w:bCs/>
        </w:rPr>
        <w:t>4. Le banc</w:t>
      </w:r>
      <w:r>
        <w:t xml:space="preserve"> : cendrier rempli de mégots (Louis a fumé longuement). Trace au sol d’un papier qui a roulé.</w:t>
      </w:r>
    </w:p>
    <w:p>
      <w:pPr>
        <w:spacing w:before="60" w:after="60" w:line="300" w:lineRule="auto"/>
        <w:jc w:val="both"/>
      </w:pPr>
      <w:r>
        <w:rPr>
          <w:b/>
          <w:bCs/>
        </w:rPr>
        <w:t>5. Le potager</w:t>
      </w:r>
      <w:r>
        <w:t xml:space="preserve"> : aucun indice matériel — seulement des témoignages (le baiser Marie-Léa à 16h50, le passage de Gautier à 17h10-17h30).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Témoignages à provoquer à l’Acte I</w:t>
      </w:r>
    </w:p>
    <w:p>
      <w:pPr>
        <w:spacing w:before="60" w:after="60" w:line="300" w:lineRule="auto"/>
        <w:jc w:val="both"/>
      </w:pPr>
      <w:r>
        <w:rPr>
          <w:b/>
          <w:bCs/>
        </w:rPr>
        <w:t>Sir Tatoine</w:t>
      </w:r>
      <w:r>
        <w:t xml:space="preserve"> (témoin bavard) : raconte la dispute Louis-Léa à 16h20, le geste de brûlure de Louis au banc, le passage de Gautier vers 17h10 avec mallette, le passage d’Amandinette à 17h15.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</w:t>
      </w:r>
      <w:r>
        <w:t xml:space="preserve"> (témoin bavard) : raconte la découverte du corps + le baiser Marie-Léa au potager à 16h50.</w:t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(témoin discret) : si Chloé lui demande, livre la dispute Gautier-Léa de 16h15 vue depuis la fenêtre du salon du bar.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Lord Louis-Marc (suspect — Acte I phase) : confirme la mort, donne la digitaline + le délai d’action (20-40 min → ingestion vers 16h45-17h05 = le toast). Reste vague sur la dispute, sur le mot, sur le vol de la fiole. (La digitaline est corroborée par le résidu de la flûte et les symptômes — la parole de Louis, suspect, n’est pas la seule source.)</w:t>
      </w:r>
      <w:r>
        <w:t xml:space="preserve"/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Levier de craquage Louis (déclenchable en Acte I si Chloé est rapide)</w:t>
      </w:r>
    </w:p>
    <w:p>
      <w:pPr>
        <w:spacing w:before="60" w:after="60" w:line="300" w:lineRule="auto"/>
        <w:jc w:val="both"/>
      </w:pPr>
      <w:r>
        <w:t>Si Chloé trouve le mot du banc → confrontation → Louis craque sur la liaison Gautier (et sur Léa qui le faisait chanter).</w:t>
      </w:r>
    </w:p>
    <w:p>
      <w:pPr>
        <w:spacing w:before="60" w:after="60" w:line="300" w:lineRule="auto"/>
        <w:jc w:val="both"/>
      </w:pPr>
      <w:r>
        <w:t>Sinon, ce levier passe en Acte II ou III.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Déclencheur de passage à l’Acte II</w:t>
      </w:r>
    </w:p>
    <w:p>
      <w:pPr>
        <w:spacing w:before="60" w:after="60" w:line="300" w:lineRule="auto"/>
        <w:jc w:val="both"/>
      </w:pPr>
      <w:r>
        <w:t xml:space="preserve">Quand Chloé a interrogé 3-4 convives au jardin et au potager, et qu’elle évoque le besoin de voir « où ils étaient à 16h45 » ou « où le toast a eu lieu », vous ouvrez le </w:t>
      </w:r>
      <w:r>
        <w:rPr>
          <w:b/>
          <w:bCs/>
        </w:rPr>
        <w:t>salon du bar et le bar</w:t>
      </w:r>
      <w:r>
        <w:t xml:space="preserve">. Phrase de transition possible : </w:t>
      </w:r>
      <w:r>
        <w:rPr>
          <w:i/>
          <w:iCs/>
        </w:rPr>
        <w:t>« Tu veux voir le salon ? Suis-moi, je te le déverrouille. »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