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Amie d’enfance. Nous avons fait notre éducation au même couvent. Sa mort me bouleverse — mais une duchesse ne s’effondre pas en public. »</w:t>
      </w:r>
    </w:p>
    <w:p>
      <w:pPr>
        <w:spacing w:before="240" w:after="100"/>
      </w:pPr>
      <w:r>
        <w:rPr>
          <w:b/>
          <w:bCs/>
          <w:color w:val="5D4037"/>
          <w:sz w:val="24"/>
          <w:szCs w:val="24"/>
        </w:rPr>
        <w:t xml:space="preserve">Sur quelque chose d’étrange peu avant sa mort : « Rien. J’étais à la salle de bain avec une migraine atroce. Je n’ai croisé personne.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Choquée, oui — mais maîtresse de moi. Léa avait ses ennemis ; elle savait à quoi s’en tenir.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ne saurais vous renseigner sur ce point — ma migraine m’a tenue à l’écart de tout l’après-midi. »</w:t>
      </w:r>
    </w:p>
    <w:p>
      <w:pPr>
        <w:spacing w:before="240" w:after="100"/>
      </w:pPr>
      <w:r>
        <w:rPr>
          <w:b/>
          <w:bCs/>
          <w:color w:val="5D4037"/>
          <w:sz w:val="24"/>
          <w:szCs w:val="24"/>
        </w:rPr>
        <w:t xml:space="preserve">Sur votre chantage par Léa : NIEZ TOUT. La menace identité ne sort qu’au coffret final.</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