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Femme brillante, plume redoutée. Je la croisais aux soirées. »</w:t>
      </w:r>
    </w:p>
    <w:p>
      <w:pPr>
        <w:spacing w:before="240" w:after="100"/>
      </w:pPr>
      <w:r>
        <w:rPr>
          <w:b/>
          <w:bCs/>
          <w:color w:val="5D4037"/>
          <w:sz w:val="24"/>
          <w:szCs w:val="24"/>
        </w:rPr>
        <w:t xml:space="preserve">Sur quelque chose d’étrange peu avant sa mort : « Mon épouse Amandinette m’a paru tendue depuis ce matin. Et Léa, plus silencieuse que de coutume.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Inquiet — pour Amandinette, surtout. C’est une nature délicate.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suivi tous les détails — j’étais avec mon épouse. »</w:t>
      </w:r>
    </w:p>
    <w:p>
      <w:pPr>
        <w:spacing w:before="240" w:after="100"/>
      </w:pPr>
      <w:r>
        <w:rPr>
          <w:b/>
          <w:bCs/>
          <w:color w:val="5D4037"/>
          <w:sz w:val="24"/>
          <w:szCs w:val="24"/>
        </w:rPr>
        <w:t xml:space="preserve">Sur le chantage Vienne : NIEZ jusqu’à ce que Chloé brandisse la lettre trouvée dans votre manteau.</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