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re3"/>
        <w:spacing w:before="200" w:after="100"/>
      </w:pPr>
      <w:r>
        <w:rPr>
          <w:b/>
          <w:bCs/>
          <w:color w:val="795548"/>
        </w:rPr>
        <w:t>Acte II — Le bar et le salon du bar · Foyers : Lord Nicolas, puis Duc Théodorette</w:t>
      </w:r>
    </w:p>
    <w:p>
      <w:pPr>
        <w:spacing w:before="60" w:after="60" w:line="300" w:lineRule="auto"/>
        <w:jc w:val="both"/>
      </w:pPr>
      <w:r>
        <w:rPr>
          <w:b/>
          <w:bCs/>
        </w:rPr>
        <w:t>Lieux ouverts à ce stade</w:t>
      </w:r>
      <w:r>
        <w:t xml:space="preserve"> : jardin, potager, </w:t>
      </w:r>
      <w:r>
        <w:rPr>
          <w:b/>
          <w:bCs/>
        </w:rPr>
        <w:t>salon du bar et bar</w:t>
      </w:r>
      <w:r>
        <w:t xml:space="preserve"> (que vous venez d’ouvrir).</w:t>
      </w:r>
    </w:p>
    <w:p>
      <w:pPr>
        <w:spacing w:before="60" w:after="60" w:line="300" w:lineRule="auto"/>
        <w:jc w:val="both"/>
      </w:pPr>
      <w:r>
        <w:rPr>
          <w:b/>
          <w:bCs/>
        </w:rPr>
        <w:t>Foyers dramatiques</w:t>
      </w:r>
      <w:r>
        <w:t xml:space="preserve"> : Lord Nicolas (la fiole vide va être trouvée dans son manteau) puis Duc Théodorette (la lettre de chantage de Vienne est dans son manteau).</w:t>
      </w:r>
    </w:p>
    <w:p>
      <w:pPr>
        <w:pStyle w:val="Titre3"/>
        <w:spacing w:before="200" w:after="100"/>
      </w:pPr>
      <w:r>
        <w:rPr>
          <w:b/>
          <w:bCs/>
          <w:color w:val="795548"/>
        </w:rPr>
        <w:t>Indices physiques de l’Acte II</w:t>
      </w:r>
    </w:p>
    <w:p>
      <w:pPr>
        <w:spacing w:before="60" w:after="60" w:line="300" w:lineRule="auto"/>
        <w:jc w:val="both"/>
      </w:pPr>
      <w:r>
        <w:rPr>
          <w:b/>
          <w:bCs/>
        </w:rPr>
        <w:t>1. Les manteaux sur les tabourets du bar</w:t>
      </w:r>
      <w:r>
        <w:t xml:space="preserve"> : Chloé peut les fouiller. Dans le manteau de </w:t>
      </w:r>
      <w:r>
        <w:rPr>
          <w:b/>
          <w:bCs/>
        </w:rPr>
        <w:t>Lord Nicolas</w:t>
      </w:r>
      <w:r>
        <w:t xml:space="preserve"> : une fiole en verre vide étiquetée « digitaline » (plantée par Amandinette). Dans le manteau du </w:t>
      </w:r>
      <w:r>
        <w:rPr>
          <w:b/>
          <w:bCs/>
        </w:rPr>
        <w:t>Duc Théodorette</w:t>
      </w:r>
      <w:r>
        <w:t xml:space="preserve"> : une lettre pliée, « Monsieur le Duc, la diplomatie de Vienne n’épargne jamais les imprudents — et je crains qu’une certaine note confidentielle n’ait laissé plus de traces qu’on ne le souhaiterait. Mille cinq cents livres me feront perdre le fil de cette rumeur. — L. »</w:t>
      </w:r>
    </w:p>
    <w:p>
      <w:pPr>
        <w:spacing w:before="60" w:after="60" w:line="300" w:lineRule="auto"/>
        <w:jc w:val="both"/>
      </w:pPr>
      <w:r>
        <w:rPr>
          <w:b/>
          <w:bCs/>
        </w:rPr>
        <w:t>2. La flûte de Léa</w:t>
      </w:r>
      <w:r>
        <w:t xml:space="preserve"> : restée sur le buffet du salon du bar depuis le toast (Sir Amaury veillera à la conserver). Faibles traces ambres. À l’analyse — ou si Louis la sent — confirme la digitaline.</w:t>
      </w:r>
    </w:p>
    <w:p>
      <w:pPr>
        <w:spacing w:before="60" w:after="60" w:line="300" w:lineRule="auto"/>
        <w:jc w:val="both"/>
      </w:pPr>
      <w:r>
        <w:rPr>
          <w:b/>
          <w:bCs/>
        </w:rPr>
        <w:t>3. Le tiroir du buffet du bar</w:t>
      </w:r>
      <w:r>
        <w:t xml:space="preserve"> : Chloé peut y jeter un œil. Il contient des serviettes, un tire-bouchon, un cendrier de rechange. </w:t>
      </w:r>
      <w:r>
        <w:rPr>
          <w:b/>
          <w:bCs/>
        </w:rPr>
        <w:t>PAS la clef de la dépendance</w:t>
      </w:r>
      <w:r>
        <w:t xml:space="preserve"> — elle y était habituellement, mais elle a disparu. À ce stade Chloé ne le sait pas encore (cela viendra à l’Acte III).</w:t>
      </w:r>
    </w:p>
    <w:p>
      <w:pPr>
        <w:pStyle w:val="Titre3"/>
        <w:spacing w:before="200" w:after="100"/>
      </w:pPr>
      <w:r>
        <w:rPr>
          <w:b/>
          <w:bCs/>
          <w:color w:val="795548"/>
        </w:rPr>
        <w:t>Témoignages à provoquer à l’Acte II</w:t>
      </w:r>
    </w:p>
    <w:p>
      <w:pPr>
        <w:spacing w:before="60" w:after="60" w:line="300" w:lineRule="auto"/>
        <w:jc w:val="both"/>
      </w:pPr>
      <w:r>
        <w:rPr>
          <w:b/>
          <w:bCs/>
        </w:rPr>
        <w:t>Lady Cloé Fischer (Clochette)</w:t>
      </w:r>
      <w:r>
        <w:t xml:space="preserve"> : raconte Tatoine fumant au jardin à 17h05, Gautier passant au jardin à 17h10 avec mallette, Louis rentrant l’air sec à 17h20. </w:t>
      </w:r>
      <w:r>
        <w:rPr>
          <w:b/>
          <w:bCs/>
        </w:rPr>
        <w:t>Garde Amandinette à 17h32 pour l’Acte III.</w:t>
      </w:r>
    </w:p>
    <w:p>
      <w:pPr>
        <w:spacing w:before="60" w:after="60" w:line="300" w:lineRule="auto"/>
        <w:jc w:val="both"/>
      </w:pPr>
      <w:r>
        <w:rPr>
          <w:b/>
          <w:bCs/>
        </w:rPr>
        <w:t>Lady Boulet de Myrtilles</w:t>
      </w:r>
      <w:r>
        <w:t xml:space="preserve"> : silhouette aux tabourets à 17h36, glissant quelque chose dans une veste (= Amandinette plantant la fiole). Ne reconnaît pas le visage. </w:t>
      </w:r>
      <w:r>
        <w:rPr>
          <w:b/>
          <w:bCs/>
        </w:rPr>
        <w:t>Et anomalies sur Amandinette</w:t>
      </w:r>
      <w:r>
        <w:t xml:space="preserve"> : « les Parisette de sa branche ne figurent pas dans mes annuaires ».</w:t>
      </w:r>
    </w:p>
    <w:p>
      <w:pPr>
        <w:spacing w:before="60" w:after="60" w:line="300" w:lineRule="auto"/>
        <w:jc w:val="both"/>
      </w:pPr>
      <w:r>
        <w:rPr>
          <w:b/>
          <w:bCs/>
        </w:rPr>
        <w:t>Lady Romanette</w:t>
      </w:r>
      <w:r>
        <w:t xml:space="preserve"> : Marie sortant troublée du potager à 16h55. Théodorette qui rentre du couloir intérieur à 17h20, bouleversé (PIVOT). Amandinette glissant à Léa pendant le toast : « Nous devons parler. Seules. »</w:t>
      </w:r>
    </w:p>
    <w:p>
      <w:pPr>
        <w:spacing w:before="120" w:after="120"/>
      </w:pPr>
      <w:r>
        <w:rPr>
          <w:sz w:val="22"/>
        </w:rPr>
        <w:t xml:space="preserve">Lady Marie (PIVOT secondaire) : si Chloé l’interroge sur le couloir, Marie livre avoir vu une silhouette féminine en robe sombre traverser à 17h13-17h15 vers le jardin. Marie ne reconnaît pas — mais le créneau et le sens (couloir → jardin) coïncident exactement avec le trajet d’Amandinette (sortie de la salle de bain par le couloir à 17h13, vue par Tatoine au jardin à 17h15). Le faire dire à Chloé : « une femme, vers le jardin, à 17h13-17h15 » + Tatoine « Amandinette au jardin à 17h15 » = Amandinette dans le couloir à 17h13-17h15. Triangulation à inciter discrètement.</w:t>
      </w:r>
    </w:p>
    <w:p>
      <w:pPr>
        <w:spacing w:before="60" w:after="60" w:line="300" w:lineRule="auto"/>
        <w:jc w:val="both"/>
      </w:pPr>
      <w:r>
        <w:rPr>
          <w:b/>
          <w:bCs/>
        </w:rPr>
        <w:t>Lady Victoria</w:t>
      </w:r>
      <w:r>
        <w:t xml:space="preserve"> : Marie et Léa s’embrassant au potager à 16h50.</w:t>
      </w:r>
    </w:p>
    <w:p>
      <w:pPr>
        <w:pStyle w:val="Titre3"/>
        <w:spacing w:before="200" w:after="100"/>
      </w:pPr>
      <w:r>
        <w:rPr>
          <w:b/>
          <w:bCs/>
          <w:color w:val="795548"/>
        </w:rPr>
        <w:t>Leviers de craquage à l’Acte II</w:t>
      </w:r>
    </w:p>
    <w:p>
      <w:pPr>
        <w:spacing w:before="60" w:after="60" w:line="300" w:lineRule="auto"/>
        <w:jc w:val="both"/>
      </w:pPr>
      <w:r>
        <w:rPr>
          <w:b/>
          <w:bCs/>
        </w:rPr>
        <w:t>Nicolas</w:t>
      </w:r>
      <w:r>
        <w:t xml:space="preserve"> : si Chloé trouve la fiole dans son manteau, il nie violemment. Il contre-attaque (sans envoyer Chloé à un endroit, juste factuellement) : « Lord Gautier rentrait du jardin l’air d’un homme qui revenait d’un mauvais coup. Demandez à Sir Tatoine où j’étais. » Pour le faire craquer sur Plumeau, il faut la preuve (article publié, ou Romanette ayant craqué).</w:t>
      </w:r>
    </w:p>
    <w:p>
      <w:pPr>
        <w:spacing w:before="60" w:after="60" w:line="300" w:lineRule="auto"/>
        <w:jc w:val="both"/>
      </w:pPr>
      <w:r>
        <w:rPr>
          <w:b/>
          <w:bCs/>
        </w:rPr>
        <w:t>Théodorette</w:t>
      </w:r>
      <w:r>
        <w:t xml:space="preserve"> : si Chloé trouve la lettre dans son manteau → craque sur Vienne. Si Chloé brandit le témoignage de Romanette (17h20 couloir) → craque sur l’alibi (a cherché Amandinette au jardin).</w:t>
      </w:r>
    </w:p>
    <w:p>
      <w:pPr>
        <w:spacing w:after="100"/>
      </w:pPr>
      <w:r>
        <w:rPr>
          <w:i/>
          <w:sz w:val="22"/>
        </w:rPr>
        <w:t xml:space="preserve">DÉDUCTION CLEF (à provoquer) : faites décrire à Théodorette le « faux pas » d’Amandinette au toast (« elle s’est rattrapée à la coupe de Léa »). Croisé avec la déduction de Louis (ingestion au toast vers 16h45), cela désigne Amandinette comme celle qui tenait le verre empoisonné au moment fatal. C’est le lien physique le plus direct vers la coupable — bien plus parlant que la fiole plantée chez Nicolas (fausse piste).</w:t>
      </w:r>
    </w:p>
    <w:p>
      <w:pPr>
        <w:spacing w:before="60" w:after="60" w:line="300" w:lineRule="auto"/>
        <w:jc w:val="both"/>
      </w:pPr>
      <w:r>
        <w:rPr>
          <w:b/>
          <w:bCs/>
        </w:rPr>
        <w:t>Marie</w:t>
      </w:r>
      <w:r>
        <w:t xml:space="preserve"> : si Chloé évoque le potager (par Victoria ou Romanette) → craque sur sa liaison avec Léa.</w:t>
      </w:r>
    </w:p>
    <w:p>
      <w:pPr>
        <w:spacing w:before="60" w:after="60" w:line="300" w:lineRule="auto"/>
        <w:jc w:val="both"/>
      </w:pPr>
      <w:r>
        <w:rPr>
          <w:b/>
          <w:bCs/>
        </w:rPr>
        <w:t>Marie livre aussi ses soupçons flous</w:t>
      </w:r>
      <w:r>
        <w:t xml:space="preserve"> (« Ce que je crois ») : elle pointe vers Amandinette (« nous devons parler »), Nicolas (haine ouverte), Gautier (homme aux abois), Boulet de Myrtilles (trop discrète), Clochette (nervosité). Mélange vrais et faux signaux.</w:t>
      </w:r>
    </w:p>
    <w:p>
      <w:pPr>
        <w:pStyle w:val="Titre3"/>
        <w:spacing w:before="200" w:after="100"/>
      </w:pPr>
      <w:r>
        <w:rPr>
          <w:b/>
          <w:bCs/>
          <w:color w:val="795548"/>
        </w:rPr>
        <w:t>Déclencheur de passage à l’Acte III</w:t>
      </w:r>
    </w:p>
    <w:p>
      <w:pPr>
        <w:spacing w:before="60" w:after="60" w:line="300" w:lineRule="auto"/>
        <w:jc w:val="both"/>
      </w:pPr>
      <w:r>
        <w:t xml:space="preserve">Quand Chloé évoque des déplacements suspects à l’intérieur (Théodorette dans le couloir, Gautier qui rentre pressé, quelqu’un qui aurait pu prendre la clef), vous ouvrez le </w:t>
      </w:r>
      <w:r>
        <w:rPr>
          <w:b/>
          <w:bCs/>
        </w:rPr>
        <w:t>couloir intérieur, le placard, les chambres</w:t>
      </w:r>
      <w:r>
        <w:t xml:space="preserve">. </w:t>
      </w:r>
      <w:r>
        <w:rPr>
          <w:i/>
          <w:iCs/>
        </w:rPr>
        <w:t>« Le couloir et les chambres sont à toi maintenant. »</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