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w="http://schemas.openxmlformats.org/wordprocessingml/2006/main" ns1:Ignorable="w14 w15 wp14">
  <w:body>
    <w:p>
      <w:pPr>
        <w:pStyle w:val="Titre2"/>
        <w:spacing w:before="280" w:after="140"/>
      </w:pPr>
      <w:r>
        <w:rPr>
          <w:b/>
          <w:bCs/>
          <w:color w:val="6D4C41"/>
          <w:sz w:val="30"/>
          <w:szCs w:val="30"/>
        </w:rPr>
        <w:t>Tableau des alibis croisés</w:t>
      </w:r>
    </w:p>
    <w:p>
      <w:pPr>
        <w:spacing w:before="60" w:after="60" w:line="300" w:lineRule="auto"/>
        <w:jc w:val="both"/>
      </w:pPr>
      <w:r>
        <w:t>Le crime a eu lieu dans la dépendance entre 17h20 et 17h25. Tous les alibis se vérifient autour de cette fenêtre critique.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Alibis solides (témoins multiples)</w:t>
      </w:r>
    </w:p>
    <w:tbl>
      <w:tblPr>
        <w:tblW w:w="9360" w:type="dxa"/>
        <w:tblBorders>
          <w:top w:val="single" w:sz="4" w:space="0" w:color="D7CCC8"/>
          <w:left w:val="single" w:sz="4" w:space="0" w:color="D7CCC8"/>
          <w:bottom w:val="single" w:sz="4" w:space="0" w:color="D7CCC8"/>
          <w:right w:val="single" w:sz="4" w:space="0" w:color="D7CCC8"/>
          <w:insideH w:val="single" w:sz="4" w:space="0" w:color="D7CCC8"/>
          <w:insideV w:val="single" w:sz="4" w:space="0" w:color="D7CCC8"/>
        </w:tblBorders>
        <w:tblLook w:val="04A0"/>
      </w:tblPr>
      <w:tblGrid>
        <w:gridCol w:w="2500"/>
        <w:gridCol w:w="3500"/>
        <w:gridCol w:w="3360"/>
      </w:tblGrid>
      <w:tr>
        <w:trPr>
          <w:tblHeader/>
        </w:trPr>
        <w:tc>
          <w:tcPr>
            <w:tcW w:w="25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Convive</w:t>
            </w:r>
          </w:p>
        </w:tc>
        <w:tc>
          <w:tcPr>
            <w:tcW w:w="35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Fenêtre critique 17h00-17h45</w:t>
            </w:r>
          </w:p>
        </w:tc>
        <w:tc>
          <w:tcPr>
            <w:tcW w:w="336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Témoins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Marie de Riegel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Piano (salon du bar)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Alicia, Maëlys, Boulet de Myrtilles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Alicia de Lemoine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Piano (tourne les pages)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Marie, Maëlys, Boulet de Myrtilles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Mademoiselle Maëlys Bouchard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Près du piano (lit, observe)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Marie, Alicia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Sir Tatoine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Jardin, puis lisière avec Baptiste dès 17h25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Clochette, Baptiste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Monsieur Baptiste André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Lisière de forêt seul puis avec Tatoine dès 17h25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Tatoine (à partir de 17h25 seulement)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Cloé Fischer (Clochette)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 (table d’angle, vue sur jardin)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Vue de tous depuis le bar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Boulet de Myrtilles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 (lecture)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Marie, Alicia, Maëlys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Victoria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 puis sentier dès 17h55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Multiples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Mademoiselle Lisa Lepra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Salon du bar (près du piano), après son éclat de 16h40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Marie, Maëlys, Boulet (alibi mou mais réel)</w:t>
            </w:r>
          </w:p>
        </w:tc>
      </w:tr>
    </w:tbl>
    <w:p>
      <w:pPr>
        <w:pStyle w:val="Titre3"/>
        <w:spacing w:before="200" w:after="100"/>
      </w:pPr>
      <w:r>
        <w:rPr>
          <w:b/>
          <w:bCs/>
          <w:color w:val="795548"/>
        </w:rPr>
        <w:t>Alibis fragiles (sans témoin pour la fenêtre critique)</w:t>
      </w:r>
    </w:p>
    <w:tbl>
      <w:tblPr>
        <w:tblW w:w="9360" w:type="dxa"/>
        <w:tblBorders>
          <w:top w:val="single" w:sz="4" w:space="0" w:color="D7CCC8"/>
          <w:left w:val="single" w:sz="4" w:space="0" w:color="D7CCC8"/>
          <w:bottom w:val="single" w:sz="4" w:space="0" w:color="D7CCC8"/>
          <w:right w:val="single" w:sz="4" w:space="0" w:color="D7CCC8"/>
          <w:insideH w:val="single" w:sz="4" w:space="0" w:color="D7CCC8"/>
          <w:insideV w:val="single" w:sz="4" w:space="0" w:color="D7CCC8"/>
        </w:tblBorders>
        <w:tblLook w:val="04A0"/>
      </w:tblPr>
      <w:tblGrid>
        <w:gridCol w:w="2500"/>
        <w:gridCol w:w="3500"/>
        <w:gridCol w:w="3360"/>
      </w:tblGrid>
      <w:tr>
        <w:trPr>
          <w:tblHeader/>
        </w:trPr>
        <w:tc>
          <w:tcPr>
            <w:tcW w:w="25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Convive</w:t>
            </w:r>
          </w:p>
        </w:tc>
        <w:tc>
          <w:tcPr>
            <w:tcW w:w="35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Fenêtre critique</w:t>
            </w:r>
          </w:p>
        </w:tc>
        <w:tc>
          <w:tcPr>
            <w:tcW w:w="336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Faille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Amandinette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Prétend salle de bain 17h00-17h45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PERSONNE ne la voit dans la salle de bain. Tatoine et Clochette la voient au jardin. (= LA COUPABLE)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Duc Théodorette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Prétend salle de bain avec Amandinette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Mensonge. Frappe à 17h05 sans réponse. Cherche Amandinette au jardin 17h15-17h20. Maëlys le voit rentrer bouleversé à 17h20.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Lord Louis-Marc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Banc du jardin SEUL 16h55-17h20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Aucun témoin du côté banc. Tatoine voit le geste de brûlure de loin.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Lord Gautier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Potager 17h10-17h30 puis dépendance 17h30-17h32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Aucun témoin direct au potager. Tatoine et Clochette le voient passer.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Maître Emilien Collin-Stanislas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Prétend cabinet de lecture, SEUL, 17h00-17h45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AUCUN témoin. Mobile énorme (faux de 1910, chantage 5 000 £). Suspect rationnel n°1.</w:t>
            </w:r>
          </w:p>
        </w:tc>
      </w:tr>
    </w:tbl>
    <w:p>
      <w:pPr>
        <w:pStyle w:val="Titre3"/>
        <w:spacing w:before="200" w:after="100"/>
      </w:pPr>
      <w:r>
        <w:rPr>
          <w:b/>
          <w:bCs/>
          <w:color w:val="795548"/>
        </w:rPr>
        <w:t>Le piège des alibis croisés</w:t>
      </w:r>
    </w:p>
    <w:p>
      <w:pPr>
        <w:spacing w:before="60" w:after="60" w:line="300" w:lineRule="auto"/>
        <w:jc w:val="both"/>
      </w:pPr>
      <w:r>
        <w:rPr>
          <w:b/>
          <w:bCs/>
        </w:rPr>
        <w:t xml:space="preserve">Pour Théodorette : son alibi est faux mais sa motivation est protectrice — il ne soupçonne pas Amandinette de meurtre, il la couvre par réflexe conjugal. Le faire craquer demande deux leviers : la lettre de chantage trouvée dans son manteau (révèle Vienne) ET le témoignage de Maëlys (révèle qu’il est sorti chercher Amandinette).</w:t>
      </w:r>
      <w:r>
        <w:t xml:space="preserve"/>
      </w:r>
    </w:p>
    <w:p>
      <w:pPr>
        <w:spacing w:before="60" w:after="60" w:line="300" w:lineRule="auto"/>
        <w:jc w:val="both"/>
      </w:pPr>
      <w:r>
        <w:rPr>
          <w:b/>
          <w:bCs/>
        </w:rPr>
        <w:t>Pour Amandinette</w:t>
      </w:r>
      <w:r>
        <w:t xml:space="preserve"> : aucun témoin ne la voit en salle de bain. Tatoine la voit traverser le jardin à 17h15. Clochette la voit traverser à 17h32. Boulet de Myrtilles voit la silhouette aux tabourets à 17h36 sans reconnaître. Ces trois témoignages mis bout à bout dessinent son trajet — mais aucun seul ne suffit. </w:t>
      </w:r>
      <w:r>
        <w:rPr>
          <w:b/>
          <w:bCs/>
        </w:rPr>
        <w:t>Il faut le faisceau complet + le coffret final pour la confondre.</w:t>
      </w:r>
    </w:p>
    <w:p>
      <w:pPr>
        <w:spacing w:after="100"/>
      </w:pPr>
      <w:r>
        <w:rPr>
          <w:i/>
          <w:sz w:val="22"/>
        </w:rPr>
        <w:t xml:space="preserve">Sur Baptiste (à clarifier) : son alibi n’est confirmé qu’à partir de 17h25 (lisière, avec Tatoine). Entre 17h15 et 17h25 — la fenêtre exacte du meurtre — il est seul à la lisière, donc techniquement SANS alibi. C’est précisément ce qui fait de la fiole plantée dans son manteau un piège crédible : il pourrait, sur le papier, être le coupable.</w:t>
      </w:r>
    </w:p>
    <w:p>
      <w:pPr>
        <w:spacing w:after="100"/>
      </w:pPr>
      <w:r>
        <w:rPr>
          <w:i/>
          <w:sz w:val="22"/>
        </w:rPr>
        <w:t xml:space="preserve">Sur Amandinette (renfort décisif) : non seulement personne ne la voit dans la salle de bain, mais deux convives l’utilisent pendant qu’elle prétend s’y reposer — Lady Boulet de Myrtilles vers 17h30, Lady Cloé Fischer vers 17h33 — et la trouvent VIDE. Leur témoignage, si Chloé le sollicite, démolit l’alibi « migraine jusqu’à 17h45 ».</w:t>
      </w:r>
    </w:p>
    <w:p>
      <w:pPr>
        <w:spacing w:before="60" w:after="60" w:line="300" w:lineRule="auto"/>
        <w:jc w:val="both"/>
      </w:pPr>
      <w:r>
        <w:rPr>
          <w:b/>
          <w:bCs/>
        </w:rPr>
        <w:t xml:space="preserve">Pour Alicia (Acte III-IV) : aucun témoin de son vol de clef à 17h58, sauf Victoria. Sa motivation (lettres « B. » de Baptiste) ressemble à un motif de meurtre — c’est précisément pourquoi elle reste suspecte jusqu’au certificat final.</w:t>
      </w:r>
      <w:r>
        <w:t xml:space="preserve"/>
      </w:r>
    </w:p>
    <w:p>
      <w:pPr>
        <w:spacing w:before="60" w:after="60" w:line="300" w:lineRule="auto"/>
        <w:jc w:val="both"/>
      </w:pPr>
      <w:r>
        <w:rPr>
          <w:b/>
          <w:bCs/>
        </w:rPr>
        <w:t xml:space="preserve">Sur Emilien (le suspect rationnel) : alibi creux, mobile colossal (le faux de 1910). C’est le suspect le plus « logique » de la soirée — il tient le doute jusqu’au coffret. Rien ne l’innocente, sinon la preuve matérielle qui confond Amandinette. Sa confrontation finale révèle sa fraude, pas le meurtre.</w:t>
      </w:r>
      <w:r>
        <w:t xml:space="preserve"/>
      </w:r>
    </w:p>
    <w:p>
      <w:pPr>
        <w:spacing w:before="60" w:after="60" w:line="300" w:lineRule="auto"/>
        <w:jc w:val="both"/>
      </w:pPr>
      <w:r>
        <w:rPr>
          <w:b/>
          <w:bCs/>
        </w:rPr>
        <w:t xml:space="preserve">Sur Lisa (fausse piste de caractère) : son éclat public et sa jalousie en font une coupable « évidente ». Mais elle est restée au salon, en vue du groupe piano, durant toute la fenêtre critique. Alibi mou (nul ne la fixe à la minute près) mais corroboré par plusieurs : fausse piste émotionnelle, pas un trou d’alibi.</w:t>
      </w:r>
      <w:r>
        <w:t xml:space="preserve"/>
      </w:r>
    </w:p>
    <w:sect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91EB2"/>
    <w:multiLevelType w:val="hybridMultilevel"/>
    <w:tmpl w:val="818A2B30"/>
    <w:lvl w:ilvl="0" w:tplc="1F6A6D3C">
      <w:start w:val="1"/>
      <w:numFmt w:val="bullet"/>
      <w:lvlText w:val="•"/>
      <w:lvlJc w:val="left"/>
      <w:pPr>
        <w:ind w:left="360" w:hanging="240"/>
      </w:pPr>
    </w:lvl>
    <w:lvl w:ilvl="1" w:tplc="11BC969A">
      <w:numFmt w:val="decimal"/>
      <w:lvlText w:val=""/>
      <w:lvlJc w:val="left"/>
    </w:lvl>
    <w:lvl w:ilvl="2" w:tplc="FE34C5B6">
      <w:numFmt w:val="decimal"/>
      <w:lvlText w:val=""/>
      <w:lvlJc w:val="left"/>
    </w:lvl>
    <w:lvl w:ilvl="3" w:tplc="533C95DE">
      <w:numFmt w:val="decimal"/>
      <w:lvlText w:val=""/>
      <w:lvlJc w:val="left"/>
    </w:lvl>
    <w:lvl w:ilvl="4" w:tplc="08668C10">
      <w:numFmt w:val="decimal"/>
      <w:lvlText w:val=""/>
      <w:lvlJc w:val="left"/>
    </w:lvl>
    <w:lvl w:ilvl="5" w:tplc="A726D212">
      <w:numFmt w:val="decimal"/>
      <w:lvlText w:val=""/>
      <w:lvlJc w:val="left"/>
    </w:lvl>
    <w:lvl w:ilvl="6" w:tplc="71DEDF76">
      <w:numFmt w:val="decimal"/>
      <w:lvlText w:val=""/>
      <w:lvlJc w:val="left"/>
    </w:lvl>
    <w:lvl w:ilvl="7" w:tplc="2DC08824">
      <w:numFmt w:val="decimal"/>
      <w:lvlText w:val=""/>
      <w:lvlJc w:val="left"/>
    </w:lvl>
    <w:lvl w:ilvl="8" w:tplc="6C36DD66">
      <w:numFmt w:val="decimal"/>
      <w:lvlText w:val=""/>
      <w:lvlJc w:val="left"/>
    </w:lvl>
  </w:abstractNum>
  <w:abstractNum w:abstractNumId="1" w15:restartNumberingAfterBreak="0">
    <w:nsid w:val="550C7674"/>
    <w:multiLevelType w:val="hybridMultilevel"/>
    <w:tmpl w:val="0354E960"/>
    <w:lvl w:ilvl="0" w:tplc="A03E07B6">
      <w:start w:val="1"/>
      <w:numFmt w:val="bullet"/>
      <w:lvlText w:val="●"/>
      <w:lvlJc w:val="left"/>
      <w:pPr>
        <w:ind w:left="720" w:hanging="360"/>
      </w:pPr>
    </w:lvl>
    <w:lvl w:ilvl="1" w:tplc="25826928">
      <w:start w:val="1"/>
      <w:numFmt w:val="bullet"/>
      <w:lvlText w:val="○"/>
      <w:lvlJc w:val="left"/>
      <w:pPr>
        <w:ind w:left="1440" w:hanging="360"/>
      </w:pPr>
    </w:lvl>
    <w:lvl w:ilvl="2" w:tplc="7CF8C7D0">
      <w:start w:val="1"/>
      <w:numFmt w:val="bullet"/>
      <w:lvlText w:val="■"/>
      <w:lvlJc w:val="left"/>
      <w:pPr>
        <w:ind w:left="2160" w:hanging="360"/>
      </w:pPr>
    </w:lvl>
    <w:lvl w:ilvl="3" w:tplc="32EAB1FC">
      <w:start w:val="1"/>
      <w:numFmt w:val="bullet"/>
      <w:lvlText w:val="●"/>
      <w:lvlJc w:val="left"/>
      <w:pPr>
        <w:ind w:left="2880" w:hanging="360"/>
      </w:pPr>
    </w:lvl>
    <w:lvl w:ilvl="4" w:tplc="A872C668">
      <w:start w:val="1"/>
      <w:numFmt w:val="bullet"/>
      <w:lvlText w:val="○"/>
      <w:lvlJc w:val="left"/>
      <w:pPr>
        <w:ind w:left="3600" w:hanging="360"/>
      </w:pPr>
    </w:lvl>
    <w:lvl w:ilvl="5" w:tplc="24D2D346">
      <w:start w:val="1"/>
      <w:numFmt w:val="bullet"/>
      <w:lvlText w:val="■"/>
      <w:lvlJc w:val="left"/>
      <w:pPr>
        <w:ind w:left="4320" w:hanging="360"/>
      </w:pPr>
    </w:lvl>
    <w:lvl w:ilvl="6" w:tplc="A230AB04">
      <w:start w:val="1"/>
      <w:numFmt w:val="bullet"/>
      <w:lvlText w:val="●"/>
      <w:lvlJc w:val="left"/>
      <w:pPr>
        <w:ind w:left="5040" w:hanging="360"/>
      </w:pPr>
    </w:lvl>
    <w:lvl w:ilvl="7" w:tplc="5136F2C6">
      <w:start w:val="1"/>
      <w:numFmt w:val="bullet"/>
      <w:lvlText w:val="●"/>
      <w:lvlJc w:val="left"/>
      <w:pPr>
        <w:ind w:left="5760" w:hanging="360"/>
      </w:pPr>
    </w:lvl>
    <w:lvl w:ilvl="8" w:tplc="21088752">
      <w:start w:val="1"/>
      <w:numFmt w:val="bullet"/>
      <w:lvlText w:val="●"/>
      <w:lvlJc w:val="left"/>
      <w:pPr>
        <w:ind w:left="6480" w:hanging="360"/>
      </w:pPr>
    </w:lvl>
  </w:abstractNum>
  <w:num w:numId="1" w16cid:durableId="936182414">
    <w:abstractNumId w:val="1"/>
    <w:lvlOverride w:ilvl="0">
      <w:startOverride w:val="1"/>
    </w:lvlOverride>
  </w:num>
  <w:num w:numId="2" w16cid:durableId="11005684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C9C"/>
    <w:rsid w:val="00050C9C"/>
    <w:rsid w:val="00064C4C"/>
    <w:rsid w:val="00827FB1"/>
    <w:rsid w:val="00BB4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3A664"/>
  <w15:docId w15:val="{7758AC9E-7B63-4E73-9C3E-B9747472D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aramond" w:eastAsia="Garamond" w:hAnsi="Garamond" w:cs="Garamond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15964</Words>
  <Characters>87805</Characters>
  <Application>Microsoft Office Word</Application>
  <DocSecurity>0</DocSecurity>
  <Lines>731</Lines>
  <Paragraphs>207</Paragraphs>
  <ScaleCrop>false</ScaleCrop>
  <Company/>
  <LinksUpToDate>false</LinksUpToDate>
  <CharactersWithSpaces>103562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Meurtre au Domaine des Beuhaies</dc:title>
  <dc:creator>Lady Whistledown</dc:creator>
  <dc:description>Murder mystery party - 12 personnages</dc:description>
  <cp:lastModifiedBy>Amaury Chrétien</cp:lastModifiedBy>
  <cp:revision>2</cp:revision>
  <dcterms:created xsi:type="dcterms:W3CDTF">2026-05-12T08:47:00Z</dcterms:created>
  <dcterms:modified xsi:type="dcterms:W3CDTF">2026-05-12T08:47:00Z</dcterms:modified>
</cp:coreProperties>
</file>