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Aujourd’hui 16h45</w:t>
      </w:r>
      <w:r>
        <w:t xml:space="preserve"> : pendant le toast, faux pas calculé près de la flûte de Léa. Vous y versez la digitaline. Théodorette voit votre geste sans rien comprendre. Vous dites à Léa, à voix basse : « Nous devons parler. Seules. » (Romanette entend).</w:t>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17h00</w:t>
      </w:r>
      <w:r>
        <w:t xml:space="preserve"> : vous prétextez une migraine, retraite à la salle de bain.</w:t>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17h33-17h36</w:t>
      </w:r>
      <w:r>
        <w:t xml:space="preserve"> : pendant que Lady Cloé Fischer est à la salle de bain, vous entrez au bar, glissez la fiole vide dans le manteau de Lord Nicolas posé sur les tabourets — pour brouiller.</w:t>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Si on évoque la fiole dans le manteau de Lord Nicolas : « Étrange, mais cela ne me concerne pas. »</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glissez la fiole vide dans le manteau de Lord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