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3"/>
        <w:spacing w:before="200" w:after="100"/>
      </w:pPr>
      <w:r>
        <w:rPr>
          <w:b/>
          <w:bCs/>
          <w:color w:val="795548"/>
        </w:rPr>
        <w:t xml:space="preserve">Acte II — Le bar et le salon du bar · Foyers : Monsieur Baptiste André,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 xml:space="preserve">Foyers dramatiques : Monsieur Baptiste André (la fiole vide va être trouvée dans son manteau) puis Duc Théodorette (la lettre de chantage de Vienne est dans son manteau).</w:t>
      </w:r>
      <w:r>
        <w:t xml:space="preserve"/>
      </w:r>
    </w:p>
    <w:p>
      <w:pPr>
        <w:pStyle w:val="Titre3"/>
        <w:spacing w:before="200" w:after="100"/>
      </w:pPr>
      <w:r>
        <w:rPr>
          <w:b/>
          <w:bCs/>
          <w:color w:val="795548"/>
        </w:rPr>
        <w:t>Indices physiques de l’Acte II</w:t>
      </w:r>
    </w:p>
    <w:p>
      <w:pPr>
        <w:spacing w:before="60" w:after="60" w:line="300" w:lineRule="auto"/>
        <w:jc w:val="both"/>
      </w:pPr>
      <w:r>
        <w:rPr>
          <w:b/>
          <w:bCs/>
        </w:rPr>
        <w:t xml:space="preserve">1. Les manteaux sur les tabourets du bar : Chloé peut les fouiller. Dans le manteau de Monsieur Baptiste André : une fiole en verre vide étiquetée « digitaline » (plantée par Amandinette ; Baptiste l’ignore). Dans le manteau du Duc Théodorette : une lettre pliée, « Monsieur le Duc, la diplomatie de Vienne n’épargne jamais les imprudents — et je crains qu’une certaine note confidentielle n’ait laissé plus de traces qu’on ne le souhaiterait. Mille cinq cents livres me feront perdre le fil de cette rumeur. — L. »</w:t>
      </w:r>
      <w:r>
        <w:t xml:space="preserve"/>
      </w:r>
      <w:r>
        <w:rPr>
          <w:b/>
          <w:bCs/>
        </w:rPr>
        <w:t/>
      </w:r>
      <w:r>
        <w:t xml:space="preserve"/>
      </w:r>
      <w:r>
        <w:rPr>
          <w:b/>
          <w:bCs/>
        </w:rPr>
        <w:t/>
      </w:r>
      <w:r>
        <w:t xml:space="preserve"/>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 xml:space="preserve">Mademoiselle Maëlys Bouchard : Marie sortant troublée du potager à 16h55. Théodorette qui rentre du couloir intérieur à 17h20, bouleversé (PIVOT). Amandinette glissant à Léa pendant le toast : « Nous devons parler. Seules. »</w:t>
      </w:r>
      <w:r>
        <w:t xml:space="preserve"/>
      </w:r>
    </w:p>
    <w:p>
      <w:pPr>
        <w:spacing w:before="120" w:after="120"/>
      </w:pPr>
      <w:r>
        <w:rPr>
          <w:sz w:val="22"/>
        </w:rPr>
        <w:t xml:space="preserve">Lady Marie (PIVOT secondaire) : si Chloé l’interroge sur le couloir, Marie livre avoir vu une silhouette féminine en robe sombre traverser à 17h13-17h15 vers le jardin. Marie ne reconnaît pas — mais le créneau et le sens (couloir → jardin) coïncident exactement avec le trajet d’Amandinette (sortie de la salle de bain par le couloir à 17h13, vue par Tatoine au jardin à 17h15). Le faire dire à Chloé : « une femme, vers le jardin, à 17h13-17h15 » + Tatoine « Amandinette au jardin à 17h15 » = Amandinette dans le couloir à 17h13-17h15. Triangulation à inciter discrètement.</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 xml:space="preserve">Baptiste : si Chloé trouve la fiole dans son manteau, il nie violemment — il l’ignorait. Il contre-attaque (sans envoyer Chloé à un endroit, juste factuellement) : « Lord Gautier rentrait du jardin l’air d’un homme qui revenait d’un mauvais coup. Demandez à Sir Tatoine où j’étais. » Pour le faire craquer sur Plumeau, il faut la preuve (un pamphlet signé M. Plumeau, ou Lisa ayant parlé). Pour le faire craquer sur Alicia, il faut les lettres « B. » (trouvées à l’Acte IV).</w:t>
      </w:r>
      <w:r>
        <w:t xml:space="preserve"/>
      </w:r>
    </w:p>
    <w:p>
      <w:pPr>
        <w:spacing w:before="60" w:after="60" w:line="300" w:lineRule="auto"/>
        <w:jc w:val="both"/>
      </w:pPr>
      <w:r>
        <w:rPr>
          <w:b/>
          <w:bCs/>
        </w:rPr>
        <w:t xml:space="preserve">Lisa : si Chloé l’interroge sur l’éclat de 16h40, elle l’assume mais en cache le motif (jalousie — Léa l’avait quittée pour Marie). Levier origines : évoquer le chantage de Léa ou un papier sur sa naissance → elle avoue ses origines modestes (fille de blanchisseuse). Si Baptiste est accusé, elle le défend avec véhémence (« il était à la lisière — laissez-le »).</w:t>
      </w:r>
      <w:r>
        <w:t xml:space="preserve"/>
      </w:r>
    </w:p>
    <w:p>
      <w:pPr>
        <w:spacing w:before="60" w:after="60" w:line="300" w:lineRule="auto"/>
        <w:jc w:val="both"/>
      </w:pPr>
      <w:r>
        <w:rPr>
          <w:b/>
          <w:bCs/>
        </w:rPr>
        <w:t xml:space="preserve">Théodorette : si Chloé trouve la lettre dans son manteau → craque sur Vienne. Si Chloé brandit le témoignage de Maëlys (17h20 couloir) → craque sur l’alibi (a cherché Amandinette au jardin).</w:t>
      </w:r>
      <w:r>
        <w:t xml:space="preserve"/>
      </w:r>
    </w:p>
    <w:p>
      <w:pPr>
        <w:spacing w:after="100"/>
      </w:pPr>
      <w:r>
        <w:rPr>
          <w:i/>
          <w:sz w:val="22"/>
        </w:rPr>
        <w:t xml:space="preserve">DÉDUCTION CLEF (à provoquer) : faites décrire à Théodorette le « faux pas » d’Amandinette au toast (« elle s’est rattrapée à la coupe de Léa »). Croisé avec la déduction de Louis (ingestion au toast vers 16h45), cela désigne Amandinette comme celle qui tenait le verre empoisonné au moment fatal. C’est le lien physique le plus direct vers la coupable — bien plus parlant que la fiole plantée chez Baptiste (fausse piste).</w:t>
      </w:r>
    </w:p>
    <w:p>
      <w:pPr>
        <w:spacing w:before="60" w:after="60" w:line="300" w:lineRule="auto"/>
        <w:jc w:val="both"/>
      </w:pPr>
      <w:r>
        <w:rPr>
          <w:b/>
          <w:bCs/>
        </w:rPr>
        <w:t xml:space="preserve">Marie : si Chloé évoque le potager (par Victoria ou Maëlys) → craque sur sa liaison avec Léa.</w:t>
      </w:r>
      <w:r>
        <w:t xml:space="preserve"/>
      </w:r>
    </w:p>
    <w:p>
      <w:pPr>
        <w:spacing w:before="60" w:after="60" w:line="300" w:lineRule="auto"/>
        <w:jc w:val="both"/>
      </w:pPr>
      <w:r>
        <w:rPr>
          <w:b/>
          <w:bCs/>
        </w:rPr>
        <w:t xml:space="preserve">Marie livre aussi ses soupçons flous (« Ce que je crois ») : elle pointe vers Amandinette (« nous devons parler »), Lisa (son éclat public), Gautier (homme aux abois), Boulet de Myrtilles (trop discrète), Clochette (nervosité). Mélange vrais et faux signaux.</w:t>
      </w:r>
      <w:r>
        <w:t xml:space="preserve"/>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couloir intérieur, le placard et les chambres. « Le couloir, les chambres et le placard sont à toi maintenant. »</w:t>
      </w:r>
      <w:r>
        <w:rPr>
          <w:b/>
          <w:bCs/>
        </w:rPr>
        <w:t/>
      </w:r>
      <w:r>
        <w:t xml:space="preserve"/>
      </w:r>
      <w:r>
        <w:rPr>
          <w:i/>
          <w:iCs/>
        </w:rPr>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