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120" w:after="120" w:line="300" w:lineRule="auto"/>
        <w:ind w:left="360" w:right="360"/>
        <w:jc w:val="both"/>
      </w:pPr>
      <w:r>
        <w:rPr>
          <w:i/>
          <w:iCs/>
          <w:color w:val="6D4C41"/>
        </w:rPr>
        <w:t xml:space="preserve">👗 Votre allure. Une redingote de brocart noir aux broderies d’or, gilet crème à boutons dorés, haut jabot de dentelle blanche, chapeau haut-de-forme — et un loup blanc sur le haut du visage, dont vous ne vous départez guère. On vous reconnaît de loin à ce masque.</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 xml:space="preserve">Alibi mutuel avec Baptiste : « J’étais à la lisière de forêt avec Monsieur Baptiste André de 17h25 à 17h45. Nous avons fumé et parlé.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Avec Baptiste.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