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Léa apporte ses chantages le matin du 6 juin.</w:t>
      </w:r>
      <w:r>
        <w:t xml:space="preserve"> Comme à chaque réception au Domaine, Léa profite de l’arrivée des invités pour leur remettre — discrètement, en mains propres — leurs propres papiers compromettants en « rappel d’échéance ». C’est ce qui explique : la lettre de chantage de Vienne encore dans le manteau de Théodorette (il comptait la brûler après le dîner) ; le mot trouvé au banc dans la poche de Louis ; et la note de rendez-vous dans la mallette de Gautier (Léa la lui avait passée à l’arrivée).</w:t>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w:t>
      </w:r>
      <w:r>
        <w:rPr>
          <w:b/>
          <w:bCs/>
        </w:rPr>
        <w:t>énigme à 3 phases</w:t>
      </w:r>
      <w:r>
        <w:t xml:space="preserve"> que Chloé résout dans la dépendance à l’Acte IV (notes de recherche de Léa + carnet codé de Léa). Sir Tatoine peut, sur question, confirmer que la malle est à Léa — elle y rangeait ses affaires de lecture.</w:t>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