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liaison passée il y a un an (lettres compromettantes).</w:t>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Liaison passée avec Lord Nicolas de Picolas il y a un an</w:t>
      </w:r>
      <w:r>
        <w:t>, avant ses fiançailles secrètes avec Lady Romanette. Vous avez échangé une vingtaine de lettres tendres. Ne pouvant pas les garder chez vous (Gautier fouille, traque les bijoux à vendre), vous les avez confiées à Léa, qui les rangeait dans son atelier — la dépendance — pour vous.</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J’ai tourné les pages au piano pour Lady Marie de 17h00 à 17h45. » (Marie et Lady Romanette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Palier 2 — La vérité</w:t>
      </w:r>
      <w:r>
        <w:t xml:space="preserve"> (si Chloé insiste, ou rappelle votre liaison avec Nicolas) : « La vérité… Léa gardait pour moi des lettres avec Nicolas. Il y a un an. Je ne pouvais pas les avoir chez moi — Gautier les aurait trouvées et m’aurait ruinée. Quand Léa est morte, j’ai paniqué. Je voulais entrer dans la dépendance avant vous, récupérer mes lettres. J’ai pris la clef. C’est tout. Je n’ai pas tué Léa. »</w:t>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tournez les pages pour Lady Marie. Témoins : Marie, Lady Romanette,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