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br/>
        <w:br/>
        <w:br/>
      </w:r>
    </w:p>
    <w:p>
      <w:pPr>
        <w:jc w:val="center"/>
      </w:pPr>
      <w:r>
        <w:rPr>
          <w:rFonts w:ascii="Calibri" w:hAnsi="Calibri"/>
          <w:b/>
          <w:i w:val="0"/>
          <w:color w:val="1A1A2E"/>
          <w:sz w:val="96"/>
        </w:rPr>
        <w:t>DATA</w:t>
      </w:r>
      <w:r>
        <w:rPr>
          <w:rFonts w:ascii="Calibri" w:hAnsi="Calibri"/>
          <w:b/>
          <w:i w:val="0"/>
          <w:color w:val="C9A44A"/>
          <w:sz w:val="96"/>
        </w:rPr>
        <w:t>CUT</w:t>
      </w:r>
    </w:p>
    <w:p>
      <w:pPr>
        <w:jc w:val="center"/>
      </w:pPr>
      <w:r>
        <w:rPr>
          <w:rFonts w:ascii="Calibri" w:hAnsi="Calibri"/>
          <w:b w:val="0"/>
          <w:i/>
          <w:color w:val="555555"/>
          <w:sz w:val="32"/>
        </w:rPr>
        <w:t>Symphonie des données en flux continu</w:t>
      </w:r>
    </w:p>
    <w:p/>
    <w:p>
      <w:pPr>
        <w:jc w:val="center"/>
      </w:pPr>
      <w:r>
        <w:rPr>
          <w:rFonts w:ascii="Calibri" w:hAnsi="Calibri"/>
          <w:b/>
          <w:i w:val="0"/>
          <w:color w:val="333333"/>
          <w:sz w:val="26"/>
        </w:rPr>
        <w:t>Rapport technique</w:t>
      </w:r>
      <w:r>
        <w:rPr>
          <w:rFonts w:ascii="Calibri" w:hAnsi="Calibri"/>
          <w:b w:val="0"/>
          <w:i w:val="0"/>
          <w:color w:val="333333"/>
          <w:sz w:val="24"/>
        </w:rPr>
        <w:br/>
        <w:t>Master 1 Intelligence Artificielle — École 89</w:t>
      </w:r>
      <w:r>
        <w:rPr>
          <w:rFonts w:ascii="Calibri" w:hAnsi="Calibri"/>
          <w:b w:val="0"/>
          <w:i w:val="0"/>
          <w:color w:val="333333"/>
          <w:sz w:val="22"/>
        </w:rPr>
        <w:br/>
        <w:t>Intervenant : Najib AL AWAR</w:t>
      </w:r>
      <w:r>
        <w:rPr>
          <w:rFonts w:ascii="Calibri" w:hAnsi="Calibri"/>
          <w:b w:val="0"/>
          <w:i w:val="0"/>
          <w:color w:val="333333"/>
          <w:sz w:val="22"/>
        </w:rPr>
        <w:br/>
        <w:t>Étudiant : Amaury Guindon</w:t>
      </w:r>
      <w:r>
        <w:rPr>
          <w:rFonts w:ascii="Calibri" w:hAnsi="Calibri"/>
          <w:b w:val="0"/>
          <w:i w:val="0"/>
          <w:color w:val="333333"/>
          <w:sz w:val="22"/>
        </w:rPr>
        <w:br/>
        <w:t>Année : 2025–2026</w:t>
      </w:r>
    </w:p>
    <w:p>
      <w:r>
        <w:br w:type="page"/>
      </w:r>
    </w:p>
    <w:p>
      <w:pPr>
        <w:pStyle w:val="Heading1"/>
      </w:pPr>
      <w:r>
        <w:rPr>
          <w:b/>
          <w:color w:val="1A1A2E"/>
          <w:sz w:val="36"/>
        </w:rPr>
        <w:t>Sommaire</w:t>
      </w:r>
    </w:p>
    <w:p>
      <w:pPr>
        <w:pStyle w:val="ListBullet"/>
        <w:spacing w:after="60"/>
      </w:pPr>
      <w:r>
        <w:rPr>
          <w:rFonts w:ascii="Calibri" w:hAnsi="Calibri"/>
          <w:b w:val="0"/>
          <w:i w:val="0"/>
          <w:sz w:val="22"/>
        </w:rPr>
        <w:t>1.  Introduction &amp; contexte</w:t>
      </w:r>
    </w:p>
    <w:p>
      <w:pPr>
        <w:pStyle w:val="ListBullet"/>
        <w:spacing w:after="60"/>
      </w:pPr>
      <w:r>
        <w:rPr>
          <w:rFonts w:ascii="Calibri" w:hAnsi="Calibri"/>
          <w:b w:val="0"/>
          <w:i w:val="0"/>
          <w:sz w:val="22"/>
        </w:rPr>
        <w:t>2.  Architecture de la plateforme</w:t>
      </w:r>
    </w:p>
    <w:p>
      <w:pPr>
        <w:pStyle w:val="ListBullet"/>
        <w:spacing w:after="60"/>
      </w:pPr>
      <w:r>
        <w:rPr>
          <w:rFonts w:ascii="Calibri" w:hAnsi="Calibri"/>
          <w:b w:val="0"/>
          <w:i w:val="0"/>
          <w:sz w:val="22"/>
        </w:rPr>
        <w:t>3.  Schéma de base de données</w:t>
      </w:r>
    </w:p>
    <w:p>
      <w:pPr>
        <w:pStyle w:val="ListBullet"/>
        <w:spacing w:after="60"/>
      </w:pPr>
      <w:r>
        <w:rPr>
          <w:rFonts w:ascii="Calibri" w:hAnsi="Calibri"/>
          <w:b w:val="0"/>
          <w:i w:val="0"/>
          <w:sz w:val="22"/>
        </w:rPr>
        <w:t>4.  Pipeline de données</w:t>
      </w:r>
    </w:p>
    <w:p>
      <w:pPr>
        <w:pStyle w:val="ListBullet"/>
        <w:spacing w:after="60"/>
      </w:pPr>
      <w:r>
        <w:rPr>
          <w:rFonts w:ascii="Calibri" w:hAnsi="Calibri"/>
          <w:b w:val="0"/>
          <w:i w:val="0"/>
          <w:sz w:val="22"/>
        </w:rPr>
        <w:t>5.  Extraction de features</w:t>
      </w:r>
    </w:p>
    <w:p>
      <w:pPr>
        <w:pStyle w:val="ListBullet"/>
        <w:spacing w:after="60"/>
      </w:pPr>
      <w:r>
        <w:rPr>
          <w:rFonts w:ascii="Calibri" w:hAnsi="Calibri"/>
          <w:b w:val="0"/>
          <w:i w:val="0"/>
          <w:sz w:val="22"/>
        </w:rPr>
        <w:t>6.  Versioning des datasets</w:t>
      </w:r>
    </w:p>
    <w:p>
      <w:pPr>
        <w:pStyle w:val="ListBullet"/>
        <w:spacing w:after="60"/>
      </w:pPr>
      <w:r>
        <w:rPr>
          <w:rFonts w:ascii="Calibri" w:hAnsi="Calibri"/>
          <w:b w:val="0"/>
          <w:i w:val="0"/>
          <w:sz w:val="22"/>
        </w:rPr>
        <w:t>7.  Entraînement du modèle</w:t>
      </w:r>
    </w:p>
    <w:p>
      <w:pPr>
        <w:pStyle w:val="ListBullet"/>
        <w:spacing w:after="60"/>
      </w:pPr>
      <w:r>
        <w:rPr>
          <w:rFonts w:ascii="Calibri" w:hAnsi="Calibri"/>
          <w:b w:val="0"/>
          <w:i w:val="0"/>
          <w:sz w:val="22"/>
        </w:rPr>
        <w:t>8.  Visualisation &amp; supervision</w:t>
      </w:r>
    </w:p>
    <w:p>
      <w:pPr>
        <w:pStyle w:val="ListBullet"/>
        <w:spacing w:after="60"/>
      </w:pPr>
      <w:r>
        <w:rPr>
          <w:rFonts w:ascii="Calibri" w:hAnsi="Calibri"/>
          <w:b w:val="0"/>
          <w:i w:val="0"/>
          <w:sz w:val="22"/>
        </w:rPr>
        <w:t>9.  Recommandation client par IA</w:t>
      </w:r>
    </w:p>
    <w:p>
      <w:pPr>
        <w:pStyle w:val="ListBullet"/>
        <w:spacing w:after="60"/>
      </w:pPr>
      <w:r>
        <w:rPr>
          <w:rFonts w:ascii="Calibri" w:hAnsi="Calibri"/>
          <w:b w:val="0"/>
          <w:i w:val="0"/>
          <w:sz w:val="22"/>
        </w:rPr>
        <w:t>10.  Bonnes pratiques &amp; gouvernance</w:t>
      </w:r>
    </w:p>
    <w:p>
      <w:pPr>
        <w:pStyle w:val="ListBullet"/>
        <w:spacing w:after="60"/>
      </w:pPr>
      <w:r>
        <w:rPr>
          <w:rFonts w:ascii="Calibri" w:hAnsi="Calibri"/>
          <w:b w:val="0"/>
          <w:i w:val="0"/>
          <w:sz w:val="22"/>
        </w:rPr>
        <w:t>11.  Conclusion &amp; perspectives</w:t>
      </w:r>
    </w:p>
    <w:p>
      <w:r>
        <w:br w:type="page"/>
      </w:r>
    </w:p>
    <w:p>
      <w:pPr>
        <w:pStyle w:val="Heading1"/>
      </w:pPr>
      <w:r>
        <w:rPr>
          <w:b/>
          <w:color w:val="1A1A2E"/>
          <w:sz w:val="36"/>
        </w:rPr>
        <w:t>1. Introduction &amp; contexte</w:t>
      </w:r>
    </w:p>
    <w:p>
      <w:pPr>
        <w:pStyle w:val="Heading2"/>
      </w:pPr>
      <w:r>
        <w:rPr>
          <w:b/>
          <w:color w:val="105E8A"/>
          <w:sz w:val="28"/>
        </w:rPr>
        <w:t>1.1 Présentation du projet</w:t>
      </w:r>
    </w:p>
    <w:p>
      <w:pPr>
        <w:spacing w:after="120"/>
      </w:pPr>
      <w:r>
        <w:rPr>
          <w:rFonts w:ascii="Calibri" w:hAnsi="Calibri"/>
          <w:b w:val="0"/>
          <w:i w:val="0"/>
          <w:color w:val="222222"/>
          <w:sz w:val="22"/>
        </w:rPr>
        <w:t>DataCut est une plateforme web de gestion de données conçue dans le cadre du projet « Symphonie des données en flux continu ». Elle s'inscrit dans le contexte fictif d'un barbershop haut de gamme souhaitant exploiter ses photos de réalisations pour entraîner un modèle de classification de styles de coupe.</w:t>
      </w:r>
    </w:p>
    <w:p>
      <w:pPr>
        <w:spacing w:after="120"/>
      </w:pPr>
      <w:r>
        <w:rPr>
          <w:rFonts w:ascii="Calibri" w:hAnsi="Calibri"/>
          <w:b w:val="0"/>
          <w:i w:val="0"/>
          <w:color w:val="222222"/>
          <w:sz w:val="22"/>
        </w:rPr>
        <w:t>L'objectif central est de mettre en œuvre un cycle de vie complet des données : de l'ingestion d'images brutes jusqu'à l'alimentation continue d'un modèle d'intelligence artificielle, en passant par la labélisation, le versioning et l'export structuré.</w:t>
      </w:r>
    </w:p>
    <w:p>
      <w:pPr>
        <w:pStyle w:val="Heading2"/>
      </w:pPr>
      <w:r>
        <w:rPr>
          <w:b/>
          <w:color w:val="105E8A"/>
          <w:sz w:val="28"/>
        </w:rPr>
        <w:t>1.2 Problématique</w:t>
      </w:r>
    </w:p>
    <w:p>
      <w:pPr>
        <w:spacing w:after="120"/>
      </w:pPr>
      <w:r>
        <w:rPr>
          <w:rFonts w:ascii="Calibri" w:hAnsi="Calibri"/>
          <w:b w:val="0"/>
          <w:i w:val="0"/>
          <w:color w:val="222222"/>
          <w:sz w:val="22"/>
        </w:rPr>
        <w:t>Comment concevoir une infrastructure capable de collecter, structurer, labéliser et versionner des images, tout en garantissant la traçabilité complète du flux de données vers un modèle d'apprentissage automatique ?</w:t>
      </w:r>
    </w:p>
    <w:p>
      <w:pPr>
        <w:pStyle w:val="Heading2"/>
      </w:pPr>
      <w:r>
        <w:rPr>
          <w:b/>
          <w:color w:val="105E8A"/>
          <w:sz w:val="28"/>
        </w:rPr>
        <w:t>1.3 Périmètre fonctionnel</w:t>
      </w:r>
    </w:p>
    <w:p>
      <w:pPr>
        <w:pStyle w:val="ListBullet"/>
        <w:spacing w:after="60"/>
      </w:pPr>
      <w:r>
        <w:rPr>
          <w:rFonts w:ascii="Calibri" w:hAnsi="Calibri"/>
          <w:b w:val="0"/>
          <w:i w:val="0"/>
          <w:sz w:val="22"/>
        </w:rPr>
        <w:t>Backoffice (admin) : gestion du pipeline, labélisation, création et export de datasets versionnés, supervision via graphiques.</w:t>
      </w:r>
    </w:p>
    <w:p>
      <w:pPr>
        <w:pStyle w:val="ListBullet"/>
        <w:spacing w:after="60"/>
      </w:pPr>
      <w:r>
        <w:rPr>
          <w:rFonts w:ascii="Calibri" w:hAnsi="Calibri"/>
          <w:b w:val="0"/>
          <w:i w:val="0"/>
          <w:sz w:val="22"/>
        </w:rPr>
        <w:t>Interface client : recommandation personnalisée de coupe par analyse IA du visage (forme et teinte de peau).</w:t>
      </w:r>
    </w:p>
    <w:p>
      <w:r>
        <w:br w:type="page"/>
      </w:r>
    </w:p>
    <w:p>
      <w:pPr>
        <w:pStyle w:val="Heading1"/>
      </w:pPr>
      <w:r>
        <w:rPr>
          <w:b/>
          <w:color w:val="1A1A2E"/>
          <w:sz w:val="36"/>
        </w:rPr>
        <w:t>2. Architecture de la plateforme</w:t>
      </w:r>
    </w:p>
    <w:p>
      <w:pPr>
        <w:pStyle w:val="Heading2"/>
      </w:pPr>
      <w:r>
        <w:rPr>
          <w:b/>
          <w:color w:val="105E8A"/>
          <w:sz w:val="28"/>
        </w:rPr>
        <w:t>2.1 Vue d'ensemble</w:t>
      </w:r>
    </w:p>
    <w:p>
      <w:pPr>
        <w:spacing w:after="120"/>
      </w:pPr>
      <w:r>
        <w:rPr>
          <w:rFonts w:ascii="Calibri" w:hAnsi="Calibri"/>
          <w:b w:val="0"/>
          <w:i w:val="0"/>
          <w:color w:val="222222"/>
          <w:sz w:val="22"/>
        </w:rPr>
        <w:t>L'architecture repose sur une séparation claire en couches : un frontend Angular, un backend NestJS exposant une API REST, un stockage hybride (MongoDB pour les métadonnées, disque pour les fichiers) et un module Python d'entraînement.</w:t>
      </w:r>
    </w:p>
    <w:p>
      <w:pPr>
        <w:spacing w:before="120"/>
        <w:jc w:val="center"/>
      </w:pPr>
      <w:r>
        <w:drawing>
          <wp:inline xmlns:a="http://schemas.openxmlformats.org/drawingml/2006/main" xmlns:pic="http://schemas.openxmlformats.org/drawingml/2006/picture">
            <wp:extent cx="5580000" cy="3597757"/>
            <wp:docPr id="1" name="Picture 1"/>
            <wp:cNvGraphicFramePr>
              <a:graphicFrameLocks noChangeAspect="1"/>
            </wp:cNvGraphicFramePr>
            <a:graphic>
              <a:graphicData uri="http://schemas.openxmlformats.org/drawingml/2006/picture">
                <pic:pic>
                  <pic:nvPicPr>
                    <pic:cNvPr id="0" name="architecture.png"/>
                    <pic:cNvPicPr/>
                  </pic:nvPicPr>
                  <pic:blipFill>
                    <a:blip r:embed="rId9"/>
                    <a:stretch>
                      <a:fillRect/>
                    </a:stretch>
                  </pic:blipFill>
                  <pic:spPr>
                    <a:xfrm>
                      <a:off x="0" y="0"/>
                      <a:ext cx="5580000" cy="3597757"/>
                    </a:xfrm>
                    <a:prstGeom prst="rect"/>
                  </pic:spPr>
                </pic:pic>
              </a:graphicData>
            </a:graphic>
          </wp:inline>
        </w:drawing>
      </w:r>
    </w:p>
    <w:p>
      <w:pPr>
        <w:spacing w:after="160"/>
        <w:jc w:val="center"/>
      </w:pPr>
      <w:r>
        <w:rPr>
          <w:rFonts w:ascii="Calibri" w:hAnsi="Calibri"/>
          <w:b w:val="0"/>
          <w:i/>
          <w:color w:val="555555"/>
          <w:sz w:val="18"/>
        </w:rPr>
        <w:t>Figure 1 — Architecture en couches de la plateforme DataCut</w:t>
      </w:r>
    </w:p>
    <w:p>
      <w:pPr>
        <w:pStyle w:val="Heading2"/>
      </w:pPr>
      <w:r>
        <w:rPr>
          <w:b/>
          <w:color w:val="105E8A"/>
          <w:sz w:val="28"/>
        </w:rPr>
        <w:t>2.2 Stack technique</w:t>
      </w:r>
    </w:p>
    <w:tbl>
      <w:tblPr>
        <w:tblStyle w:val="TableGrid"/>
        <w:tblW w:type="auto" w:w="0"/>
        <w:tblLook w:firstColumn="1" w:firstRow="1" w:lastColumn="0" w:lastRow="0" w:noHBand="0" w:noVBand="1" w:val="04A0"/>
      </w:tblPr>
      <w:tblGrid>
        <w:gridCol w:w="3116"/>
        <w:gridCol w:w="3116"/>
        <w:gridCol w:w="3116"/>
      </w:tblGrid>
      <w:tr>
        <w:tc>
          <w:tcPr>
            <w:tcW w:type="dxa" w:w="3116"/>
            <w:shd w:val="clear" w:color="auto" w:fill="105E8A"/>
          </w:tcPr>
          <w:p>
            <w:r>
              <w:rPr>
                <w:b/>
                <w:color w:val="FFFFFF"/>
                <w:sz w:val="22"/>
              </w:rPr>
              <w:t>Couche</w:t>
            </w:r>
          </w:p>
        </w:tc>
        <w:tc>
          <w:tcPr>
            <w:tcW w:type="dxa" w:w="3116"/>
            <w:shd w:val="clear" w:color="auto" w:fill="105E8A"/>
          </w:tcPr>
          <w:p>
            <w:r>
              <w:rPr>
                <w:b/>
                <w:color w:val="FFFFFF"/>
                <w:sz w:val="22"/>
              </w:rPr>
              <w:t>Technologie</w:t>
            </w:r>
          </w:p>
        </w:tc>
        <w:tc>
          <w:tcPr>
            <w:tcW w:type="dxa" w:w="3116"/>
            <w:shd w:val="clear" w:color="auto" w:fill="105E8A"/>
          </w:tcPr>
          <w:p>
            <w:r>
              <w:rPr>
                <w:b/>
                <w:color w:val="FFFFFF"/>
                <w:sz w:val="22"/>
              </w:rPr>
              <w:t>Rôle</w:t>
            </w:r>
          </w:p>
        </w:tc>
      </w:tr>
      <w:tr>
        <w:tc>
          <w:tcPr>
            <w:tcW w:type="dxa" w:w="3116"/>
            <w:shd w:val="clear" w:color="auto" w:fill="FFFFFF"/>
          </w:tcPr>
          <w:p>
            <w:r>
              <w:rPr>
                <w:sz w:val="20"/>
              </w:rPr>
              <w:t>Frontend</w:t>
            </w:r>
          </w:p>
        </w:tc>
        <w:tc>
          <w:tcPr>
            <w:tcW w:type="dxa" w:w="3116"/>
            <w:shd w:val="clear" w:color="auto" w:fill="FFFFFF"/>
          </w:tcPr>
          <w:p>
            <w:r>
              <w:rPr>
                <w:sz w:val="20"/>
              </w:rPr>
              <w:t>Angular 17 (standalone, signals)</w:t>
            </w:r>
          </w:p>
        </w:tc>
        <w:tc>
          <w:tcPr>
            <w:tcW w:type="dxa" w:w="3116"/>
            <w:shd w:val="clear" w:color="auto" w:fill="FFFFFF"/>
          </w:tcPr>
          <w:p>
            <w:r>
              <w:rPr>
                <w:sz w:val="20"/>
              </w:rPr>
              <w:t>Interface utilisateur</w:t>
            </w:r>
          </w:p>
        </w:tc>
      </w:tr>
      <w:tr>
        <w:tc>
          <w:tcPr>
            <w:tcW w:type="dxa" w:w="3116"/>
            <w:shd w:val="clear" w:color="auto" w:fill="EEF4F8"/>
          </w:tcPr>
          <w:p>
            <w:r>
              <w:rPr>
                <w:sz w:val="20"/>
              </w:rPr>
              <w:t>Backend</w:t>
            </w:r>
          </w:p>
        </w:tc>
        <w:tc>
          <w:tcPr>
            <w:tcW w:type="dxa" w:w="3116"/>
            <w:shd w:val="clear" w:color="auto" w:fill="EEF4F8"/>
          </w:tcPr>
          <w:p>
            <w:r>
              <w:rPr>
                <w:sz w:val="20"/>
              </w:rPr>
              <w:t>NestJS + Mongoose</w:t>
            </w:r>
          </w:p>
        </w:tc>
        <w:tc>
          <w:tcPr>
            <w:tcW w:type="dxa" w:w="3116"/>
            <w:shd w:val="clear" w:color="auto" w:fill="EEF4F8"/>
          </w:tcPr>
          <w:p>
            <w:r>
              <w:rPr>
                <w:sz w:val="20"/>
              </w:rPr>
              <w:t>API REST, logique métier</w:t>
            </w:r>
          </w:p>
        </w:tc>
      </w:tr>
      <w:tr>
        <w:tc>
          <w:tcPr>
            <w:tcW w:type="dxa" w:w="3116"/>
            <w:shd w:val="clear" w:color="auto" w:fill="FFFFFF"/>
          </w:tcPr>
          <w:p>
            <w:r>
              <w:rPr>
                <w:sz w:val="20"/>
              </w:rPr>
              <w:t>Base de données</w:t>
            </w:r>
          </w:p>
        </w:tc>
        <w:tc>
          <w:tcPr>
            <w:tcW w:type="dxa" w:w="3116"/>
            <w:shd w:val="clear" w:color="auto" w:fill="FFFFFF"/>
          </w:tcPr>
          <w:p>
            <w:r>
              <w:rPr>
                <w:sz w:val="20"/>
              </w:rPr>
              <w:t>MongoDB</w:t>
            </w:r>
          </w:p>
        </w:tc>
        <w:tc>
          <w:tcPr>
            <w:tcW w:type="dxa" w:w="3116"/>
            <w:shd w:val="clear" w:color="auto" w:fill="FFFFFF"/>
          </w:tcPr>
          <w:p>
            <w:r>
              <w:rPr>
                <w:sz w:val="20"/>
              </w:rPr>
              <w:t>Stockage des métadonnées</w:t>
            </w:r>
          </w:p>
        </w:tc>
      </w:tr>
      <w:tr>
        <w:tc>
          <w:tcPr>
            <w:tcW w:type="dxa" w:w="3116"/>
            <w:shd w:val="clear" w:color="auto" w:fill="EEF4F8"/>
          </w:tcPr>
          <w:p>
            <w:r>
              <w:rPr>
                <w:sz w:val="20"/>
              </w:rPr>
              <w:t>Stockage fichiers</w:t>
            </w:r>
          </w:p>
        </w:tc>
        <w:tc>
          <w:tcPr>
            <w:tcW w:type="dxa" w:w="3116"/>
            <w:shd w:val="clear" w:color="auto" w:fill="EEF4F8"/>
          </w:tcPr>
          <w:p>
            <w:r>
              <w:rPr>
                <w:sz w:val="20"/>
              </w:rPr>
              <w:t>Système de fichiers (multer)</w:t>
            </w:r>
          </w:p>
        </w:tc>
        <w:tc>
          <w:tcPr>
            <w:tcW w:type="dxa" w:w="3116"/>
            <w:shd w:val="clear" w:color="auto" w:fill="EEF4F8"/>
          </w:tcPr>
          <w:p>
            <w:r>
              <w:rPr>
                <w:sz w:val="20"/>
              </w:rPr>
              <w:t>Stockage des images brutes</w:t>
            </w:r>
          </w:p>
        </w:tc>
      </w:tr>
      <w:tr>
        <w:tc>
          <w:tcPr>
            <w:tcW w:type="dxa" w:w="3116"/>
            <w:shd w:val="clear" w:color="auto" w:fill="FFFFFF"/>
          </w:tcPr>
          <w:p>
            <w:r>
              <w:rPr>
                <w:sz w:val="20"/>
              </w:rPr>
              <w:t>Feature extraction</w:t>
            </w:r>
          </w:p>
        </w:tc>
        <w:tc>
          <w:tcPr>
            <w:tcW w:type="dxa" w:w="3116"/>
            <w:shd w:val="clear" w:color="auto" w:fill="FFFFFF"/>
          </w:tcPr>
          <w:p>
            <w:r>
              <w:rPr>
                <w:sz w:val="20"/>
              </w:rPr>
              <w:t>sharp (Node.js)</w:t>
            </w:r>
          </w:p>
        </w:tc>
        <w:tc>
          <w:tcPr>
            <w:tcW w:type="dxa" w:w="3116"/>
            <w:shd w:val="clear" w:color="auto" w:fill="FFFFFF"/>
          </w:tcPr>
          <w:p>
            <w:r>
              <w:rPr>
                <w:sz w:val="20"/>
              </w:rPr>
              <w:t>Extraction automatique de caractéristiques</w:t>
            </w:r>
          </w:p>
        </w:tc>
      </w:tr>
      <w:tr>
        <w:tc>
          <w:tcPr>
            <w:tcW w:type="dxa" w:w="3116"/>
            <w:shd w:val="clear" w:color="auto" w:fill="EEF4F8"/>
          </w:tcPr>
          <w:p>
            <w:r>
              <w:rPr>
                <w:sz w:val="20"/>
              </w:rPr>
              <w:t>ML entraînement</w:t>
            </w:r>
          </w:p>
        </w:tc>
        <w:tc>
          <w:tcPr>
            <w:tcW w:type="dxa" w:w="3116"/>
            <w:shd w:val="clear" w:color="auto" w:fill="EEF4F8"/>
          </w:tcPr>
          <w:p>
            <w:r>
              <w:rPr>
                <w:sz w:val="20"/>
              </w:rPr>
              <w:t>Python / scikit-learn</w:t>
            </w:r>
          </w:p>
        </w:tc>
        <w:tc>
          <w:tcPr>
            <w:tcW w:type="dxa" w:w="3116"/>
            <w:shd w:val="clear" w:color="auto" w:fill="EEF4F8"/>
          </w:tcPr>
          <w:p>
            <w:r>
              <w:rPr>
                <w:sz w:val="20"/>
              </w:rPr>
              <w:t>Classification multi-label</w:t>
            </w:r>
          </w:p>
        </w:tc>
      </w:tr>
      <w:tr>
        <w:tc>
          <w:tcPr>
            <w:tcW w:type="dxa" w:w="3116"/>
            <w:shd w:val="clear" w:color="auto" w:fill="FFFFFF"/>
          </w:tcPr>
          <w:p>
            <w:r>
              <w:rPr>
                <w:sz w:val="20"/>
              </w:rPr>
              <w:t>ML client</w:t>
            </w:r>
          </w:p>
        </w:tc>
        <w:tc>
          <w:tcPr>
            <w:tcW w:type="dxa" w:w="3116"/>
            <w:shd w:val="clear" w:color="auto" w:fill="FFFFFF"/>
          </w:tcPr>
          <w:p>
            <w:r>
              <w:rPr>
                <w:sz w:val="20"/>
              </w:rPr>
              <w:t>MediaPipe (JavaScript)</w:t>
            </w:r>
          </w:p>
        </w:tc>
        <w:tc>
          <w:tcPr>
            <w:tcW w:type="dxa" w:w="3116"/>
            <w:shd w:val="clear" w:color="auto" w:fill="FFFFFF"/>
          </w:tcPr>
          <w:p>
            <w:r>
              <w:rPr>
                <w:sz w:val="20"/>
              </w:rPr>
              <w:t>Détection de forme de visage in-browser</w:t>
            </w:r>
          </w:p>
        </w:tc>
      </w:tr>
    </w:tbl>
    <w:p/>
    <w:p>
      <w:pPr>
        <w:pStyle w:val="Heading2"/>
      </w:pPr>
      <w:r>
        <w:rPr>
          <w:b/>
          <w:color w:val="105E8A"/>
          <w:sz w:val="28"/>
        </w:rPr>
        <w:t>2.3 Justification des choix techniques</w:t>
      </w:r>
    </w:p>
    <w:p>
      <w:pPr>
        <w:pStyle w:val="ListBullet"/>
        <w:spacing w:after="60"/>
      </w:pPr>
      <w:r>
        <w:rPr>
          <w:rFonts w:ascii="Calibri" w:hAnsi="Calibri"/>
          <w:b w:val="0"/>
          <w:i w:val="0"/>
          <w:sz w:val="22"/>
        </w:rPr>
        <w:t>MongoDB : flexibilité de schéma idéale pour des métadonnées hétérogènes, agrégations natives pour les statistiques de labels.</w:t>
      </w:r>
    </w:p>
    <w:p>
      <w:pPr>
        <w:pStyle w:val="ListBullet"/>
        <w:spacing w:after="60"/>
      </w:pPr>
      <w:r>
        <w:rPr>
          <w:rFonts w:ascii="Calibri" w:hAnsi="Calibri"/>
          <w:b w:val="0"/>
          <w:i w:val="0"/>
          <w:sz w:val="22"/>
        </w:rPr>
        <w:t>NestJS : architecture modulaire (GalleryModule, DatasetModule, StatsModule), séparation claire des responsabilités.</w:t>
      </w:r>
    </w:p>
    <w:p>
      <w:pPr>
        <w:pStyle w:val="ListBullet"/>
        <w:spacing w:after="60"/>
      </w:pPr>
      <w:r>
        <w:rPr>
          <w:rFonts w:ascii="Calibri" w:hAnsi="Calibri"/>
          <w:b w:val="0"/>
          <w:i w:val="0"/>
          <w:sz w:val="22"/>
        </w:rPr>
        <w:t>sharp : extraction de features légère côté serveur, sans dépendance externe, au moment de l'upload.</w:t>
      </w:r>
    </w:p>
    <w:p>
      <w:pPr>
        <w:pStyle w:val="ListBullet"/>
        <w:spacing w:after="60"/>
      </w:pPr>
      <w:r>
        <w:rPr>
          <w:rFonts w:ascii="Calibri" w:hAnsi="Calibri"/>
          <w:b w:val="0"/>
          <w:i w:val="0"/>
          <w:sz w:val="22"/>
        </w:rPr>
        <w:t>scikit-learn : implémentation éprouvée du RandomForest multi-label, adaptée à un dataset de taille limitée.</w:t>
      </w:r>
    </w:p>
    <w:p>
      <w:pPr>
        <w:pStyle w:val="ListBullet"/>
        <w:spacing w:after="60"/>
      </w:pPr>
      <w:r>
        <w:rPr>
          <w:rFonts w:ascii="Calibri" w:hAnsi="Calibri"/>
          <w:b w:val="0"/>
          <w:i w:val="0"/>
          <w:sz w:val="22"/>
        </w:rPr>
        <w:t>MediaPipe : s'exécute en WebAssembly dans le navigateur, aucune donnée biométrique transmise à un serveur externe.</w:t>
      </w:r>
    </w:p>
    <w:p>
      <w:r>
        <w:br w:type="page"/>
      </w:r>
    </w:p>
    <w:p>
      <w:pPr>
        <w:pStyle w:val="Heading1"/>
      </w:pPr>
      <w:r>
        <w:rPr>
          <w:b/>
          <w:color w:val="1A1A2E"/>
          <w:sz w:val="36"/>
        </w:rPr>
        <w:t>3. Schéma de base de données</w:t>
      </w:r>
    </w:p>
    <w:p>
      <w:pPr>
        <w:pStyle w:val="Heading2"/>
      </w:pPr>
      <w:r>
        <w:rPr>
          <w:b/>
          <w:color w:val="105E8A"/>
          <w:sz w:val="28"/>
        </w:rPr>
        <w:t>3.1 Principes de modélisation</w:t>
      </w:r>
    </w:p>
    <w:p>
      <w:pPr>
        <w:spacing w:after="120"/>
      </w:pPr>
      <w:r>
        <w:rPr>
          <w:rFonts w:ascii="Calibri" w:hAnsi="Calibri"/>
          <w:b w:val="0"/>
          <w:i w:val="0"/>
          <w:color w:val="222222"/>
          <w:sz w:val="22"/>
        </w:rPr>
        <w:t>La base de données datacut suit une approche hybride : les fichiers images sont stockés sur disque (/uploads/gallery/), tandis que toutes les métadonnées associées (statut, labels, features, versioning) sont stockées dans MongoDB.</w:t>
      </w:r>
    </w:p>
    <w:p>
      <w:pPr>
        <w:spacing w:before="120"/>
        <w:jc w:val="center"/>
      </w:pPr>
      <w:r>
        <w:drawing>
          <wp:inline xmlns:a="http://schemas.openxmlformats.org/drawingml/2006/main" xmlns:pic="http://schemas.openxmlformats.org/drawingml/2006/picture">
            <wp:extent cx="5580000" cy="2853195"/>
            <wp:docPr id="2" name="Picture 2"/>
            <wp:cNvGraphicFramePr>
              <a:graphicFrameLocks noChangeAspect="1"/>
            </wp:cNvGraphicFramePr>
            <a:graphic>
              <a:graphicData uri="http://schemas.openxmlformats.org/drawingml/2006/picture">
                <pic:pic>
                  <pic:nvPicPr>
                    <pic:cNvPr id="0" name="db_schema.png"/>
                    <pic:cNvPicPr/>
                  </pic:nvPicPr>
                  <pic:blipFill>
                    <a:blip r:embed="rId10"/>
                    <a:stretch>
                      <a:fillRect/>
                    </a:stretch>
                  </pic:blipFill>
                  <pic:spPr>
                    <a:xfrm>
                      <a:off x="0" y="0"/>
                      <a:ext cx="5580000" cy="2853195"/>
                    </a:xfrm>
                    <a:prstGeom prst="rect"/>
                  </pic:spPr>
                </pic:pic>
              </a:graphicData>
            </a:graphic>
          </wp:inline>
        </w:drawing>
      </w:r>
    </w:p>
    <w:p>
      <w:pPr>
        <w:spacing w:after="160"/>
        <w:jc w:val="center"/>
      </w:pPr>
      <w:r>
        <w:rPr>
          <w:rFonts w:ascii="Calibri" w:hAnsi="Calibri"/>
          <w:b w:val="0"/>
          <w:i/>
          <w:color w:val="555555"/>
          <w:sz w:val="18"/>
        </w:rPr>
        <w:t>Figure 2 — Modèle de données : collections et relation logique</w:t>
      </w:r>
    </w:p>
    <w:p>
      <w:pPr>
        <w:pStyle w:val="Heading2"/>
      </w:pPr>
      <w:r>
        <w:rPr>
          <w:b/>
          <w:color w:val="105E8A"/>
          <w:sz w:val="28"/>
        </w:rPr>
        <w:t>3.2 Collection GalleryItem</w:t>
      </w:r>
    </w:p>
    <w:p>
      <w:pPr>
        <w:spacing w:before="80" w:after="80"/>
        <w:ind w:left="454"/>
        <w:shd w:val="clear" w:color="auto" w:fill="F2F2F2"/>
      </w:pPr>
      <w:r>
        <w:rPr>
          <w:rFonts w:ascii="Consolas" w:hAnsi="Consolas"/>
          <w:color w:val="222222"/>
          <w:sz w:val="18"/>
        </w:rPr>
        <w:t>GalleryItem {</w:t>
        <w:br/>
        <w:t xml:space="preserve">  _id            : ObjectId      // Identifiant unique MongoDB</w:t>
        <w:br/>
        <w:t xml:space="preserve">  filename       : String        // Nom du fichier sur disque</w:t>
        <w:br/>
        <w:t xml:space="preserve">  url            : String        // Chemin (/uploads/gallery/...)</w:t>
        <w:br/>
        <w:t xml:space="preserve">  category       : String?       // coupe | barbe | dégradé...</w:t>
        <w:br/>
        <w:t xml:space="preserve">  status         : Enum          // raw|validated|labeled|processed|exported</w:t>
        <w:br/>
        <w:t xml:space="preserve">  labels         : [String]      // Labels assignés (fade, afro, tresse...)</w:t>
        <w:br/>
        <w:t xml:space="preserve">  features       : { width, height, sizeKb, format, dominantColor }</w:t>
        <w:br/>
        <w:t xml:space="preserve">  datasetVersion : String?       // Version d'export</w:t>
        <w:br/>
        <w:t xml:space="preserve">  createdAt, updatedAt : Date</w:t>
        <w:br/>
        <w:t>}</w:t>
      </w:r>
    </w:p>
    <w:p>
      <w:pPr>
        <w:pStyle w:val="Heading2"/>
      </w:pPr>
      <w:r>
        <w:rPr>
          <w:b/>
          <w:color w:val="105E8A"/>
          <w:sz w:val="28"/>
        </w:rPr>
        <w:t>3.3 Collection DatasetVersion</w:t>
      </w:r>
    </w:p>
    <w:p>
      <w:pPr>
        <w:spacing w:before="80" w:after="80"/>
        <w:ind w:left="454"/>
        <w:shd w:val="clear" w:color="auto" w:fill="F2F2F2"/>
      </w:pPr>
      <w:r>
        <w:rPr>
          <w:rFonts w:ascii="Consolas" w:hAnsi="Consolas"/>
          <w:color w:val="222222"/>
          <w:sz w:val="18"/>
        </w:rPr>
        <w:t>DatasetVersion {</w:t>
        <w:br/>
        <w:t xml:space="preserve">  _id, version, imageCount, imageIds[], labelsIncluded[], description, createdAt</w:t>
        <w:br/>
        <w:t>}</w:t>
      </w:r>
    </w:p>
    <w:p>
      <w:pPr>
        <w:pStyle w:val="Heading2"/>
      </w:pPr>
      <w:r>
        <w:rPr>
          <w:b/>
          <w:color w:val="105E8A"/>
          <w:sz w:val="28"/>
        </w:rPr>
        <w:t>3.4 Relations</w:t>
      </w:r>
    </w:p>
    <w:p>
      <w:pPr>
        <w:pStyle w:val="ListBullet"/>
        <w:spacing w:after="60"/>
      </w:pPr>
      <w:r>
        <w:rPr>
          <w:rFonts w:ascii="Calibri" w:hAnsi="Calibri"/>
          <w:b w:val="0"/>
          <w:i w:val="0"/>
          <w:sz w:val="22"/>
        </w:rPr>
        <w:t>GalleryItem.datasetVersion → DatasetVersion.version (clé logique, document store).</w:t>
      </w:r>
    </w:p>
    <w:p>
      <w:pPr>
        <w:pStyle w:val="ListBullet"/>
        <w:spacing w:after="60"/>
      </w:pPr>
      <w:r>
        <w:rPr>
          <w:rFonts w:ascii="Calibri" w:hAnsi="Calibri"/>
          <w:b w:val="0"/>
          <w:i w:val="0"/>
          <w:sz w:val="22"/>
        </w:rPr>
        <w:t>DatasetVersion.imageIds liste les GalleryItem inclus dans le snapshot.</w:t>
      </w:r>
    </w:p>
    <w:p>
      <w:pPr>
        <w:pStyle w:val="ListBullet"/>
        <w:spacing w:after="60"/>
      </w:pPr>
      <w:r>
        <w:rPr>
          <w:rFonts w:ascii="Calibri" w:hAnsi="Calibri"/>
          <w:b w:val="0"/>
          <w:i w:val="0"/>
          <w:sz w:val="22"/>
        </w:rPr>
        <w:t>Relation volontairement légère : les snapshots sont immuables.</w:t>
      </w:r>
    </w:p>
    <w:p>
      <w:r>
        <w:br w:type="page"/>
      </w:r>
    </w:p>
    <w:p>
      <w:pPr>
        <w:pStyle w:val="Heading1"/>
      </w:pPr>
      <w:r>
        <w:rPr>
          <w:b/>
          <w:color w:val="1A1A2E"/>
          <w:sz w:val="36"/>
        </w:rPr>
        <w:t>4. Pipeline de données</w:t>
      </w:r>
    </w:p>
    <w:p>
      <w:pPr>
        <w:pStyle w:val="Heading2"/>
      </w:pPr>
      <w:r>
        <w:rPr>
          <w:b/>
          <w:color w:val="105E8A"/>
          <w:sz w:val="28"/>
        </w:rPr>
        <w:t>4.1 Vue d'ensemble</w:t>
      </w:r>
    </w:p>
    <w:p>
      <w:pPr>
        <w:spacing w:after="120"/>
      </w:pPr>
      <w:r>
        <w:rPr>
          <w:rFonts w:ascii="Calibri" w:hAnsi="Calibri"/>
          <w:b w:val="0"/>
          <w:i w:val="0"/>
          <w:color w:val="222222"/>
          <w:sz w:val="22"/>
        </w:rPr>
        <w:t>Le pipeline structure le cycle de vie d'une image en 5 statuts successifs et unidirectionnels :</w:t>
      </w:r>
    </w:p>
    <w:p>
      <w:pPr>
        <w:spacing w:before="120"/>
        <w:jc w:val="center"/>
      </w:pPr>
      <w:r>
        <w:drawing>
          <wp:inline xmlns:a="http://schemas.openxmlformats.org/drawingml/2006/main" xmlns:pic="http://schemas.openxmlformats.org/drawingml/2006/picture">
            <wp:extent cx="5940000" cy="1668925"/>
            <wp:docPr id="3" name="Picture 3"/>
            <wp:cNvGraphicFramePr>
              <a:graphicFrameLocks noChangeAspect="1"/>
            </wp:cNvGraphicFramePr>
            <a:graphic>
              <a:graphicData uri="http://schemas.openxmlformats.org/drawingml/2006/picture">
                <pic:pic>
                  <pic:nvPicPr>
                    <pic:cNvPr id="0" name="pipeline.png"/>
                    <pic:cNvPicPr/>
                  </pic:nvPicPr>
                  <pic:blipFill>
                    <a:blip r:embed="rId11"/>
                    <a:stretch>
                      <a:fillRect/>
                    </a:stretch>
                  </pic:blipFill>
                  <pic:spPr>
                    <a:xfrm>
                      <a:off x="0" y="0"/>
                      <a:ext cx="5940000" cy="1668925"/>
                    </a:xfrm>
                    <a:prstGeom prst="rect"/>
                  </pic:spPr>
                </pic:pic>
              </a:graphicData>
            </a:graphic>
          </wp:inline>
        </w:drawing>
      </w:r>
    </w:p>
    <w:p>
      <w:pPr>
        <w:spacing w:after="160"/>
        <w:jc w:val="center"/>
      </w:pPr>
      <w:r>
        <w:rPr>
          <w:rFonts w:ascii="Calibri" w:hAnsi="Calibri"/>
          <w:b w:val="0"/>
          <w:i/>
          <w:color w:val="555555"/>
          <w:sz w:val="18"/>
        </w:rPr>
        <w:t>Figure 3 — Pipeline de données en 5 statuts</w:t>
      </w:r>
    </w:p>
    <w:p>
      <w:pPr>
        <w:pStyle w:val="Heading2"/>
      </w:pPr>
      <w:r>
        <w:rPr>
          <w:b/>
          <w:color w:val="105E8A"/>
          <w:sz w:val="28"/>
        </w:rPr>
        <w:t>4.2 Description de chaque étape</w:t>
      </w:r>
    </w:p>
    <w:p>
      <w:pPr>
        <w:pStyle w:val="Heading3"/>
      </w:pPr>
      <w:r>
        <w:rPr>
          <w:b/>
          <w:color w:val="207AA8"/>
          <w:sz w:val="24"/>
        </w:rPr>
        <w:t>Phase 1 — RAW (Ingestion)</w:t>
      </w:r>
    </w:p>
    <w:p>
      <w:pPr>
        <w:spacing w:after="120"/>
      </w:pPr>
      <w:r>
        <w:rPr>
          <w:rFonts w:ascii="Calibri" w:hAnsi="Calibri"/>
          <w:b w:val="0"/>
          <w:i w:val="0"/>
          <w:color w:val="222222"/>
          <w:sz w:val="22"/>
        </w:rPr>
        <w:t>NestJS + Multer sauvegarde le fichier, sharp extrait automatiquement les features, et un document GalleryItem est créé avec status: 'raw'.</w:t>
      </w:r>
    </w:p>
    <w:p>
      <w:pPr>
        <w:pStyle w:val="Heading3"/>
      </w:pPr>
      <w:r>
        <w:rPr>
          <w:b/>
          <w:color w:val="207AA8"/>
          <w:sz w:val="24"/>
        </w:rPr>
        <w:t>Phase 2 — VALIDATED</w:t>
      </w:r>
    </w:p>
    <w:p>
      <w:pPr>
        <w:spacing w:after="120"/>
      </w:pPr>
      <w:r>
        <w:rPr>
          <w:rFonts w:ascii="Calibri" w:hAnsi="Calibri"/>
          <w:b w:val="0"/>
          <w:i w:val="0"/>
          <w:color w:val="222222"/>
          <w:sz w:val="22"/>
        </w:rPr>
        <w:t>L'administrateur vérifie la qualité visuelle (cadrage, netteté, pertinence) depuis l'interface Pipeline.</w:t>
      </w:r>
    </w:p>
    <w:p>
      <w:pPr>
        <w:pStyle w:val="Heading3"/>
      </w:pPr>
      <w:r>
        <w:rPr>
          <w:b/>
          <w:color w:val="207AA8"/>
          <w:sz w:val="24"/>
        </w:rPr>
        <w:t>Phase 3 — LABELED</w:t>
      </w:r>
    </w:p>
    <w:p>
      <w:pPr>
        <w:spacing w:after="120"/>
      </w:pPr>
      <w:r>
        <w:rPr>
          <w:rFonts w:ascii="Calibri" w:hAnsi="Calibri"/>
          <w:b w:val="0"/>
          <w:i w:val="0"/>
          <w:color w:val="222222"/>
          <w:sz w:val="22"/>
        </w:rPr>
        <w:t>Assignation de 1 à N labels parmi 12 disponibles (fade, dégradé, taper, burst-fade, afro, tresse, barbe, rasage, avant, après, enfant, adulte).</w:t>
      </w:r>
    </w:p>
    <w:p>
      <w:pPr>
        <w:pStyle w:val="Heading3"/>
      </w:pPr>
      <w:r>
        <w:rPr>
          <w:b/>
          <w:color w:val="207AA8"/>
          <w:sz w:val="24"/>
        </w:rPr>
        <w:t>Phase 4 — PROCESSED</w:t>
      </w:r>
    </w:p>
    <w:p>
      <w:pPr>
        <w:spacing w:after="120"/>
      </w:pPr>
      <w:r>
        <w:rPr>
          <w:rFonts w:ascii="Calibri" w:hAnsi="Calibri"/>
          <w:b w:val="0"/>
          <w:i w:val="0"/>
          <w:color w:val="222222"/>
          <w:sz w:val="22"/>
        </w:rPr>
        <w:t>Validation finale : l'image est complète et prête à intégrer un dataset.</w:t>
      </w:r>
    </w:p>
    <w:p>
      <w:pPr>
        <w:pStyle w:val="Heading3"/>
      </w:pPr>
      <w:r>
        <w:rPr>
          <w:b/>
          <w:color w:val="207AA8"/>
          <w:sz w:val="24"/>
        </w:rPr>
        <w:t>Phase 5 — EXPORTED</w:t>
      </w:r>
    </w:p>
    <w:p>
      <w:pPr>
        <w:spacing w:after="120"/>
      </w:pPr>
      <w:r>
        <w:rPr>
          <w:rFonts w:ascii="Calibri" w:hAnsi="Calibri"/>
          <w:b w:val="0"/>
          <w:i w:val="0"/>
          <w:color w:val="222222"/>
          <w:sz w:val="22"/>
        </w:rPr>
        <w:t>L'image est incluse dans un snapshot versionné ; son champ datasetVersion est renseigné.</w:t>
      </w:r>
    </w:p>
    <w:p>
      <w:pPr>
        <w:pStyle w:val="Heading2"/>
      </w:pPr>
      <w:r>
        <w:rPr>
          <w:b/>
          <w:color w:val="105E8A"/>
          <w:sz w:val="28"/>
        </w:rPr>
        <w:t>4.3 Règles de transition</w:t>
      </w:r>
    </w:p>
    <w:p>
      <w:pPr>
        <w:pStyle w:val="ListBullet"/>
        <w:spacing w:after="60"/>
      </w:pPr>
      <w:r>
        <w:rPr>
          <w:rFonts w:ascii="Calibri" w:hAnsi="Calibri"/>
          <w:b w:val="0"/>
          <w:i w:val="0"/>
          <w:sz w:val="22"/>
        </w:rPr>
        <w:t>Transitions unidirectionnelles : pas de retour à un statut antérieur.</w:t>
      </w:r>
    </w:p>
    <w:p>
      <w:pPr>
        <w:pStyle w:val="ListBullet"/>
        <w:spacing w:after="60"/>
      </w:pPr>
      <w:r>
        <w:rPr>
          <w:rFonts w:ascii="Calibri" w:hAnsi="Calibri"/>
          <w:b w:val="0"/>
          <w:i w:val="0"/>
          <w:sz w:val="22"/>
        </w:rPr>
        <w:t>Seules les images labeled / processed / exported sont éligibles à un dataset.</w:t>
      </w:r>
    </w:p>
    <w:p>
      <w:pPr>
        <w:pStyle w:val="ListBullet"/>
        <w:spacing w:after="60"/>
      </w:pPr>
      <w:r>
        <w:rPr>
          <w:rFonts w:ascii="Calibri" w:hAnsi="Calibri"/>
          <w:b w:val="0"/>
          <w:i w:val="0"/>
          <w:sz w:val="22"/>
        </w:rPr>
        <w:t>Le funnel Pipeline visualise les volumes par statut et révèle les goulots d'étranglement.</w:t>
      </w:r>
    </w:p>
    <w:p>
      <w:r>
        <w:br w:type="page"/>
      </w:r>
    </w:p>
    <w:p>
      <w:pPr>
        <w:pStyle w:val="Heading1"/>
      </w:pPr>
      <w:r>
        <w:rPr>
          <w:b/>
          <w:color w:val="1A1A2E"/>
          <w:sz w:val="36"/>
        </w:rPr>
        <w:t>5. Extraction de features</w:t>
      </w:r>
    </w:p>
    <w:p>
      <w:pPr>
        <w:pStyle w:val="Heading2"/>
      </w:pPr>
      <w:r>
        <w:rPr>
          <w:b/>
          <w:color w:val="105E8A"/>
          <w:sz w:val="28"/>
        </w:rPr>
        <w:t>5.1 Principe</w:t>
      </w:r>
    </w:p>
    <w:p>
      <w:pPr>
        <w:spacing w:after="120"/>
      </w:pPr>
      <w:r>
        <w:rPr>
          <w:rFonts w:ascii="Calibri" w:hAnsi="Calibri"/>
          <w:b w:val="0"/>
          <w:i w:val="0"/>
          <w:color w:val="222222"/>
          <w:sz w:val="22"/>
        </w:rPr>
        <w:t>À chaque upload, le backend extrait automatiquement un vecteur de 7 caractéristiques numériques via sharp (Node.js). Ce vecteur constitue l'entrée du modèle ML, sans intervention humaine.</w:t>
      </w:r>
    </w:p>
    <w:p>
      <w:pPr>
        <w:pStyle w:val="Heading2"/>
      </w:pPr>
      <w:r>
        <w:rPr>
          <w:b/>
          <w:color w:val="105E8A"/>
          <w:sz w:val="28"/>
        </w:rPr>
        <w:t>5.2 Features extraites</w:t>
      </w:r>
    </w:p>
    <w:tbl>
      <w:tblPr>
        <w:tblStyle w:val="TableGrid"/>
        <w:tblW w:type="auto" w:w="0"/>
        <w:tblLook w:firstColumn="1" w:firstRow="1" w:lastColumn="0" w:lastRow="0" w:noHBand="0" w:noVBand="1" w:val="04A0"/>
      </w:tblPr>
      <w:tblGrid>
        <w:gridCol w:w="2337"/>
        <w:gridCol w:w="2337"/>
        <w:gridCol w:w="2337"/>
        <w:gridCol w:w="2337"/>
      </w:tblGrid>
      <w:tr>
        <w:tc>
          <w:tcPr>
            <w:tcW w:type="dxa" w:w="2337"/>
            <w:shd w:val="clear" w:color="auto" w:fill="105E8A"/>
          </w:tcPr>
          <w:p>
            <w:r>
              <w:rPr>
                <w:b/>
                <w:color w:val="FFFFFF"/>
                <w:sz w:val="22"/>
              </w:rPr>
              <w:t>Index</w:t>
            </w:r>
          </w:p>
        </w:tc>
        <w:tc>
          <w:tcPr>
            <w:tcW w:type="dxa" w:w="2337"/>
            <w:shd w:val="clear" w:color="auto" w:fill="105E8A"/>
          </w:tcPr>
          <w:p>
            <w:r>
              <w:rPr>
                <w:b/>
                <w:color w:val="FFFFFF"/>
                <w:sz w:val="22"/>
              </w:rPr>
              <w:t>Feature</w:t>
            </w:r>
          </w:p>
        </w:tc>
        <w:tc>
          <w:tcPr>
            <w:tcW w:type="dxa" w:w="2337"/>
            <w:shd w:val="clear" w:color="auto" w:fill="105E8A"/>
          </w:tcPr>
          <w:p>
            <w:r>
              <w:rPr>
                <w:b/>
                <w:color w:val="FFFFFF"/>
                <w:sz w:val="22"/>
              </w:rPr>
              <w:t>Description</w:t>
            </w:r>
          </w:p>
        </w:tc>
        <w:tc>
          <w:tcPr>
            <w:tcW w:type="dxa" w:w="2337"/>
            <w:shd w:val="clear" w:color="auto" w:fill="105E8A"/>
          </w:tcPr>
          <w:p>
            <w:r>
              <w:rPr>
                <w:b/>
                <w:color w:val="FFFFFF"/>
                <w:sz w:val="22"/>
              </w:rPr>
              <w:t>Exemple</w:t>
            </w:r>
          </w:p>
        </w:tc>
      </w:tr>
      <w:tr>
        <w:tc>
          <w:tcPr>
            <w:tcW w:type="dxa" w:w="2337"/>
            <w:shd w:val="clear" w:color="auto" w:fill="FFFFFF"/>
          </w:tcPr>
          <w:p>
            <w:r>
              <w:rPr>
                <w:sz w:val="20"/>
              </w:rPr>
              <w:t>0</w:t>
            </w:r>
          </w:p>
        </w:tc>
        <w:tc>
          <w:tcPr>
            <w:tcW w:type="dxa" w:w="2337"/>
            <w:shd w:val="clear" w:color="auto" w:fill="FFFFFF"/>
          </w:tcPr>
          <w:p>
            <w:r>
              <w:rPr>
                <w:sz w:val="20"/>
              </w:rPr>
              <w:t>width</w:t>
            </w:r>
          </w:p>
        </w:tc>
        <w:tc>
          <w:tcPr>
            <w:tcW w:type="dxa" w:w="2337"/>
            <w:shd w:val="clear" w:color="auto" w:fill="FFFFFF"/>
          </w:tcPr>
          <w:p>
            <w:r>
              <w:rPr>
                <w:sz w:val="20"/>
              </w:rPr>
              <w:t>Largeur en pixels</w:t>
            </w:r>
          </w:p>
        </w:tc>
        <w:tc>
          <w:tcPr>
            <w:tcW w:type="dxa" w:w="2337"/>
            <w:shd w:val="clear" w:color="auto" w:fill="FFFFFF"/>
          </w:tcPr>
          <w:p>
            <w:r>
              <w:rPr>
                <w:sz w:val="20"/>
              </w:rPr>
              <w:t>1080</w:t>
            </w:r>
          </w:p>
        </w:tc>
      </w:tr>
      <w:tr>
        <w:tc>
          <w:tcPr>
            <w:tcW w:type="dxa" w:w="2337"/>
            <w:shd w:val="clear" w:color="auto" w:fill="EEF4F8"/>
          </w:tcPr>
          <w:p>
            <w:r>
              <w:rPr>
                <w:sz w:val="20"/>
              </w:rPr>
              <w:t>1</w:t>
            </w:r>
          </w:p>
        </w:tc>
        <w:tc>
          <w:tcPr>
            <w:tcW w:type="dxa" w:w="2337"/>
            <w:shd w:val="clear" w:color="auto" w:fill="EEF4F8"/>
          </w:tcPr>
          <w:p>
            <w:r>
              <w:rPr>
                <w:sz w:val="20"/>
              </w:rPr>
              <w:t>height</w:t>
            </w:r>
          </w:p>
        </w:tc>
        <w:tc>
          <w:tcPr>
            <w:tcW w:type="dxa" w:w="2337"/>
            <w:shd w:val="clear" w:color="auto" w:fill="EEF4F8"/>
          </w:tcPr>
          <w:p>
            <w:r>
              <w:rPr>
                <w:sz w:val="20"/>
              </w:rPr>
              <w:t>Hauteur en pixels</w:t>
            </w:r>
          </w:p>
        </w:tc>
        <w:tc>
          <w:tcPr>
            <w:tcW w:type="dxa" w:w="2337"/>
            <w:shd w:val="clear" w:color="auto" w:fill="EEF4F8"/>
          </w:tcPr>
          <w:p>
            <w:r>
              <w:rPr>
                <w:sz w:val="20"/>
              </w:rPr>
              <w:t>1350</w:t>
            </w:r>
          </w:p>
        </w:tc>
      </w:tr>
      <w:tr>
        <w:tc>
          <w:tcPr>
            <w:tcW w:type="dxa" w:w="2337"/>
            <w:shd w:val="clear" w:color="auto" w:fill="FFFFFF"/>
          </w:tcPr>
          <w:p>
            <w:r>
              <w:rPr>
                <w:sz w:val="20"/>
              </w:rPr>
              <w:t>2</w:t>
            </w:r>
          </w:p>
        </w:tc>
        <w:tc>
          <w:tcPr>
            <w:tcW w:type="dxa" w:w="2337"/>
            <w:shd w:val="clear" w:color="auto" w:fill="FFFFFF"/>
          </w:tcPr>
          <w:p>
            <w:r>
              <w:rPr>
                <w:sz w:val="20"/>
              </w:rPr>
              <w:t>sizeKb</w:t>
            </w:r>
          </w:p>
        </w:tc>
        <w:tc>
          <w:tcPr>
            <w:tcW w:type="dxa" w:w="2337"/>
            <w:shd w:val="clear" w:color="auto" w:fill="FFFFFF"/>
          </w:tcPr>
          <w:p>
            <w:r>
              <w:rPr>
                <w:sz w:val="20"/>
              </w:rPr>
              <w:t>Taille du fichier en Ko</w:t>
            </w:r>
          </w:p>
        </w:tc>
        <w:tc>
          <w:tcPr>
            <w:tcW w:type="dxa" w:w="2337"/>
            <w:shd w:val="clear" w:color="auto" w:fill="FFFFFF"/>
          </w:tcPr>
          <w:p>
            <w:r>
              <w:rPr>
                <w:sz w:val="20"/>
              </w:rPr>
              <w:t>312.4</w:t>
            </w:r>
          </w:p>
        </w:tc>
      </w:tr>
      <w:tr>
        <w:tc>
          <w:tcPr>
            <w:tcW w:type="dxa" w:w="2337"/>
            <w:shd w:val="clear" w:color="auto" w:fill="EEF4F8"/>
          </w:tcPr>
          <w:p>
            <w:r>
              <w:rPr>
                <w:sz w:val="20"/>
              </w:rPr>
              <w:t>3</w:t>
            </w:r>
          </w:p>
        </w:tc>
        <w:tc>
          <w:tcPr>
            <w:tcW w:type="dxa" w:w="2337"/>
            <w:shd w:val="clear" w:color="auto" w:fill="EEF4F8"/>
          </w:tcPr>
          <w:p>
            <w:r>
              <w:rPr>
                <w:sz w:val="20"/>
              </w:rPr>
              <w:t>ratio</w:t>
            </w:r>
          </w:p>
        </w:tc>
        <w:tc>
          <w:tcPr>
            <w:tcW w:type="dxa" w:w="2337"/>
            <w:shd w:val="clear" w:color="auto" w:fill="EEF4F8"/>
          </w:tcPr>
          <w:p>
            <w:r>
              <w:rPr>
                <w:sz w:val="20"/>
              </w:rPr>
              <w:t>Largeur / Hauteur</w:t>
            </w:r>
          </w:p>
        </w:tc>
        <w:tc>
          <w:tcPr>
            <w:tcW w:type="dxa" w:w="2337"/>
            <w:shd w:val="clear" w:color="auto" w:fill="EEF4F8"/>
          </w:tcPr>
          <w:p>
            <w:r>
              <w:rPr>
                <w:sz w:val="20"/>
              </w:rPr>
              <w:t>0.80</w:t>
            </w:r>
          </w:p>
        </w:tc>
      </w:tr>
      <w:tr>
        <w:tc>
          <w:tcPr>
            <w:tcW w:type="dxa" w:w="2337"/>
            <w:shd w:val="clear" w:color="auto" w:fill="FFFFFF"/>
          </w:tcPr>
          <w:p>
            <w:r>
              <w:rPr>
                <w:sz w:val="20"/>
              </w:rPr>
              <w:t>4</w:t>
            </w:r>
          </w:p>
        </w:tc>
        <w:tc>
          <w:tcPr>
            <w:tcW w:type="dxa" w:w="2337"/>
            <w:shd w:val="clear" w:color="auto" w:fill="FFFFFF"/>
          </w:tcPr>
          <w:p>
            <w:r>
              <w:rPr>
                <w:sz w:val="20"/>
              </w:rPr>
              <w:t>r</w:t>
            </w:r>
          </w:p>
        </w:tc>
        <w:tc>
          <w:tcPr>
            <w:tcW w:type="dxa" w:w="2337"/>
            <w:shd w:val="clear" w:color="auto" w:fill="FFFFFF"/>
          </w:tcPr>
          <w:p>
            <w:r>
              <w:rPr>
                <w:sz w:val="20"/>
              </w:rPr>
              <w:t>Rouge de la couleur dominante</w:t>
            </w:r>
          </w:p>
        </w:tc>
        <w:tc>
          <w:tcPr>
            <w:tcW w:type="dxa" w:w="2337"/>
            <w:shd w:val="clear" w:color="auto" w:fill="FFFFFF"/>
          </w:tcPr>
          <w:p>
            <w:r>
              <w:rPr>
                <w:sz w:val="20"/>
              </w:rPr>
              <w:t>142</w:t>
            </w:r>
          </w:p>
        </w:tc>
      </w:tr>
      <w:tr>
        <w:tc>
          <w:tcPr>
            <w:tcW w:type="dxa" w:w="2337"/>
            <w:shd w:val="clear" w:color="auto" w:fill="EEF4F8"/>
          </w:tcPr>
          <w:p>
            <w:r>
              <w:rPr>
                <w:sz w:val="20"/>
              </w:rPr>
              <w:t>5</w:t>
            </w:r>
          </w:p>
        </w:tc>
        <w:tc>
          <w:tcPr>
            <w:tcW w:type="dxa" w:w="2337"/>
            <w:shd w:val="clear" w:color="auto" w:fill="EEF4F8"/>
          </w:tcPr>
          <w:p>
            <w:r>
              <w:rPr>
                <w:sz w:val="20"/>
              </w:rPr>
              <w:t>g</w:t>
            </w:r>
          </w:p>
        </w:tc>
        <w:tc>
          <w:tcPr>
            <w:tcW w:type="dxa" w:w="2337"/>
            <w:shd w:val="clear" w:color="auto" w:fill="EEF4F8"/>
          </w:tcPr>
          <w:p>
            <w:r>
              <w:rPr>
                <w:sz w:val="20"/>
              </w:rPr>
              <w:t>Vert de la couleur dominante</w:t>
            </w:r>
          </w:p>
        </w:tc>
        <w:tc>
          <w:tcPr>
            <w:tcW w:type="dxa" w:w="2337"/>
            <w:shd w:val="clear" w:color="auto" w:fill="EEF4F8"/>
          </w:tcPr>
          <w:p>
            <w:r>
              <w:rPr>
                <w:sz w:val="20"/>
              </w:rPr>
              <w:t>98</w:t>
            </w:r>
          </w:p>
        </w:tc>
      </w:tr>
      <w:tr>
        <w:tc>
          <w:tcPr>
            <w:tcW w:type="dxa" w:w="2337"/>
            <w:shd w:val="clear" w:color="auto" w:fill="FFFFFF"/>
          </w:tcPr>
          <w:p>
            <w:r>
              <w:rPr>
                <w:sz w:val="20"/>
              </w:rPr>
              <w:t>6</w:t>
            </w:r>
          </w:p>
        </w:tc>
        <w:tc>
          <w:tcPr>
            <w:tcW w:type="dxa" w:w="2337"/>
            <w:shd w:val="clear" w:color="auto" w:fill="FFFFFF"/>
          </w:tcPr>
          <w:p>
            <w:r>
              <w:rPr>
                <w:sz w:val="20"/>
              </w:rPr>
              <w:t>b</w:t>
            </w:r>
          </w:p>
        </w:tc>
        <w:tc>
          <w:tcPr>
            <w:tcW w:type="dxa" w:w="2337"/>
            <w:shd w:val="clear" w:color="auto" w:fill="FFFFFF"/>
          </w:tcPr>
          <w:p>
            <w:r>
              <w:rPr>
                <w:sz w:val="20"/>
              </w:rPr>
              <w:t>Bleu de la couleur dominante</w:t>
            </w:r>
          </w:p>
        </w:tc>
        <w:tc>
          <w:tcPr>
            <w:tcW w:type="dxa" w:w="2337"/>
            <w:shd w:val="clear" w:color="auto" w:fill="FFFFFF"/>
          </w:tcPr>
          <w:p>
            <w:r>
              <w:rPr>
                <w:sz w:val="20"/>
              </w:rPr>
              <w:t>67</w:t>
            </w:r>
          </w:p>
        </w:tc>
      </w:tr>
    </w:tbl>
    <w:p/>
    <w:p>
      <w:pPr>
        <w:pStyle w:val="Heading2"/>
      </w:pPr>
      <w:r>
        <w:rPr>
          <w:b/>
          <w:color w:val="105E8A"/>
          <w:sz w:val="28"/>
        </w:rPr>
        <w:t>5.3 Implémentation Python</w:t>
      </w:r>
    </w:p>
    <w:p>
      <w:pPr>
        <w:spacing w:before="80" w:after="80"/>
        <w:ind w:left="454"/>
        <w:shd w:val="clear" w:color="auto" w:fill="F2F2F2"/>
      </w:pPr>
      <w:r>
        <w:rPr>
          <w:rFonts w:ascii="Consolas" w:hAnsi="Consolas"/>
          <w:color w:val="222222"/>
          <w:sz w:val="18"/>
        </w:rPr>
        <w:t>def build_features(images):</w:t>
        <w:br/>
        <w:t xml:space="preserve">    rows = []</w:t>
        <w:br/>
        <w:t xml:space="preserve">    for img in images:</w:t>
        <w:br/>
        <w:t xml:space="preserve">        feat  = img.get('features') or {}</w:t>
        <w:br/>
        <w:t xml:space="preserve">        w, h  = feat.get('width',0), feat.get('height',0)</w:t>
        <w:br/>
        <w:t xml:space="preserve">        size  = feat.get('sizeKb',0)</w:t>
        <w:br/>
        <w:t xml:space="preserve">        ratio = w / h if h &gt; 0 else 1.0</w:t>
        <w:br/>
        <w:t xml:space="preserve">        r,g,b = hex_to_rgb(feat.get('dominantColor','#808080'))</w:t>
        <w:br/>
        <w:t xml:space="preserve">        rows.append([w, h, size, ratio, r, g, b])</w:t>
        <w:br/>
        <w:t xml:space="preserve">    return np.array(rows, dtype=float)</w:t>
      </w:r>
    </w:p>
    <w:p>
      <w:r>
        <w:br w:type="page"/>
      </w:r>
    </w:p>
    <w:p>
      <w:pPr>
        <w:pStyle w:val="Heading1"/>
      </w:pPr>
      <w:r>
        <w:rPr>
          <w:b/>
          <w:color w:val="1A1A2E"/>
          <w:sz w:val="36"/>
        </w:rPr>
        <w:t>6. Versioning des datasets</w:t>
      </w:r>
    </w:p>
    <w:p>
      <w:pPr>
        <w:pStyle w:val="Heading2"/>
      </w:pPr>
      <w:r>
        <w:rPr>
          <w:b/>
          <w:color w:val="105E8A"/>
          <w:sz w:val="28"/>
        </w:rPr>
        <w:t>6.1 Principe</w:t>
      </w:r>
    </w:p>
    <w:p>
      <w:pPr>
        <w:spacing w:after="120"/>
      </w:pPr>
      <w:r>
        <w:rPr>
          <w:rFonts w:ascii="Calibri" w:hAnsi="Calibri"/>
          <w:b w:val="0"/>
          <w:i w:val="0"/>
          <w:color w:val="222222"/>
          <w:sz w:val="22"/>
        </w:rPr>
        <w:t>Le versioning repose sur des snapshots immuables : à un instant T, toutes les images éligibles sont capturées dans une version numérotée qui ne change jamais — garantissant la reproductibilité des entraînements.</w:t>
      </w:r>
    </w:p>
    <w:p>
      <w:pPr>
        <w:pStyle w:val="Heading2"/>
      </w:pPr>
      <w:r>
        <w:rPr>
          <w:b/>
          <w:color w:val="105E8A"/>
          <w:sz w:val="28"/>
        </w:rPr>
        <w:t>6.2 Mécanisme de création</w:t>
      </w:r>
    </w:p>
    <w:p>
      <w:pPr>
        <w:pStyle w:val="ListBullet"/>
        <w:spacing w:after="60"/>
      </w:pPr>
      <w:r>
        <w:rPr>
          <w:rFonts w:ascii="Calibri" w:hAnsi="Calibri"/>
          <w:b w:val="0"/>
          <w:i w:val="0"/>
          <w:sz w:val="22"/>
        </w:rPr>
        <w:t>L'administrateur clique sur « Créer une version ».</w:t>
      </w:r>
    </w:p>
    <w:p>
      <w:pPr>
        <w:pStyle w:val="ListBullet"/>
        <w:spacing w:after="60"/>
      </w:pPr>
      <w:r>
        <w:rPr>
          <w:rFonts w:ascii="Calibri" w:hAnsi="Calibri"/>
          <w:b w:val="0"/>
          <w:i w:val="0"/>
          <w:sz w:val="22"/>
        </w:rPr>
        <w:t>Le backend identifie les images éligibles (labeled, processed, exported).</w:t>
      </w:r>
    </w:p>
    <w:p>
      <w:pPr>
        <w:pStyle w:val="ListBullet"/>
        <w:spacing w:after="60"/>
      </w:pPr>
      <w:r>
        <w:rPr>
          <w:rFonts w:ascii="Calibri" w:hAnsi="Calibri"/>
          <w:b w:val="0"/>
          <w:i w:val="0"/>
          <w:sz w:val="22"/>
        </w:rPr>
        <w:t>Un document DatasetVersion est créé (numéro incrémental, imageIds, labelsIncluded, imageCount).</w:t>
      </w:r>
    </w:p>
    <w:p>
      <w:pPr>
        <w:pStyle w:val="ListBullet"/>
        <w:spacing w:after="60"/>
      </w:pPr>
      <w:r>
        <w:rPr>
          <w:rFonts w:ascii="Calibri" w:hAnsi="Calibri"/>
          <w:b w:val="0"/>
          <w:i w:val="0"/>
          <w:sz w:val="22"/>
        </w:rPr>
        <w:t>Les images incluses passent à exported et reçoivent le tag de version.</w:t>
      </w:r>
    </w:p>
    <w:p>
      <w:pPr>
        <w:pStyle w:val="Heading2"/>
      </w:pPr>
      <w:r>
        <w:rPr>
          <w:b/>
          <w:color w:val="105E8A"/>
          <w:sz w:val="28"/>
        </w:rPr>
        <w:t>6.3 Structure du JSON exporté</w:t>
      </w:r>
    </w:p>
    <w:p>
      <w:pPr>
        <w:spacing w:before="80" w:after="80"/>
        <w:ind w:left="454"/>
        <w:shd w:val="clear" w:color="auto" w:fill="F2F2F2"/>
      </w:pPr>
      <w:r>
        <w:rPr>
          <w:rFonts w:ascii="Consolas" w:hAnsi="Consolas"/>
          <w:color w:val="222222"/>
          <w:sz w:val="18"/>
        </w:rPr>
        <w:t>{</w:t>
        <w:br/>
        <w:t xml:space="preserve">  "version": "v1", "createdAt": "2026-04-13T10:20:16Z", "imageCount": 9,</w:t>
        <w:br/>
        <w:t xml:space="preserve">  "labelsIncluded": ["burst-fade","taper","barbe","afro","dégradé", ...],</w:t>
        <w:br/>
        <w:t xml:space="preserve">  "images": [</w:t>
        <w:br/>
        <w:t xml:space="preserve">    { "id":"...", "labels":["burst-fade","adulte","après"],</w:t>
        <w:br/>
        <w:t xml:space="preserve">      "features": {"width":705,"height":921,"sizeKb":677,"dominantColor":"#686878"} }</w:t>
        <w:br/>
        <w:t xml:space="preserve">  ]</w:t>
        <w:br/>
        <w:t>}</w:t>
      </w:r>
    </w:p>
    <w:p>
      <w:r>
        <w:br w:type="page"/>
      </w:r>
    </w:p>
    <w:p>
      <w:pPr>
        <w:pStyle w:val="Heading1"/>
      </w:pPr>
      <w:r>
        <w:rPr>
          <w:b/>
          <w:color w:val="1A1A2E"/>
          <w:sz w:val="36"/>
        </w:rPr>
        <w:t>7. Entraînement du modèle</w:t>
      </w:r>
    </w:p>
    <w:p>
      <w:pPr>
        <w:pStyle w:val="Heading2"/>
      </w:pPr>
      <w:r>
        <w:rPr>
          <w:b/>
          <w:color w:val="105E8A"/>
          <w:sz w:val="28"/>
        </w:rPr>
        <w:t>7.1 Algorithme choisi</w:t>
      </w:r>
    </w:p>
    <w:p>
      <w:pPr>
        <w:spacing w:after="120"/>
      </w:pPr>
      <w:r>
        <w:rPr>
          <w:rFonts w:ascii="Calibri" w:hAnsi="Calibri"/>
          <w:b w:val="0"/>
          <w:i w:val="0"/>
          <w:color w:val="222222"/>
          <w:sz w:val="22"/>
        </w:rPr>
        <w:t>Le classificateur est un RandomForest multi-label (scikit-learn). La stratégie OneVsRestClassifier traite indépendamment chaque label : une image peut en porter plusieurs (ex : fade + barbe + adulte).</w:t>
      </w:r>
    </w:p>
    <w:p>
      <w:pPr>
        <w:pStyle w:val="Heading2"/>
      </w:pPr>
      <w:r>
        <w:rPr>
          <w:b/>
          <w:color w:val="105E8A"/>
          <w:sz w:val="28"/>
        </w:rPr>
        <w:t>7.2 Pipeline d'entraînement</w:t>
      </w:r>
    </w:p>
    <w:p>
      <w:pPr>
        <w:spacing w:before="120"/>
        <w:jc w:val="center"/>
      </w:pPr>
      <w:r>
        <w:drawing>
          <wp:inline xmlns:a="http://schemas.openxmlformats.org/drawingml/2006/main" xmlns:pic="http://schemas.openxmlformats.org/drawingml/2006/picture">
            <wp:extent cx="3420000" cy="4634789"/>
            <wp:docPr id="4" name="Picture 4"/>
            <wp:cNvGraphicFramePr>
              <a:graphicFrameLocks noChangeAspect="1"/>
            </wp:cNvGraphicFramePr>
            <a:graphic>
              <a:graphicData uri="http://schemas.openxmlformats.org/drawingml/2006/picture">
                <pic:pic>
                  <pic:nvPicPr>
                    <pic:cNvPr id="0" name="ml_flow.png"/>
                    <pic:cNvPicPr/>
                  </pic:nvPicPr>
                  <pic:blipFill>
                    <a:blip r:embed="rId12"/>
                    <a:stretch>
                      <a:fillRect/>
                    </a:stretch>
                  </pic:blipFill>
                  <pic:spPr>
                    <a:xfrm>
                      <a:off x="0" y="0"/>
                      <a:ext cx="3420000" cy="4634789"/>
                    </a:xfrm>
                    <a:prstGeom prst="rect"/>
                  </pic:spPr>
                </pic:pic>
              </a:graphicData>
            </a:graphic>
          </wp:inline>
        </w:drawing>
      </w:r>
    </w:p>
    <w:p>
      <w:pPr>
        <w:spacing w:after="160"/>
        <w:jc w:val="center"/>
      </w:pPr>
      <w:r>
        <w:rPr>
          <w:rFonts w:ascii="Calibri" w:hAnsi="Calibri"/>
          <w:b w:val="0"/>
          <w:i/>
          <w:color w:val="555555"/>
          <w:sz w:val="18"/>
        </w:rPr>
        <w:t>Figure 4 — Chaîne d'entraînement de train.py</w:t>
      </w:r>
    </w:p>
    <w:p>
      <w:pPr>
        <w:pStyle w:val="Heading2"/>
      </w:pPr>
      <w:r>
        <w:rPr>
          <w:b/>
          <w:color w:val="105E8A"/>
          <w:sz w:val="28"/>
        </w:rPr>
        <w:t>7.3 Paramètres</w:t>
      </w:r>
    </w:p>
    <w:tbl>
      <w:tblPr>
        <w:tblStyle w:val="TableGrid"/>
        <w:tblW w:type="auto" w:w="0"/>
        <w:tblLook w:firstColumn="1" w:firstRow="1" w:lastColumn="0" w:lastRow="0" w:noHBand="0" w:noVBand="1" w:val="04A0"/>
      </w:tblPr>
      <w:tblGrid>
        <w:gridCol w:w="3116"/>
        <w:gridCol w:w="3116"/>
        <w:gridCol w:w="3116"/>
      </w:tblGrid>
      <w:tr>
        <w:tc>
          <w:tcPr>
            <w:tcW w:type="dxa" w:w="3116"/>
            <w:shd w:val="clear" w:color="auto" w:fill="105E8A"/>
          </w:tcPr>
          <w:p>
            <w:r>
              <w:rPr>
                <w:b/>
                <w:color w:val="FFFFFF"/>
                <w:sz w:val="22"/>
              </w:rPr>
              <w:t>Paramètre</w:t>
            </w:r>
          </w:p>
        </w:tc>
        <w:tc>
          <w:tcPr>
            <w:tcW w:type="dxa" w:w="3116"/>
            <w:shd w:val="clear" w:color="auto" w:fill="105E8A"/>
          </w:tcPr>
          <w:p>
            <w:r>
              <w:rPr>
                <w:b/>
                <w:color w:val="FFFFFF"/>
                <w:sz w:val="22"/>
              </w:rPr>
              <w:t>Valeur</w:t>
            </w:r>
          </w:p>
        </w:tc>
        <w:tc>
          <w:tcPr>
            <w:tcW w:type="dxa" w:w="3116"/>
            <w:shd w:val="clear" w:color="auto" w:fill="105E8A"/>
          </w:tcPr>
          <w:p>
            <w:r>
              <w:rPr>
                <w:b/>
                <w:color w:val="FFFFFF"/>
                <w:sz w:val="22"/>
              </w:rPr>
              <w:t>Justification</w:t>
            </w:r>
          </w:p>
        </w:tc>
      </w:tr>
      <w:tr>
        <w:tc>
          <w:tcPr>
            <w:tcW w:type="dxa" w:w="3116"/>
            <w:shd w:val="clear" w:color="auto" w:fill="FFFFFF"/>
          </w:tcPr>
          <w:p>
            <w:r>
              <w:rPr>
                <w:sz w:val="20"/>
              </w:rPr>
              <w:t>n_estimators</w:t>
            </w:r>
          </w:p>
        </w:tc>
        <w:tc>
          <w:tcPr>
            <w:tcW w:type="dxa" w:w="3116"/>
            <w:shd w:val="clear" w:color="auto" w:fill="FFFFFF"/>
          </w:tcPr>
          <w:p>
            <w:r>
              <w:rPr>
                <w:sz w:val="20"/>
              </w:rPr>
              <w:t>100</w:t>
            </w:r>
          </w:p>
        </w:tc>
        <w:tc>
          <w:tcPr>
            <w:tcW w:type="dxa" w:w="3116"/>
            <w:shd w:val="clear" w:color="auto" w:fill="FFFFFF"/>
          </w:tcPr>
          <w:p>
            <w:r>
              <w:rPr>
                <w:sz w:val="20"/>
              </w:rPr>
              <w:t>Compromis précision / vitesse</w:t>
            </w:r>
          </w:p>
        </w:tc>
      </w:tr>
      <w:tr>
        <w:tc>
          <w:tcPr>
            <w:tcW w:type="dxa" w:w="3116"/>
            <w:shd w:val="clear" w:color="auto" w:fill="EEF4F8"/>
          </w:tcPr>
          <w:p>
            <w:r>
              <w:rPr>
                <w:sz w:val="20"/>
              </w:rPr>
              <w:t>test_size</w:t>
            </w:r>
          </w:p>
        </w:tc>
        <w:tc>
          <w:tcPr>
            <w:tcW w:type="dxa" w:w="3116"/>
            <w:shd w:val="clear" w:color="auto" w:fill="EEF4F8"/>
          </w:tcPr>
          <w:p>
            <w:r>
              <w:rPr>
                <w:sz w:val="20"/>
              </w:rPr>
              <w:t>0.2</w:t>
            </w:r>
          </w:p>
        </w:tc>
        <w:tc>
          <w:tcPr>
            <w:tcW w:type="dxa" w:w="3116"/>
            <w:shd w:val="clear" w:color="auto" w:fill="EEF4F8"/>
          </w:tcPr>
          <w:p>
            <w:r>
              <w:rPr>
                <w:sz w:val="20"/>
              </w:rPr>
              <w:t>Split 80/20 standard</w:t>
            </w:r>
          </w:p>
        </w:tc>
      </w:tr>
      <w:tr>
        <w:tc>
          <w:tcPr>
            <w:tcW w:type="dxa" w:w="3116"/>
            <w:shd w:val="clear" w:color="auto" w:fill="FFFFFF"/>
          </w:tcPr>
          <w:p>
            <w:r>
              <w:rPr>
                <w:sz w:val="20"/>
              </w:rPr>
              <w:t>random_state</w:t>
            </w:r>
          </w:p>
        </w:tc>
        <w:tc>
          <w:tcPr>
            <w:tcW w:type="dxa" w:w="3116"/>
            <w:shd w:val="clear" w:color="auto" w:fill="FFFFFF"/>
          </w:tcPr>
          <w:p>
            <w:r>
              <w:rPr>
                <w:sz w:val="20"/>
              </w:rPr>
              <w:t>42</w:t>
            </w:r>
          </w:p>
        </w:tc>
        <w:tc>
          <w:tcPr>
            <w:tcW w:type="dxa" w:w="3116"/>
            <w:shd w:val="clear" w:color="auto" w:fill="FFFFFF"/>
          </w:tcPr>
          <w:p>
            <w:r>
              <w:rPr>
                <w:sz w:val="20"/>
              </w:rPr>
              <w:t>Reproductibilité</w:t>
            </w:r>
          </w:p>
        </w:tc>
      </w:tr>
      <w:tr>
        <w:tc>
          <w:tcPr>
            <w:tcW w:type="dxa" w:w="3116"/>
            <w:shd w:val="clear" w:color="auto" w:fill="EEF4F8"/>
          </w:tcPr>
          <w:p>
            <w:r>
              <w:rPr>
                <w:sz w:val="20"/>
              </w:rPr>
              <w:t>Stratégie</w:t>
            </w:r>
          </w:p>
        </w:tc>
        <w:tc>
          <w:tcPr>
            <w:tcW w:type="dxa" w:w="3116"/>
            <w:shd w:val="clear" w:color="auto" w:fill="EEF4F8"/>
          </w:tcPr>
          <w:p>
            <w:r>
              <w:rPr>
                <w:sz w:val="20"/>
              </w:rPr>
              <w:t>OneVsRest</w:t>
            </w:r>
          </w:p>
        </w:tc>
        <w:tc>
          <w:tcPr>
            <w:tcW w:type="dxa" w:w="3116"/>
            <w:shd w:val="clear" w:color="auto" w:fill="EEF4F8"/>
          </w:tcPr>
          <w:p>
            <w:r>
              <w:rPr>
                <w:sz w:val="20"/>
              </w:rPr>
              <w:t>Indépendance des labels</w:t>
            </w:r>
          </w:p>
        </w:tc>
      </w:tr>
    </w:tbl>
    <w:p/>
    <w:p>
      <w:pPr>
        <w:pStyle w:val="Heading2"/>
      </w:pPr>
      <w:r>
        <w:rPr>
          <w:b/>
          <w:color w:val="105E8A"/>
          <w:sz w:val="28"/>
        </w:rPr>
        <w:t>7.4 Utilisation du modèle</w:t>
      </w:r>
    </w:p>
    <w:p>
      <w:pPr>
        <w:spacing w:before="80" w:after="80"/>
        <w:ind w:left="454"/>
        <w:shd w:val="clear" w:color="auto" w:fill="F2F2F2"/>
      </w:pPr>
      <w:r>
        <w:rPr>
          <w:rFonts w:ascii="Consolas" w:hAnsi="Consolas"/>
          <w:color w:val="222222"/>
          <w:sz w:val="18"/>
        </w:rPr>
        <w:t>import pickle</w:t>
        <w:br/>
        <w:t>model = pickle.load(open('model.pkl','rb'))</w:t>
        <w:br/>
        <w:t>features = [[1080,1350,312.4,0.8,142,98,67]]</w:t>
        <w:br/>
        <w:t>pred   = model['clf'].predict(features)</w:t>
        <w:br/>
        <w:t>labels = model['mlb'].inverse_transform(pred)</w:t>
      </w:r>
    </w:p>
    <w:p>
      <w:r>
        <w:br w:type="page"/>
      </w:r>
    </w:p>
    <w:p>
      <w:pPr>
        <w:pStyle w:val="Heading1"/>
      </w:pPr>
      <w:r>
        <w:rPr>
          <w:b/>
          <w:color w:val="1A1A2E"/>
          <w:sz w:val="36"/>
        </w:rPr>
        <w:t>8. Visualisation &amp; supervision</w:t>
      </w:r>
    </w:p>
    <w:p>
      <w:pPr>
        <w:pStyle w:val="Heading2"/>
      </w:pPr>
      <w:r>
        <w:rPr>
          <w:b/>
          <w:color w:val="105E8A"/>
          <w:sz w:val="28"/>
        </w:rPr>
        <w:t>8.1 Funnel Pipeline</w:t>
      </w:r>
    </w:p>
    <w:p>
      <w:pPr>
        <w:spacing w:after="120"/>
      </w:pPr>
      <w:r>
        <w:rPr>
          <w:rFonts w:ascii="Calibri" w:hAnsi="Calibri"/>
          <w:b w:val="0"/>
          <w:i w:val="0"/>
          <w:color w:val="222222"/>
          <w:sz w:val="22"/>
        </w:rPr>
        <w:t>Un funnel interactif montre le volume d'images par statut. Chaque barre est cliquable et filtre la liste, révélant instantanément les goulots d'étranglement.</w:t>
      </w:r>
    </w:p>
    <w:p>
      <w:pPr>
        <w:pStyle w:val="Heading2"/>
      </w:pPr>
      <w:r>
        <w:rPr>
          <w:b/>
          <w:color w:val="105E8A"/>
          <w:sz w:val="28"/>
        </w:rPr>
        <w:t>8.2 Distribution des labels</w:t>
      </w:r>
    </w:p>
    <w:p>
      <w:pPr>
        <w:spacing w:after="120"/>
      </w:pPr>
      <w:r>
        <w:rPr>
          <w:rFonts w:ascii="Calibri" w:hAnsi="Calibri"/>
          <w:b w:val="0"/>
          <w:i w:val="0"/>
          <w:color w:val="222222"/>
          <w:sz w:val="22"/>
        </w:rPr>
        <w:t>La distribution des labels permet d'identifier les classes sous-représentées — indicateur clé de la qualité du dataset. Exemple sur le dataset v1 :</w:t>
      </w:r>
    </w:p>
    <w:p>
      <w:pPr>
        <w:spacing w:before="120"/>
        <w:jc w:val="center"/>
      </w:pPr>
      <w:r>
        <w:drawing>
          <wp:inline xmlns:a="http://schemas.openxmlformats.org/drawingml/2006/main" xmlns:pic="http://schemas.openxmlformats.org/drawingml/2006/picture">
            <wp:extent cx="4680000" cy="2920976"/>
            <wp:docPr id="5" name="Picture 5"/>
            <wp:cNvGraphicFramePr>
              <a:graphicFrameLocks noChangeAspect="1"/>
            </wp:cNvGraphicFramePr>
            <a:graphic>
              <a:graphicData uri="http://schemas.openxmlformats.org/drawingml/2006/picture">
                <pic:pic>
                  <pic:nvPicPr>
                    <pic:cNvPr id="0" name="labels_dist.png"/>
                    <pic:cNvPicPr/>
                  </pic:nvPicPr>
                  <pic:blipFill>
                    <a:blip r:embed="rId13"/>
                    <a:stretch>
                      <a:fillRect/>
                    </a:stretch>
                  </pic:blipFill>
                  <pic:spPr>
                    <a:xfrm>
                      <a:off x="0" y="0"/>
                      <a:ext cx="4680000" cy="2920976"/>
                    </a:xfrm>
                    <a:prstGeom prst="rect"/>
                  </pic:spPr>
                </pic:pic>
              </a:graphicData>
            </a:graphic>
          </wp:inline>
        </w:drawing>
      </w:r>
    </w:p>
    <w:p>
      <w:pPr>
        <w:spacing w:after="160"/>
        <w:jc w:val="center"/>
      </w:pPr>
      <w:r>
        <w:rPr>
          <w:rFonts w:ascii="Calibri" w:hAnsi="Calibri"/>
          <w:b w:val="0"/>
          <w:i/>
          <w:color w:val="555555"/>
          <w:sz w:val="18"/>
        </w:rPr>
        <w:t>Figure 5 — Distribution réelle des labels du dataset v1</w:t>
      </w:r>
    </w:p>
    <w:p>
      <w:pPr>
        <w:pStyle w:val="Heading2"/>
      </w:pPr>
      <w:r>
        <w:rPr>
          <w:b/>
          <w:color w:val="105E8A"/>
          <w:sz w:val="28"/>
        </w:rPr>
        <w:t>8.3 Croissance &amp; statistiques de versions</w:t>
      </w:r>
    </w:p>
    <w:p>
      <w:pPr>
        <w:pStyle w:val="ListBullet"/>
        <w:spacing w:after="60"/>
      </w:pPr>
      <w:r>
        <w:rPr>
          <w:rFonts w:ascii="Calibri" w:hAnsi="Calibri"/>
          <w:b w:val="0"/>
          <w:i w:val="0"/>
          <w:sz w:val="22"/>
        </w:rPr>
        <w:t>Graphique de croissance : nombre d'images ajoutées par semaine (8 semaines).</w:t>
      </w:r>
    </w:p>
    <w:p>
      <w:pPr>
        <w:pStyle w:val="ListBullet"/>
        <w:spacing w:after="60"/>
      </w:pPr>
      <w:r>
        <w:rPr>
          <w:rFonts w:ascii="Calibri" w:hAnsi="Calibri"/>
          <w:b w:val="0"/>
          <w:i w:val="0"/>
          <w:sz w:val="22"/>
        </w:rPr>
        <w:t>Chaque version affiche : nombre d'images, labels inclus, date, export JSON direct.</w:t>
      </w:r>
    </w:p>
    <w:p>
      <w:r>
        <w:br w:type="page"/>
      </w:r>
    </w:p>
    <w:p>
      <w:pPr>
        <w:pStyle w:val="Heading1"/>
      </w:pPr>
      <w:r>
        <w:rPr>
          <w:b/>
          <w:color w:val="1A1A2E"/>
          <w:sz w:val="36"/>
        </w:rPr>
        <w:t>9. Recommandation client par IA</w:t>
      </w:r>
    </w:p>
    <w:p>
      <w:pPr>
        <w:pStyle w:val="Heading2"/>
      </w:pPr>
      <w:r>
        <w:rPr>
          <w:b/>
          <w:color w:val="105E8A"/>
          <w:sz w:val="28"/>
        </w:rPr>
        <w:t>9.1 Principe</w:t>
      </w:r>
    </w:p>
    <w:p>
      <w:pPr>
        <w:spacing w:after="120"/>
      </w:pPr>
      <w:r>
        <w:rPr>
          <w:rFonts w:ascii="Calibri" w:hAnsi="Calibri"/>
          <w:b w:val="0"/>
          <w:i w:val="0"/>
          <w:color w:val="222222"/>
          <w:sz w:val="22"/>
        </w:rPr>
        <w:t>La page « Ma Coupe Idéale » fournit une recommandation personnalisée à partir du visage du client. L'analyse est réalisée entièrement dans le navigateur via MediaPipe — aucune donnée n'est transmise à un serveur externe.</w:t>
      </w:r>
    </w:p>
    <w:p>
      <w:pPr>
        <w:spacing w:before="120"/>
        <w:jc w:val="center"/>
      </w:pPr>
      <w:r>
        <w:drawing>
          <wp:inline xmlns:a="http://schemas.openxmlformats.org/drawingml/2006/main" xmlns:pic="http://schemas.openxmlformats.org/drawingml/2006/picture">
            <wp:extent cx="5940000" cy="1668925"/>
            <wp:docPr id="6" name="Picture 6"/>
            <wp:cNvGraphicFramePr>
              <a:graphicFrameLocks noChangeAspect="1"/>
            </wp:cNvGraphicFramePr>
            <a:graphic>
              <a:graphicData uri="http://schemas.openxmlformats.org/drawingml/2006/picture">
                <pic:pic>
                  <pic:nvPicPr>
                    <pic:cNvPr id="0" name="reco_flow.png"/>
                    <pic:cNvPicPr/>
                  </pic:nvPicPr>
                  <pic:blipFill>
                    <a:blip r:embed="rId14"/>
                    <a:stretch>
                      <a:fillRect/>
                    </a:stretch>
                  </pic:blipFill>
                  <pic:spPr>
                    <a:xfrm>
                      <a:off x="0" y="0"/>
                      <a:ext cx="5940000" cy="1668925"/>
                    </a:xfrm>
                    <a:prstGeom prst="rect"/>
                  </pic:spPr>
                </pic:pic>
              </a:graphicData>
            </a:graphic>
          </wp:inline>
        </w:drawing>
      </w:r>
    </w:p>
    <w:p>
      <w:pPr>
        <w:spacing w:after="160"/>
        <w:jc w:val="center"/>
      </w:pPr>
      <w:r>
        <w:rPr>
          <w:rFonts w:ascii="Calibri" w:hAnsi="Calibri"/>
          <w:b w:val="0"/>
          <w:i/>
          <w:color w:val="555555"/>
          <w:sz w:val="18"/>
        </w:rPr>
        <w:t>Figure 6 — Parcours de recommandation client (in-browser)</w:t>
      </w:r>
    </w:p>
    <w:p>
      <w:pPr>
        <w:pStyle w:val="Heading2"/>
      </w:pPr>
      <w:r>
        <w:rPr>
          <w:b/>
          <w:color w:val="105E8A"/>
          <w:sz w:val="28"/>
        </w:rPr>
        <w:t>9.2 Détection de la forme du visage</w:t>
      </w:r>
    </w:p>
    <w:p>
      <w:pPr>
        <w:spacing w:after="120"/>
      </w:pPr>
      <w:r>
        <w:rPr>
          <w:rFonts w:ascii="Calibri" w:hAnsi="Calibri"/>
          <w:b w:val="0"/>
          <w:i w:val="0"/>
          <w:color w:val="222222"/>
          <w:sz w:val="22"/>
        </w:rPr>
        <w:t>MediaPipe Face Landmarker détecte 468 points de repère. Les proportions calculées :</w:t>
      </w:r>
    </w:p>
    <w:tbl>
      <w:tblPr>
        <w:tblStyle w:val="TableGrid"/>
        <w:tblW w:type="auto" w:w="0"/>
        <w:tblLook w:firstColumn="1" w:firstRow="1" w:lastColumn="0" w:lastRow="0" w:noHBand="0" w:noVBand="1" w:val="04A0"/>
      </w:tblPr>
      <w:tblGrid>
        <w:gridCol w:w="3116"/>
        <w:gridCol w:w="3116"/>
        <w:gridCol w:w="3116"/>
      </w:tblGrid>
      <w:tr>
        <w:tc>
          <w:tcPr>
            <w:tcW w:type="dxa" w:w="3116"/>
            <w:shd w:val="clear" w:color="auto" w:fill="105E8A"/>
          </w:tcPr>
          <w:p>
            <w:r>
              <w:rPr>
                <w:b/>
                <w:color w:val="FFFFFF"/>
                <w:sz w:val="22"/>
              </w:rPr>
              <w:t>Mesure</w:t>
            </w:r>
          </w:p>
        </w:tc>
        <w:tc>
          <w:tcPr>
            <w:tcW w:type="dxa" w:w="3116"/>
            <w:shd w:val="clear" w:color="auto" w:fill="105E8A"/>
          </w:tcPr>
          <w:p>
            <w:r>
              <w:rPr>
                <w:b/>
                <w:color w:val="FFFFFF"/>
                <w:sz w:val="22"/>
              </w:rPr>
              <w:t>Landmarks</w:t>
            </w:r>
          </w:p>
        </w:tc>
        <w:tc>
          <w:tcPr>
            <w:tcW w:type="dxa" w:w="3116"/>
            <w:shd w:val="clear" w:color="auto" w:fill="105E8A"/>
          </w:tcPr>
          <w:p>
            <w:r>
              <w:rPr>
                <w:b/>
                <w:color w:val="FFFFFF"/>
                <w:sz w:val="22"/>
              </w:rPr>
              <w:t>Description</w:t>
            </w:r>
          </w:p>
        </w:tc>
      </w:tr>
      <w:tr>
        <w:tc>
          <w:tcPr>
            <w:tcW w:type="dxa" w:w="3116"/>
            <w:shd w:val="clear" w:color="auto" w:fill="FFFFFF"/>
          </w:tcPr>
          <w:p>
            <w:r>
              <w:rPr>
                <w:sz w:val="20"/>
              </w:rPr>
              <w:t>Hauteur du visage</w:t>
            </w:r>
          </w:p>
        </w:tc>
        <w:tc>
          <w:tcPr>
            <w:tcW w:type="dxa" w:w="3116"/>
            <w:shd w:val="clear" w:color="auto" w:fill="FFFFFF"/>
          </w:tcPr>
          <w:p>
            <w:r>
              <w:rPr>
                <w:sz w:val="20"/>
              </w:rPr>
              <w:t>10 → 152</w:t>
            </w:r>
          </w:p>
        </w:tc>
        <w:tc>
          <w:tcPr>
            <w:tcW w:type="dxa" w:w="3116"/>
            <w:shd w:val="clear" w:color="auto" w:fill="FFFFFF"/>
          </w:tcPr>
          <w:p>
            <w:r>
              <w:rPr>
                <w:sz w:val="20"/>
              </w:rPr>
              <w:t>Front → menton</w:t>
            </w:r>
          </w:p>
        </w:tc>
      </w:tr>
      <w:tr>
        <w:tc>
          <w:tcPr>
            <w:tcW w:type="dxa" w:w="3116"/>
            <w:shd w:val="clear" w:color="auto" w:fill="EEF4F8"/>
          </w:tcPr>
          <w:p>
            <w:r>
              <w:rPr>
                <w:sz w:val="20"/>
              </w:rPr>
              <w:t>Largeur pommettes</w:t>
            </w:r>
          </w:p>
        </w:tc>
        <w:tc>
          <w:tcPr>
            <w:tcW w:type="dxa" w:w="3116"/>
            <w:shd w:val="clear" w:color="auto" w:fill="EEF4F8"/>
          </w:tcPr>
          <w:p>
            <w:r>
              <w:rPr>
                <w:sz w:val="20"/>
              </w:rPr>
              <w:t>234 → 454</w:t>
            </w:r>
          </w:p>
        </w:tc>
        <w:tc>
          <w:tcPr>
            <w:tcW w:type="dxa" w:w="3116"/>
            <w:shd w:val="clear" w:color="auto" w:fill="EEF4F8"/>
          </w:tcPr>
          <w:p>
            <w:r>
              <w:rPr>
                <w:sz w:val="20"/>
              </w:rPr>
              <w:t>Point le plus large</w:t>
            </w:r>
          </w:p>
        </w:tc>
      </w:tr>
      <w:tr>
        <w:tc>
          <w:tcPr>
            <w:tcW w:type="dxa" w:w="3116"/>
            <w:shd w:val="clear" w:color="auto" w:fill="FFFFFF"/>
          </w:tcPr>
          <w:p>
            <w:r>
              <w:rPr>
                <w:sz w:val="20"/>
              </w:rPr>
              <w:t>Largeur mâchoire</w:t>
            </w:r>
          </w:p>
        </w:tc>
        <w:tc>
          <w:tcPr>
            <w:tcW w:type="dxa" w:w="3116"/>
            <w:shd w:val="clear" w:color="auto" w:fill="FFFFFF"/>
          </w:tcPr>
          <w:p>
            <w:r>
              <w:rPr>
                <w:sz w:val="20"/>
              </w:rPr>
              <w:t>172 → 397</w:t>
            </w:r>
          </w:p>
        </w:tc>
        <w:tc>
          <w:tcPr>
            <w:tcW w:type="dxa" w:w="3116"/>
            <w:shd w:val="clear" w:color="auto" w:fill="FFFFFF"/>
          </w:tcPr>
          <w:p>
            <w:r>
              <w:rPr>
                <w:sz w:val="20"/>
              </w:rPr>
              <w:t>Ligne mandibulaire</w:t>
            </w:r>
          </w:p>
        </w:tc>
      </w:tr>
      <w:tr>
        <w:tc>
          <w:tcPr>
            <w:tcW w:type="dxa" w:w="3116"/>
            <w:shd w:val="clear" w:color="auto" w:fill="EEF4F8"/>
          </w:tcPr>
          <w:p>
            <w:r>
              <w:rPr>
                <w:sz w:val="20"/>
              </w:rPr>
              <w:t>Largeur front</w:t>
            </w:r>
          </w:p>
        </w:tc>
        <w:tc>
          <w:tcPr>
            <w:tcW w:type="dxa" w:w="3116"/>
            <w:shd w:val="clear" w:color="auto" w:fill="EEF4F8"/>
          </w:tcPr>
          <w:p>
            <w:r>
              <w:rPr>
                <w:sz w:val="20"/>
              </w:rPr>
              <w:t>70 → 300</w:t>
            </w:r>
          </w:p>
        </w:tc>
        <w:tc>
          <w:tcPr>
            <w:tcW w:type="dxa" w:w="3116"/>
            <w:shd w:val="clear" w:color="auto" w:fill="EEF4F8"/>
          </w:tcPr>
          <w:p>
            <w:r>
              <w:rPr>
                <w:sz w:val="20"/>
              </w:rPr>
              <w:t>Tempes</w:t>
            </w:r>
          </w:p>
        </w:tc>
      </w:tr>
    </w:tbl>
    <w:p/>
    <w:p>
      <w:pPr>
        <w:spacing w:before="80" w:after="80"/>
        <w:ind w:left="454"/>
        <w:shd w:val="clear" w:color="auto" w:fill="F2F2F2"/>
      </w:pPr>
      <w:r>
        <w:rPr>
          <w:rFonts w:ascii="Consolas" w:hAnsi="Consolas"/>
          <w:color w:val="222222"/>
          <w:sz w:val="18"/>
        </w:rPr>
        <w:t>ratio    = hauteur / largeur pommettes</w:t>
        <w:br/>
        <w:t>jawRatio = largeur mâchoire / largeur pommettes</w:t>
        <w:br/>
        <w:t>ratio &gt; 1.60               → Oblongue</w:t>
        <w:br/>
        <w:t>ratio &lt; 1.20 et jaw &gt; 0.85 → Ronde</w:t>
        <w:br/>
        <w:t>front &gt; 1.08 et jaw &lt; 0.72 → Cœur</w:t>
        <w:br/>
        <w:t>jaw &gt; 0.80 et ratio ≤ 1.55 → Carrée</w:t>
        <w:br/>
        <w:t>sinon                       → Ovale</w:t>
      </w:r>
    </w:p>
    <w:p>
      <w:pPr>
        <w:pStyle w:val="Heading2"/>
      </w:pPr>
      <w:r>
        <w:rPr>
          <w:b/>
          <w:color w:val="105E8A"/>
          <w:sz w:val="28"/>
        </w:rPr>
        <w:t>9.3 Détection de la teinte de peau</w:t>
      </w:r>
    </w:p>
    <w:tbl>
      <w:tblPr>
        <w:tblStyle w:val="TableGrid"/>
        <w:tblW w:type="auto" w:w="0"/>
        <w:tblLook w:firstColumn="1" w:firstRow="1" w:lastColumn="0" w:lastRow="0" w:noHBand="0" w:noVBand="1" w:val="04A0"/>
      </w:tblPr>
      <w:tblGrid>
        <w:gridCol w:w="2337"/>
        <w:gridCol w:w="2337"/>
        <w:gridCol w:w="2337"/>
        <w:gridCol w:w="2337"/>
      </w:tblGrid>
      <w:tr>
        <w:tc>
          <w:tcPr>
            <w:tcW w:type="dxa" w:w="2337"/>
            <w:shd w:val="clear" w:color="auto" w:fill="105E8A"/>
          </w:tcPr>
          <w:p>
            <w:r>
              <w:rPr>
                <w:b/>
                <w:color w:val="FFFFFF"/>
                <w:sz w:val="22"/>
              </w:rPr>
              <w:t>Teinte</w:t>
            </w:r>
          </w:p>
        </w:tc>
        <w:tc>
          <w:tcPr>
            <w:tcW w:type="dxa" w:w="2337"/>
            <w:shd w:val="clear" w:color="auto" w:fill="105E8A"/>
          </w:tcPr>
          <w:p>
            <w:r>
              <w:rPr>
                <w:b/>
                <w:color w:val="FFFFFF"/>
                <w:sz w:val="22"/>
              </w:rPr>
              <w:t>Luminosité HSL</w:t>
            </w:r>
          </w:p>
        </w:tc>
        <w:tc>
          <w:tcPr>
            <w:tcW w:type="dxa" w:w="2337"/>
            <w:shd w:val="clear" w:color="auto" w:fill="105E8A"/>
          </w:tcPr>
          <w:p>
            <w:r>
              <w:rPr>
                <w:b/>
                <w:color w:val="FFFFFF"/>
                <w:sz w:val="22"/>
              </w:rPr>
              <w:t>Texture estimée</w:t>
            </w:r>
          </w:p>
        </w:tc>
        <w:tc>
          <w:tcPr>
            <w:tcW w:type="dxa" w:w="2337"/>
            <w:shd w:val="clear" w:color="auto" w:fill="105E8A"/>
          </w:tcPr>
          <w:p>
            <w:r>
              <w:rPr>
                <w:b/>
                <w:color w:val="FFFFFF"/>
                <w:sz w:val="22"/>
              </w:rPr>
              <w:t>Styles exclus</w:t>
            </w:r>
          </w:p>
        </w:tc>
      </w:tr>
      <w:tr>
        <w:tc>
          <w:tcPr>
            <w:tcW w:type="dxa" w:w="2337"/>
            <w:shd w:val="clear" w:color="auto" w:fill="FFFFFF"/>
          </w:tcPr>
          <w:p>
            <w:r>
              <w:rPr>
                <w:sz w:val="20"/>
              </w:rPr>
              <w:t>Clair</w:t>
            </w:r>
          </w:p>
        </w:tc>
        <w:tc>
          <w:tcPr>
            <w:tcW w:type="dxa" w:w="2337"/>
            <w:shd w:val="clear" w:color="auto" w:fill="FFFFFF"/>
          </w:tcPr>
          <w:p>
            <w:r>
              <w:rPr>
                <w:sz w:val="20"/>
              </w:rPr>
              <w:t>&gt; 58 %</w:t>
            </w:r>
          </w:p>
        </w:tc>
        <w:tc>
          <w:tcPr>
            <w:tcW w:type="dxa" w:w="2337"/>
            <w:shd w:val="clear" w:color="auto" w:fill="FFFFFF"/>
          </w:tcPr>
          <w:p>
            <w:r>
              <w:rPr>
                <w:sz w:val="20"/>
              </w:rPr>
              <w:t>Lisses à ondulés</w:t>
            </w:r>
          </w:p>
        </w:tc>
        <w:tc>
          <w:tcPr>
            <w:tcW w:type="dxa" w:w="2337"/>
            <w:shd w:val="clear" w:color="auto" w:fill="FFFFFF"/>
          </w:tcPr>
          <w:p>
            <w:r>
              <w:rPr>
                <w:sz w:val="20"/>
              </w:rPr>
              <w:t>afro, tresse</w:t>
            </w:r>
          </w:p>
        </w:tc>
      </w:tr>
      <w:tr>
        <w:tc>
          <w:tcPr>
            <w:tcW w:type="dxa" w:w="2337"/>
            <w:shd w:val="clear" w:color="auto" w:fill="EEF4F8"/>
          </w:tcPr>
          <w:p>
            <w:r>
              <w:rPr>
                <w:sz w:val="20"/>
              </w:rPr>
              <w:t>Médium</w:t>
            </w:r>
          </w:p>
        </w:tc>
        <w:tc>
          <w:tcPr>
            <w:tcW w:type="dxa" w:w="2337"/>
            <w:shd w:val="clear" w:color="auto" w:fill="EEF4F8"/>
          </w:tcPr>
          <w:p>
            <w:r>
              <w:rPr>
                <w:sz w:val="20"/>
              </w:rPr>
              <w:t>36–58 %</w:t>
            </w:r>
          </w:p>
        </w:tc>
        <w:tc>
          <w:tcPr>
            <w:tcW w:type="dxa" w:w="2337"/>
            <w:shd w:val="clear" w:color="auto" w:fill="EEF4F8"/>
          </w:tcPr>
          <w:p>
            <w:r>
              <w:rPr>
                <w:sz w:val="20"/>
              </w:rPr>
              <w:t>Ondulés à bouclés</w:t>
            </w:r>
          </w:p>
        </w:tc>
        <w:tc>
          <w:tcPr>
            <w:tcW w:type="dxa" w:w="2337"/>
            <w:shd w:val="clear" w:color="auto" w:fill="EEF4F8"/>
          </w:tcPr>
          <w:p>
            <w:r>
              <w:rPr>
                <w:sz w:val="20"/>
              </w:rPr>
              <w:t>aucun</w:t>
            </w:r>
          </w:p>
        </w:tc>
      </w:tr>
      <w:tr>
        <w:tc>
          <w:tcPr>
            <w:tcW w:type="dxa" w:w="2337"/>
            <w:shd w:val="clear" w:color="auto" w:fill="FFFFFF"/>
          </w:tcPr>
          <w:p>
            <w:r>
              <w:rPr>
                <w:sz w:val="20"/>
              </w:rPr>
              <w:t>Foncé</w:t>
            </w:r>
          </w:p>
        </w:tc>
        <w:tc>
          <w:tcPr>
            <w:tcW w:type="dxa" w:w="2337"/>
            <w:shd w:val="clear" w:color="auto" w:fill="FFFFFF"/>
          </w:tcPr>
          <w:p>
            <w:r>
              <w:rPr>
                <w:sz w:val="20"/>
              </w:rPr>
              <w:t>&lt; 36 %</w:t>
            </w:r>
          </w:p>
        </w:tc>
        <w:tc>
          <w:tcPr>
            <w:tcW w:type="dxa" w:w="2337"/>
            <w:shd w:val="clear" w:color="auto" w:fill="FFFFFF"/>
          </w:tcPr>
          <w:p>
            <w:r>
              <w:rPr>
                <w:sz w:val="20"/>
              </w:rPr>
              <w:t>Crépus à bouclés serrés</w:t>
            </w:r>
          </w:p>
        </w:tc>
        <w:tc>
          <w:tcPr>
            <w:tcW w:type="dxa" w:w="2337"/>
            <w:shd w:val="clear" w:color="auto" w:fill="FFFFFF"/>
          </w:tcPr>
          <w:p>
            <w:r>
              <w:rPr>
                <w:sz w:val="20"/>
              </w:rPr>
              <w:t>aucun</w:t>
            </w:r>
          </w:p>
        </w:tc>
      </w:tr>
    </w:tbl>
    <w:p/>
    <w:p>
      <w:r>
        <w:br w:type="page"/>
      </w:r>
    </w:p>
    <w:p>
      <w:pPr>
        <w:pStyle w:val="Heading1"/>
      </w:pPr>
      <w:r>
        <w:rPr>
          <w:b/>
          <w:color w:val="1A1A2E"/>
          <w:sz w:val="36"/>
        </w:rPr>
        <w:t>10. Bonnes pratiques &amp; gouvernance</w:t>
      </w:r>
    </w:p>
    <w:p>
      <w:pPr>
        <w:pStyle w:val="Heading2"/>
      </w:pPr>
      <w:r>
        <w:rPr>
          <w:b/>
          <w:color w:val="105E8A"/>
          <w:sz w:val="28"/>
        </w:rPr>
        <w:t>10.1 Séparation fichiers / métadonnées</w:t>
      </w:r>
    </w:p>
    <w:p>
      <w:pPr>
        <w:pStyle w:val="ListBullet"/>
        <w:spacing w:after="60"/>
      </w:pPr>
      <w:r>
        <w:rPr>
          <w:rFonts w:ascii="Calibri" w:hAnsi="Calibri"/>
          <w:b w:val="0"/>
          <w:i w:val="0"/>
          <w:sz w:val="22"/>
        </w:rPr>
        <w:t>Fichiers images → disque (/uploads/gallery/)</w:t>
      </w:r>
    </w:p>
    <w:p>
      <w:pPr>
        <w:pStyle w:val="ListBullet"/>
        <w:spacing w:after="60"/>
      </w:pPr>
      <w:r>
        <w:rPr>
          <w:rFonts w:ascii="Calibri" w:hAnsi="Calibri"/>
          <w:b w:val="0"/>
          <w:i w:val="0"/>
          <w:sz w:val="22"/>
        </w:rPr>
        <w:t>Métadonnées → MongoDB (statut, labels, features, références)</w:t>
      </w:r>
    </w:p>
    <w:p>
      <w:pPr>
        <w:spacing w:after="120"/>
      </w:pPr>
      <w:r>
        <w:rPr>
          <w:rFonts w:ascii="Calibri" w:hAnsi="Calibri"/>
          <w:b w:val="0"/>
          <w:i w:val="0"/>
          <w:color w:val="222222"/>
          <w:sz w:val="22"/>
        </w:rPr>
        <w:t>Cette séparation permet de migrer vers S3 ou un CDN sans toucher à la base de données.</w:t>
      </w:r>
    </w:p>
    <w:p>
      <w:pPr>
        <w:pStyle w:val="Heading2"/>
      </w:pPr>
      <w:r>
        <w:rPr>
          <w:b/>
          <w:color w:val="105E8A"/>
          <w:sz w:val="28"/>
        </w:rPr>
        <w:t>10.2 Versioning immuable</w:t>
      </w:r>
    </w:p>
    <w:p>
      <w:pPr>
        <w:spacing w:after="120"/>
      </w:pPr>
      <w:r>
        <w:rPr>
          <w:rFonts w:ascii="Calibri" w:hAnsi="Calibri"/>
          <w:b w:val="0"/>
          <w:i w:val="0"/>
          <w:color w:val="222222"/>
          <w:sz w:val="22"/>
        </w:rPr>
        <w:t>Les snapshots sont immuables. Relancer train.py sur le même JSON produit exactement le même modèle — reproductibilité et auditabilité garanties.</w:t>
      </w:r>
    </w:p>
    <w:p>
      <w:pPr>
        <w:pStyle w:val="Heading2"/>
      </w:pPr>
      <w:r>
        <w:rPr>
          <w:b/>
          <w:color w:val="105E8A"/>
          <w:sz w:val="28"/>
        </w:rPr>
        <w:t>10.3 Sécurité &amp; protection des données</w:t>
      </w:r>
    </w:p>
    <w:p>
      <w:pPr>
        <w:pStyle w:val="ListBullet"/>
        <w:spacing w:after="60"/>
      </w:pPr>
      <w:r>
        <w:rPr>
          <w:rFonts w:ascii="Calibri" w:hAnsi="Calibri"/>
          <w:b w:val="0"/>
          <w:i w:val="0"/>
          <w:sz w:val="22"/>
        </w:rPr>
        <w:t>Authentification JWT, rôles client / admin, OAuth2 Google.</w:t>
      </w:r>
    </w:p>
    <w:p>
      <w:pPr>
        <w:pStyle w:val="ListBullet"/>
        <w:spacing w:after="60"/>
      </w:pPr>
      <w:r>
        <w:rPr>
          <w:rFonts w:ascii="Calibri" w:hAnsi="Calibri"/>
          <w:b w:val="0"/>
          <w:i w:val="0"/>
          <w:sz w:val="22"/>
        </w:rPr>
        <w:t>Guards NestJS sur toutes les routes sensibles.</w:t>
      </w:r>
    </w:p>
    <w:p>
      <w:pPr>
        <w:pStyle w:val="ListBullet"/>
        <w:spacing w:after="60"/>
      </w:pPr>
      <w:r>
        <w:rPr>
          <w:rFonts w:ascii="Calibri" w:hAnsi="Calibri"/>
          <w:b w:val="0"/>
          <w:i w:val="0"/>
          <w:sz w:val="22"/>
        </w:rPr>
        <w:t>MediaPipe in-browser : aucune donnée biométrique transmise (RGPD by design).</w:t>
      </w:r>
    </w:p>
    <w:p>
      <w:r>
        <w:br w:type="page"/>
      </w:r>
    </w:p>
    <w:p>
      <w:pPr>
        <w:pStyle w:val="Heading1"/>
      </w:pPr>
      <w:r>
        <w:rPr>
          <w:b/>
          <w:color w:val="1A1A2E"/>
          <w:sz w:val="36"/>
        </w:rPr>
        <w:t>11. Conclusion &amp; perspectives</w:t>
      </w:r>
    </w:p>
    <w:p>
      <w:pPr>
        <w:pStyle w:val="Heading2"/>
      </w:pPr>
      <w:r>
        <w:rPr>
          <w:b/>
          <w:color w:val="105E8A"/>
          <w:sz w:val="28"/>
        </w:rPr>
        <w:t>11.1 Bilan</w:t>
      </w:r>
    </w:p>
    <w:tbl>
      <w:tblPr>
        <w:tblStyle w:val="TableGrid"/>
        <w:tblW w:type="auto" w:w="0"/>
        <w:tblLook w:firstColumn="1" w:firstRow="1" w:lastColumn="0" w:lastRow="0" w:noHBand="0" w:noVBand="1" w:val="04A0"/>
      </w:tblPr>
      <w:tblGrid>
        <w:gridCol w:w="4674"/>
        <w:gridCol w:w="4674"/>
      </w:tblGrid>
      <w:tr>
        <w:tc>
          <w:tcPr>
            <w:tcW w:type="dxa" w:w="4674"/>
            <w:shd w:val="clear" w:color="auto" w:fill="105E8A"/>
          </w:tcPr>
          <w:p>
            <w:r>
              <w:rPr>
                <w:b/>
                <w:color w:val="FFFFFF"/>
                <w:sz w:val="22"/>
              </w:rPr>
              <w:t>Exigence</w:t>
            </w:r>
          </w:p>
        </w:tc>
        <w:tc>
          <w:tcPr>
            <w:tcW w:type="dxa" w:w="4674"/>
            <w:shd w:val="clear" w:color="auto" w:fill="105E8A"/>
          </w:tcPr>
          <w:p>
            <w:r>
              <w:rPr>
                <w:b/>
                <w:color w:val="FFFFFF"/>
                <w:sz w:val="22"/>
              </w:rPr>
              <w:t>Statut</w:t>
            </w:r>
          </w:p>
        </w:tc>
      </w:tr>
      <w:tr>
        <w:tc>
          <w:tcPr>
            <w:tcW w:type="dxa" w:w="4674"/>
            <w:shd w:val="clear" w:color="auto" w:fill="FFFFFF"/>
          </w:tcPr>
          <w:p>
            <w:r>
              <w:rPr>
                <w:sz w:val="20"/>
              </w:rPr>
              <w:t>Architecture détaillée de la plateforme</w:t>
            </w:r>
          </w:p>
        </w:tc>
        <w:tc>
          <w:tcPr>
            <w:tcW w:type="dxa" w:w="4674"/>
            <w:shd w:val="clear" w:color="auto" w:fill="FFFFFF"/>
          </w:tcPr>
          <w:p>
            <w:r>
              <w:rPr>
                <w:sz w:val="20"/>
              </w:rPr>
              <w:t>Réalisé</w:t>
            </w:r>
          </w:p>
        </w:tc>
      </w:tr>
      <w:tr>
        <w:tc>
          <w:tcPr>
            <w:tcW w:type="dxa" w:w="4674"/>
            <w:shd w:val="clear" w:color="auto" w:fill="EEF4F8"/>
          </w:tcPr>
          <w:p>
            <w:r>
              <w:rPr>
                <w:sz w:val="20"/>
              </w:rPr>
              <w:t>Schéma de base de données documenté</w:t>
            </w:r>
          </w:p>
        </w:tc>
        <w:tc>
          <w:tcPr>
            <w:tcW w:type="dxa" w:w="4674"/>
            <w:shd w:val="clear" w:color="auto" w:fill="EEF4F8"/>
          </w:tcPr>
          <w:p>
            <w:r>
              <w:rPr>
                <w:sz w:val="20"/>
              </w:rPr>
              <w:t>Réalisé</w:t>
            </w:r>
          </w:p>
        </w:tc>
      </w:tr>
      <w:tr>
        <w:tc>
          <w:tcPr>
            <w:tcW w:type="dxa" w:w="4674"/>
            <w:shd w:val="clear" w:color="auto" w:fill="FFFFFF"/>
          </w:tcPr>
          <w:p>
            <w:r>
              <w:rPr>
                <w:sz w:val="20"/>
              </w:rPr>
              <w:t>Pipeline de données (5 statuts)</w:t>
            </w:r>
          </w:p>
        </w:tc>
        <w:tc>
          <w:tcPr>
            <w:tcW w:type="dxa" w:w="4674"/>
            <w:shd w:val="clear" w:color="auto" w:fill="FFFFFF"/>
          </w:tcPr>
          <w:p>
            <w:r>
              <w:rPr>
                <w:sz w:val="20"/>
              </w:rPr>
              <w:t>Réalisé</w:t>
            </w:r>
          </w:p>
        </w:tc>
      </w:tr>
      <w:tr>
        <w:tc>
          <w:tcPr>
            <w:tcW w:type="dxa" w:w="4674"/>
            <w:shd w:val="clear" w:color="auto" w:fill="EEF4F8"/>
          </w:tcPr>
          <w:p>
            <w:r>
              <w:rPr>
                <w:sz w:val="20"/>
              </w:rPr>
              <w:t>Extraction de features automatique</w:t>
            </w:r>
          </w:p>
        </w:tc>
        <w:tc>
          <w:tcPr>
            <w:tcW w:type="dxa" w:w="4674"/>
            <w:shd w:val="clear" w:color="auto" w:fill="EEF4F8"/>
          </w:tcPr>
          <w:p>
            <w:r>
              <w:rPr>
                <w:sz w:val="20"/>
              </w:rPr>
              <w:t>Réalisé</w:t>
            </w:r>
          </w:p>
        </w:tc>
      </w:tr>
      <w:tr>
        <w:tc>
          <w:tcPr>
            <w:tcW w:type="dxa" w:w="4674"/>
            <w:shd w:val="clear" w:color="auto" w:fill="FFFFFF"/>
          </w:tcPr>
          <w:p>
            <w:r>
              <w:rPr>
                <w:sz w:val="20"/>
              </w:rPr>
              <w:t>Versioning immuable des datasets</w:t>
            </w:r>
          </w:p>
        </w:tc>
        <w:tc>
          <w:tcPr>
            <w:tcW w:type="dxa" w:w="4674"/>
            <w:shd w:val="clear" w:color="auto" w:fill="FFFFFF"/>
          </w:tcPr>
          <w:p>
            <w:r>
              <w:rPr>
                <w:sz w:val="20"/>
              </w:rPr>
              <w:t>Réalisé</w:t>
            </w:r>
          </w:p>
        </w:tc>
      </w:tr>
      <w:tr>
        <w:tc>
          <w:tcPr>
            <w:tcW w:type="dxa" w:w="4674"/>
            <w:shd w:val="clear" w:color="auto" w:fill="EEF4F8"/>
          </w:tcPr>
          <w:p>
            <w:r>
              <w:rPr>
                <w:sz w:val="20"/>
              </w:rPr>
              <w:t>Alimentation d'un modèle ML</w:t>
            </w:r>
          </w:p>
        </w:tc>
        <w:tc>
          <w:tcPr>
            <w:tcW w:type="dxa" w:w="4674"/>
            <w:shd w:val="clear" w:color="auto" w:fill="EEF4F8"/>
          </w:tcPr>
          <w:p>
            <w:r>
              <w:rPr>
                <w:sz w:val="20"/>
              </w:rPr>
              <w:t>Réalisé</w:t>
            </w:r>
          </w:p>
        </w:tc>
      </w:tr>
      <w:tr>
        <w:tc>
          <w:tcPr>
            <w:tcW w:type="dxa" w:w="4674"/>
            <w:shd w:val="clear" w:color="auto" w:fill="FFFFFF"/>
          </w:tcPr>
          <w:p>
            <w:r>
              <w:rPr>
                <w:sz w:val="20"/>
              </w:rPr>
              <w:t>Visualisation des flux et indicateurs</w:t>
            </w:r>
          </w:p>
        </w:tc>
        <w:tc>
          <w:tcPr>
            <w:tcW w:type="dxa" w:w="4674"/>
            <w:shd w:val="clear" w:color="auto" w:fill="FFFFFF"/>
          </w:tcPr>
          <w:p>
            <w:r>
              <w:rPr>
                <w:sz w:val="20"/>
              </w:rPr>
              <w:t>Réalisé</w:t>
            </w:r>
          </w:p>
        </w:tc>
      </w:tr>
      <w:tr>
        <w:tc>
          <w:tcPr>
            <w:tcW w:type="dxa" w:w="4674"/>
            <w:shd w:val="clear" w:color="auto" w:fill="EEF4F8"/>
          </w:tcPr>
          <w:p>
            <w:r>
              <w:rPr>
                <w:sz w:val="20"/>
              </w:rPr>
              <w:t>Démonstration fonctionnelle</w:t>
            </w:r>
          </w:p>
        </w:tc>
        <w:tc>
          <w:tcPr>
            <w:tcW w:type="dxa" w:w="4674"/>
            <w:shd w:val="clear" w:color="auto" w:fill="EEF4F8"/>
          </w:tcPr>
          <w:p>
            <w:r>
              <w:rPr>
                <w:sz w:val="20"/>
              </w:rPr>
              <w:t>Réalisé</w:t>
            </w:r>
          </w:p>
        </w:tc>
      </w:tr>
      <w:tr>
        <w:tc>
          <w:tcPr>
            <w:tcW w:type="dxa" w:w="4674"/>
            <w:shd w:val="clear" w:color="auto" w:fill="FFFFFF"/>
          </w:tcPr>
          <w:p>
            <w:r>
              <w:rPr>
                <w:sz w:val="20"/>
              </w:rPr>
              <w:t>Séparation fichiers / métadonnées</w:t>
            </w:r>
          </w:p>
        </w:tc>
        <w:tc>
          <w:tcPr>
            <w:tcW w:type="dxa" w:w="4674"/>
            <w:shd w:val="clear" w:color="auto" w:fill="FFFFFF"/>
          </w:tcPr>
          <w:p>
            <w:r>
              <w:rPr>
                <w:sz w:val="20"/>
              </w:rPr>
              <w:t>Réalisé</w:t>
            </w:r>
          </w:p>
        </w:tc>
      </w:tr>
      <w:tr>
        <w:tc>
          <w:tcPr>
            <w:tcW w:type="dxa" w:w="4674"/>
            <w:shd w:val="clear" w:color="auto" w:fill="EEF4F8"/>
          </w:tcPr>
          <w:p>
            <w:r>
              <w:rPr>
                <w:sz w:val="20"/>
              </w:rPr>
              <w:t>Recommandation client IA (bonus)</w:t>
            </w:r>
          </w:p>
        </w:tc>
        <w:tc>
          <w:tcPr>
            <w:tcW w:type="dxa" w:w="4674"/>
            <w:shd w:val="clear" w:color="auto" w:fill="EEF4F8"/>
          </w:tcPr>
          <w:p>
            <w:r>
              <w:rPr>
                <w:sz w:val="20"/>
              </w:rPr>
              <w:t>Réalisé</w:t>
            </w:r>
          </w:p>
        </w:tc>
      </w:tr>
    </w:tbl>
    <w:p/>
    <w:p>
      <w:pPr>
        <w:pStyle w:val="Heading2"/>
      </w:pPr>
      <w:r>
        <w:rPr>
          <w:b/>
          <w:color w:val="105E8A"/>
          <w:sz w:val="28"/>
        </w:rPr>
        <w:t>11.2 Perspectives d'évolution</w:t>
      </w:r>
    </w:p>
    <w:p>
      <w:pPr>
        <w:pStyle w:val="ListBullet"/>
        <w:spacing w:after="60"/>
      </w:pPr>
      <w:r>
        <w:rPr>
          <w:rFonts w:ascii="Calibri" w:hAnsi="Calibri"/>
          <w:b w:val="0"/>
          <w:i w:val="0"/>
          <w:sz w:val="22"/>
        </w:rPr>
        <w:t>Dataset plus volumineux (objectif : 100+ images par label).</w:t>
      </w:r>
    </w:p>
    <w:p>
      <w:pPr>
        <w:pStyle w:val="ListBullet"/>
        <w:spacing w:after="60"/>
      </w:pPr>
      <w:r>
        <w:rPr>
          <w:rFonts w:ascii="Calibri" w:hAnsi="Calibri"/>
          <w:b w:val="0"/>
          <w:i w:val="0"/>
          <w:sz w:val="22"/>
        </w:rPr>
        <w:t>Stockage cloud (AWS S3, Cloudinary).</w:t>
      </w:r>
    </w:p>
    <w:p>
      <w:pPr>
        <w:pStyle w:val="ListBullet"/>
        <w:spacing w:after="60"/>
      </w:pPr>
      <w:r>
        <w:rPr>
          <w:rFonts w:ascii="Calibri" w:hAnsi="Calibri"/>
          <w:b w:val="0"/>
          <w:i w:val="0"/>
          <w:sz w:val="22"/>
        </w:rPr>
        <w:t>API de prédiction temps réel exposant model.pkl.</w:t>
      </w:r>
    </w:p>
    <w:p>
      <w:pPr>
        <w:pStyle w:val="ListBullet"/>
        <w:spacing w:after="60"/>
      </w:pPr>
      <w:r>
        <w:rPr>
          <w:rFonts w:ascii="Calibri" w:hAnsi="Calibri"/>
          <w:b w:val="0"/>
          <w:i w:val="0"/>
          <w:sz w:val="22"/>
        </w:rPr>
        <w:t>Réentraînement automatique déclenché par un nouveau dataset.</w:t>
      </w:r>
    </w:p>
    <w:p>
      <w:pPr>
        <w:pStyle w:val="ListBullet"/>
        <w:spacing w:after="60"/>
      </w:pPr>
      <w:r>
        <w:rPr>
          <w:rFonts w:ascii="Calibri" w:hAnsi="Calibri"/>
          <w:b w:val="0"/>
          <w:i w:val="0"/>
          <w:sz w:val="22"/>
        </w:rPr>
        <w:t>CNN / Vision Transformer pour remplacer le RandomForest.</w:t>
      </w:r>
    </w:p>
    <w:sectPr w:rsidR="00FC693F" w:rsidRPr="0006063C" w:rsidSect="00034616">
      <w:pgSz w:w="12240" w:h="15840"/>
      <w:pgMar w:top="1417" w:right="1304"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