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rFonts w:ascii="Calibri" w:hAnsi="Calibri"/>
          <w:b/>
          <w:i w:val="0"/>
          <w:color w:val="1A1A2E"/>
          <w:sz w:val="96"/>
        </w:rPr>
        <w:t>DATA</w:t>
      </w:r>
      <w:r>
        <w:rPr>
          <w:rFonts w:ascii="Calibri" w:hAnsi="Calibri"/>
          <w:b/>
          <w:i w:val="0"/>
          <w:color w:val="C9A44A"/>
          <w:sz w:val="96"/>
        </w:rPr>
        <w:t>CUT</w:t>
      </w:r>
    </w:p>
    <w:p>
      <w:pPr>
        <w:jc w:val="center"/>
      </w:pPr>
      <w:r>
        <w:rPr>
          <w:rFonts w:ascii="Calibri" w:hAnsi="Calibri"/>
          <w:b w:val="0"/>
          <w:i/>
          <w:color w:val="555555"/>
          <w:sz w:val="32"/>
        </w:rPr>
        <w:t>Symphonie des données en flux continu</w:t>
      </w:r>
    </w:p>
    <w:p/>
    <w:p>
      <w:pPr>
        <w:jc w:val="center"/>
      </w:pPr>
      <w:r>
        <w:rPr>
          <w:rFonts w:ascii="Calibri" w:hAnsi="Calibri"/>
          <w:b/>
          <w:i w:val="0"/>
          <w:color w:val="333333"/>
          <w:sz w:val="26"/>
        </w:rPr>
        <w:t>Rapport technique</w:t>
      </w:r>
      <w:r>
        <w:rPr>
          <w:rFonts w:ascii="Calibri" w:hAnsi="Calibri"/>
          <w:b w:val="0"/>
          <w:i w:val="0"/>
          <w:color w:val="333333"/>
          <w:sz w:val="24"/>
        </w:rPr>
        <w:br/>
        <w:t>Master 1 Intelligence Artificielle — École 89</w:t>
      </w:r>
      <w:r>
        <w:rPr>
          <w:rFonts w:ascii="Calibri" w:hAnsi="Calibri"/>
          <w:b w:val="0"/>
          <w:i w:val="0"/>
          <w:color w:val="333333"/>
          <w:sz w:val="22"/>
        </w:rPr>
        <w:br/>
        <w:t>Intervenant : Najib AL AWAR</w:t>
      </w:r>
      <w:r>
        <w:rPr>
          <w:rFonts w:ascii="Calibri" w:hAnsi="Calibri"/>
          <w:b w:val="0"/>
          <w:i w:val="0"/>
          <w:color w:val="333333"/>
          <w:sz w:val="22"/>
        </w:rPr>
        <w:br/>
        <w:t>Étudiant : Amaury Guindon</w:t>
      </w:r>
      <w:r>
        <w:rPr>
          <w:rFonts w:ascii="Calibri" w:hAnsi="Calibri"/>
          <w:b w:val="0"/>
          <w:i w:val="0"/>
          <w:color w:val="333333"/>
          <w:sz w:val="22"/>
        </w:rPr>
        <w:br/>
        <w:t>Année : 2025–2026</w:t>
      </w:r>
    </w:p>
    <w:p>
      <w:r>
        <w:br w:type="page"/>
      </w:r>
    </w:p>
    <w:p>
      <w:pPr>
        <w:pStyle w:val="Heading1"/>
      </w:pPr>
      <w:r>
        <w:rPr>
          <w:b/>
          <w:color w:val="1A1A2E"/>
          <w:sz w:val="36"/>
        </w:rPr>
        <w:t>Sommaire</w:t>
      </w:r>
    </w:p>
    <w:p>
      <w:pPr>
        <w:spacing w:after="60"/>
      </w:pPr>
      <w:r>
        <w:rPr>
          <w:rFonts w:ascii="Calibri" w:hAnsi="Calibri"/>
          <w:b w:val="0"/>
          <w:i w:val="0"/>
          <w:color w:val="222222"/>
          <w:sz w:val="22"/>
        </w:rPr>
        <w:t>1. Introduction &amp; contexte</w:t>
      </w:r>
    </w:p>
    <w:p>
      <w:pPr>
        <w:spacing w:after="60"/>
      </w:pPr>
      <w:r>
        <w:rPr>
          <w:rFonts w:ascii="Calibri" w:hAnsi="Calibri"/>
          <w:b w:val="0"/>
          <w:i w:val="0"/>
          <w:color w:val="222222"/>
          <w:sz w:val="22"/>
        </w:rPr>
        <w:t>2. Architecture de la plateforme</w:t>
      </w:r>
    </w:p>
    <w:p>
      <w:pPr>
        <w:spacing w:after="60"/>
      </w:pPr>
      <w:r>
        <w:rPr>
          <w:rFonts w:ascii="Calibri" w:hAnsi="Calibri"/>
          <w:b w:val="0"/>
          <w:i w:val="0"/>
          <w:color w:val="222222"/>
          <w:sz w:val="22"/>
        </w:rPr>
        <w:t>3. Schéma de base de données</w:t>
      </w:r>
    </w:p>
    <w:p>
      <w:pPr>
        <w:spacing w:after="60"/>
      </w:pPr>
      <w:r>
        <w:rPr>
          <w:rFonts w:ascii="Calibri" w:hAnsi="Calibri"/>
          <w:b w:val="0"/>
          <w:i w:val="0"/>
          <w:color w:val="222222"/>
          <w:sz w:val="22"/>
        </w:rPr>
        <w:t>4. Pipeline de données</w:t>
      </w:r>
    </w:p>
    <w:p>
      <w:pPr>
        <w:spacing w:after="60"/>
      </w:pPr>
      <w:r>
        <w:rPr>
          <w:rFonts w:ascii="Calibri" w:hAnsi="Calibri"/>
          <w:b w:val="0"/>
          <w:i w:val="0"/>
          <w:color w:val="222222"/>
          <w:sz w:val="22"/>
        </w:rPr>
        <w:t>5. Extraction de features</w:t>
      </w:r>
    </w:p>
    <w:p>
      <w:pPr>
        <w:spacing w:after="60"/>
      </w:pPr>
      <w:r>
        <w:rPr>
          <w:rFonts w:ascii="Calibri" w:hAnsi="Calibri"/>
          <w:b w:val="0"/>
          <w:i w:val="0"/>
          <w:color w:val="222222"/>
          <w:sz w:val="22"/>
        </w:rPr>
        <w:t>6. Versioning des datasets</w:t>
      </w:r>
    </w:p>
    <w:p>
      <w:pPr>
        <w:spacing w:after="60"/>
      </w:pPr>
      <w:r>
        <w:rPr>
          <w:rFonts w:ascii="Calibri" w:hAnsi="Calibri"/>
          <w:b w:val="0"/>
          <w:i w:val="0"/>
          <w:color w:val="222222"/>
          <w:sz w:val="22"/>
        </w:rPr>
        <w:t>7. Entraînement du modèle</w:t>
      </w:r>
    </w:p>
    <w:p>
      <w:pPr>
        <w:spacing w:after="60"/>
      </w:pPr>
      <w:r>
        <w:rPr>
          <w:rFonts w:ascii="Calibri" w:hAnsi="Calibri"/>
          <w:b w:val="0"/>
          <w:i w:val="0"/>
          <w:color w:val="222222"/>
          <w:sz w:val="22"/>
        </w:rPr>
        <w:t>8. Visualisation &amp; supervision</w:t>
      </w:r>
    </w:p>
    <w:p>
      <w:pPr>
        <w:spacing w:after="60"/>
      </w:pPr>
      <w:r>
        <w:rPr>
          <w:rFonts w:ascii="Calibri" w:hAnsi="Calibri"/>
          <w:b w:val="0"/>
          <w:i w:val="0"/>
          <w:color w:val="222222"/>
          <w:sz w:val="22"/>
        </w:rPr>
        <w:t>9. Recommandation client par IA</w:t>
      </w:r>
    </w:p>
    <w:p>
      <w:pPr>
        <w:spacing w:after="60"/>
      </w:pPr>
      <w:r>
        <w:rPr>
          <w:rFonts w:ascii="Calibri" w:hAnsi="Calibri"/>
          <w:b w:val="0"/>
          <w:i w:val="0"/>
          <w:color w:val="222222"/>
          <w:sz w:val="22"/>
        </w:rPr>
        <w:t>10. Bonnes pratiques &amp; gouvernance</w:t>
      </w:r>
    </w:p>
    <w:p>
      <w:pPr>
        <w:spacing w:after="60"/>
      </w:pPr>
      <w:r>
        <w:rPr>
          <w:rFonts w:ascii="Calibri" w:hAnsi="Calibri"/>
          <w:b w:val="0"/>
          <w:i w:val="0"/>
          <w:color w:val="222222"/>
          <w:sz w:val="22"/>
        </w:rPr>
        <w:t>11. Conclusion &amp; perspectives</w:t>
      </w:r>
    </w:p>
    <w:p>
      <w:r>
        <w:br w:type="page"/>
      </w:r>
    </w:p>
    <w:p>
      <w:pPr>
        <w:pStyle w:val="Heading1"/>
      </w:pPr>
      <w:r>
        <w:rPr>
          <w:b/>
          <w:color w:val="1A1A2E"/>
          <w:sz w:val="36"/>
        </w:rPr>
        <w:t>1. Introduction &amp; contexte</w:t>
      </w:r>
    </w:p>
    <w:p>
      <w:pPr>
        <w:pStyle w:val="Heading2"/>
      </w:pPr>
      <w:r>
        <w:rPr>
          <w:b/>
          <w:color w:val="105E8A"/>
          <w:sz w:val="28"/>
        </w:rPr>
        <w:t>1.1 Présentation du projet</w:t>
      </w:r>
    </w:p>
    <w:p>
      <w:pPr>
        <w:spacing w:after="120"/>
      </w:pPr>
      <w:r>
        <w:rPr>
          <w:rFonts w:ascii="Calibri" w:hAnsi="Calibri"/>
          <w:b w:val="0"/>
          <w:i w:val="0"/>
          <w:color w:val="222222"/>
          <w:sz w:val="22"/>
        </w:rPr>
        <w:t>DataCut est une plateforme web de gestion de données conçue dans le cadre du projet « Symphonie des données en flux continu ». Elle s'inscrit dans le contexte fictif d'un barbershop haut de gamme souhaitant exploiter ses photos de réalisations pour entraîner un modèle de classification de styles de coupe.</w:t>
      </w:r>
    </w:p>
    <w:p>
      <w:pPr>
        <w:spacing w:after="120"/>
      </w:pPr>
      <w:r>
        <w:rPr>
          <w:rFonts w:ascii="Calibri" w:hAnsi="Calibri"/>
          <w:b w:val="0"/>
          <w:i w:val="0"/>
          <w:color w:val="222222"/>
          <w:sz w:val="22"/>
        </w:rPr>
        <w:t>L'objectif central est de mettre en œuvre un cycle de vie complet des données : de l'ingestion d'images brutes jusqu'à l'alimentation continue d'un modèle d'intelligence artificielle, en passant par la labélisation, le versioning et l'export structuré.</w:t>
      </w:r>
    </w:p>
    <w:p>
      <w:pPr>
        <w:pStyle w:val="Heading2"/>
      </w:pPr>
      <w:r>
        <w:rPr>
          <w:b/>
          <w:color w:val="105E8A"/>
          <w:sz w:val="28"/>
        </w:rPr>
        <w:t>1.2 Problématique</w:t>
      </w:r>
    </w:p>
    <w:p>
      <w:pPr>
        <w:spacing w:after="120"/>
      </w:pPr>
      <w:r>
        <w:rPr>
          <w:rFonts w:ascii="Calibri" w:hAnsi="Calibri"/>
          <w:b w:val="0"/>
          <w:i w:val="0"/>
          <w:color w:val="222222"/>
          <w:sz w:val="22"/>
        </w:rPr>
        <w:t>Comment concevoir une infrastructure capable de collecter, structurer, labéliser et versionner des images, tout en garantissant la traçabilité complète du flux de données vers un modèle d'apprentissage automatique ?</w:t>
      </w:r>
    </w:p>
    <w:p>
      <w:pPr>
        <w:pStyle w:val="Heading2"/>
      </w:pPr>
      <w:r>
        <w:rPr>
          <w:b/>
          <w:color w:val="105E8A"/>
          <w:sz w:val="28"/>
        </w:rPr>
        <w:t>1.3 Périmètre fonctionnel</w:t>
      </w:r>
    </w:p>
    <w:p>
      <w:pPr>
        <w:spacing w:after="120"/>
      </w:pPr>
      <w:r>
        <w:rPr>
          <w:rFonts w:ascii="Calibri" w:hAnsi="Calibri"/>
          <w:b w:val="0"/>
          <w:i w:val="0"/>
          <w:color w:val="222222"/>
          <w:sz w:val="22"/>
        </w:rPr>
        <w:t>Le projet se décompose en deux interfaces complémentaires. Le backoffice administrateur prend en charge la gestion du pipeline, la labélisation des images, la création et l'export de datasets versionnés, ainsi que la supervision de l'ensemble via des graphiques de suivi.</w:t>
      </w:r>
    </w:p>
    <w:p>
      <w:pPr>
        <w:spacing w:after="120"/>
      </w:pPr>
      <w:r>
        <w:rPr>
          <w:rFonts w:ascii="Calibri" w:hAnsi="Calibri"/>
          <w:b w:val="0"/>
          <w:i w:val="0"/>
          <w:color w:val="222222"/>
          <w:sz w:val="22"/>
        </w:rPr>
        <w:t>L'interface client, de son côté, propose une recommandation personnalisée de coupe : elle s'appuie sur une analyse du visage par intelligence artificielle, prenant en compte à la fois la forme du visage et la teinte de peau pour suggérer des styles adaptés.</w:t>
      </w:r>
    </w:p>
    <w:p>
      <w:r>
        <w:br w:type="page"/>
      </w:r>
    </w:p>
    <w:p>
      <w:pPr>
        <w:pStyle w:val="Heading1"/>
      </w:pPr>
      <w:r>
        <w:rPr>
          <w:b/>
          <w:color w:val="1A1A2E"/>
          <w:sz w:val="36"/>
        </w:rPr>
        <w:t>2. Architecture de la plateforme</w:t>
      </w:r>
    </w:p>
    <w:p>
      <w:pPr>
        <w:pStyle w:val="Heading2"/>
      </w:pPr>
      <w:r>
        <w:rPr>
          <w:b/>
          <w:color w:val="105E8A"/>
          <w:sz w:val="28"/>
        </w:rPr>
        <w:t>2.1 Vue d'ensemble</w:t>
      </w:r>
    </w:p>
    <w:p>
      <w:pPr>
        <w:spacing w:after="120"/>
      </w:pPr>
      <w:r>
        <w:rPr>
          <w:rFonts w:ascii="Calibri" w:hAnsi="Calibri"/>
          <w:b w:val="0"/>
          <w:i w:val="0"/>
          <w:color w:val="222222"/>
          <w:sz w:val="22"/>
        </w:rPr>
        <w:t>L'architecture repose sur une séparation claire en couches : un frontend Angular, un backend NestJS exposant une API REST, un stockage hybride (MongoDB pour les métadonnées, disque pour les fichiers) et un module Python d'entraînement.</w:t>
      </w:r>
    </w:p>
    <w:p>
      <w:pPr>
        <w:spacing w:before="120"/>
        <w:jc w:val="center"/>
      </w:pPr>
      <w:r>
        <w:drawing>
          <wp:inline xmlns:a="http://schemas.openxmlformats.org/drawingml/2006/main" xmlns:pic="http://schemas.openxmlformats.org/drawingml/2006/picture">
            <wp:extent cx="5580000" cy="359775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80000" cy="3597757"/>
                    </a:xfrm>
                    <a:prstGeom prst="rect"/>
                  </pic:spPr>
                </pic:pic>
              </a:graphicData>
            </a:graphic>
          </wp:inline>
        </w:drawing>
      </w:r>
    </w:p>
    <w:p>
      <w:pPr>
        <w:spacing w:after="160"/>
        <w:jc w:val="center"/>
      </w:pPr>
      <w:r>
        <w:rPr>
          <w:rFonts w:ascii="Calibri" w:hAnsi="Calibri"/>
          <w:b w:val="0"/>
          <w:i/>
          <w:color w:val="555555"/>
          <w:sz w:val="18"/>
        </w:rPr>
        <w:t>Figure 1 — Architecture en couches de la plateforme DataCut</w:t>
      </w:r>
    </w:p>
    <w:p>
      <w:pPr>
        <w:pStyle w:val="Heading2"/>
      </w:pPr>
      <w:r>
        <w:rPr>
          <w:b/>
          <w:color w:val="105E8A"/>
          <w:sz w:val="28"/>
        </w:rPr>
        <w:t>2.2 Stack technique</w:t>
      </w:r>
    </w:p>
    <w:tbl>
      <w:tblPr>
        <w:tblStyle w:val="TableGrid"/>
        <w:tblW w:type="auto" w:w="0"/>
        <w:tblLook w:firstColumn="1" w:firstRow="1" w:lastColumn="0" w:lastRow="0" w:noHBand="0" w:noVBand="1" w:val="04A0"/>
      </w:tblPr>
      <w:tblGrid>
        <w:gridCol w:w="3116"/>
        <w:gridCol w:w="3116"/>
        <w:gridCol w:w="3116"/>
      </w:tblGrid>
      <w:tr>
        <w:tc>
          <w:tcPr>
            <w:tcW w:type="dxa" w:w="3116"/>
            <w:shd w:val="clear" w:color="auto" w:fill="105E8A"/>
          </w:tcPr>
          <w:p>
            <w:r>
              <w:rPr>
                <w:b/>
                <w:color w:val="FFFFFF"/>
                <w:sz w:val="22"/>
              </w:rPr>
              <w:t>Couche</w:t>
            </w:r>
          </w:p>
        </w:tc>
        <w:tc>
          <w:tcPr>
            <w:tcW w:type="dxa" w:w="3116"/>
            <w:shd w:val="clear" w:color="auto" w:fill="105E8A"/>
          </w:tcPr>
          <w:p>
            <w:r>
              <w:rPr>
                <w:b/>
                <w:color w:val="FFFFFF"/>
                <w:sz w:val="22"/>
              </w:rPr>
              <w:t>Technologie</w:t>
            </w:r>
          </w:p>
        </w:tc>
        <w:tc>
          <w:tcPr>
            <w:tcW w:type="dxa" w:w="3116"/>
            <w:shd w:val="clear" w:color="auto" w:fill="105E8A"/>
          </w:tcPr>
          <w:p>
            <w:r>
              <w:rPr>
                <w:b/>
                <w:color w:val="FFFFFF"/>
                <w:sz w:val="22"/>
              </w:rPr>
              <w:t>Rôle</w:t>
            </w:r>
          </w:p>
        </w:tc>
      </w:tr>
      <w:tr>
        <w:tc>
          <w:tcPr>
            <w:tcW w:type="dxa" w:w="3116"/>
            <w:shd w:val="clear" w:color="auto" w:fill="FFFFFF"/>
          </w:tcPr>
          <w:p>
            <w:r>
              <w:rPr>
                <w:sz w:val="20"/>
              </w:rPr>
              <w:t>Frontend</w:t>
            </w:r>
          </w:p>
        </w:tc>
        <w:tc>
          <w:tcPr>
            <w:tcW w:type="dxa" w:w="3116"/>
            <w:shd w:val="clear" w:color="auto" w:fill="FFFFFF"/>
          </w:tcPr>
          <w:p>
            <w:r>
              <w:rPr>
                <w:sz w:val="20"/>
              </w:rPr>
              <w:t>Angular 17 (standalone, signals)</w:t>
            </w:r>
          </w:p>
        </w:tc>
        <w:tc>
          <w:tcPr>
            <w:tcW w:type="dxa" w:w="3116"/>
            <w:shd w:val="clear" w:color="auto" w:fill="FFFFFF"/>
          </w:tcPr>
          <w:p>
            <w:r>
              <w:rPr>
                <w:sz w:val="20"/>
              </w:rPr>
              <w:t>Interface utilisateur</w:t>
            </w:r>
          </w:p>
        </w:tc>
      </w:tr>
      <w:tr>
        <w:tc>
          <w:tcPr>
            <w:tcW w:type="dxa" w:w="3116"/>
            <w:shd w:val="clear" w:color="auto" w:fill="EEF4F8"/>
          </w:tcPr>
          <w:p>
            <w:r>
              <w:rPr>
                <w:sz w:val="20"/>
              </w:rPr>
              <w:t>Backend</w:t>
            </w:r>
          </w:p>
        </w:tc>
        <w:tc>
          <w:tcPr>
            <w:tcW w:type="dxa" w:w="3116"/>
            <w:shd w:val="clear" w:color="auto" w:fill="EEF4F8"/>
          </w:tcPr>
          <w:p>
            <w:r>
              <w:rPr>
                <w:sz w:val="20"/>
              </w:rPr>
              <w:t>NestJS + Mongoose</w:t>
            </w:r>
          </w:p>
        </w:tc>
        <w:tc>
          <w:tcPr>
            <w:tcW w:type="dxa" w:w="3116"/>
            <w:shd w:val="clear" w:color="auto" w:fill="EEF4F8"/>
          </w:tcPr>
          <w:p>
            <w:r>
              <w:rPr>
                <w:sz w:val="20"/>
              </w:rPr>
              <w:t>API REST, logique métier</w:t>
            </w:r>
          </w:p>
        </w:tc>
      </w:tr>
      <w:tr>
        <w:tc>
          <w:tcPr>
            <w:tcW w:type="dxa" w:w="3116"/>
            <w:shd w:val="clear" w:color="auto" w:fill="FFFFFF"/>
          </w:tcPr>
          <w:p>
            <w:r>
              <w:rPr>
                <w:sz w:val="20"/>
              </w:rPr>
              <w:t>Base de données</w:t>
            </w:r>
          </w:p>
        </w:tc>
        <w:tc>
          <w:tcPr>
            <w:tcW w:type="dxa" w:w="3116"/>
            <w:shd w:val="clear" w:color="auto" w:fill="FFFFFF"/>
          </w:tcPr>
          <w:p>
            <w:r>
              <w:rPr>
                <w:sz w:val="20"/>
              </w:rPr>
              <w:t>MongoDB</w:t>
            </w:r>
          </w:p>
        </w:tc>
        <w:tc>
          <w:tcPr>
            <w:tcW w:type="dxa" w:w="3116"/>
            <w:shd w:val="clear" w:color="auto" w:fill="FFFFFF"/>
          </w:tcPr>
          <w:p>
            <w:r>
              <w:rPr>
                <w:sz w:val="20"/>
              </w:rPr>
              <w:t>Stockage des métadonnées</w:t>
            </w:r>
          </w:p>
        </w:tc>
      </w:tr>
      <w:tr>
        <w:tc>
          <w:tcPr>
            <w:tcW w:type="dxa" w:w="3116"/>
            <w:shd w:val="clear" w:color="auto" w:fill="EEF4F8"/>
          </w:tcPr>
          <w:p>
            <w:r>
              <w:rPr>
                <w:sz w:val="20"/>
              </w:rPr>
              <w:t>Stockage fichiers</w:t>
            </w:r>
          </w:p>
        </w:tc>
        <w:tc>
          <w:tcPr>
            <w:tcW w:type="dxa" w:w="3116"/>
            <w:shd w:val="clear" w:color="auto" w:fill="EEF4F8"/>
          </w:tcPr>
          <w:p>
            <w:r>
              <w:rPr>
                <w:sz w:val="20"/>
              </w:rPr>
              <w:t>Système de fichiers (multer)</w:t>
            </w:r>
          </w:p>
        </w:tc>
        <w:tc>
          <w:tcPr>
            <w:tcW w:type="dxa" w:w="3116"/>
            <w:shd w:val="clear" w:color="auto" w:fill="EEF4F8"/>
          </w:tcPr>
          <w:p>
            <w:r>
              <w:rPr>
                <w:sz w:val="20"/>
              </w:rPr>
              <w:t>Stockage des images brutes</w:t>
            </w:r>
          </w:p>
        </w:tc>
      </w:tr>
      <w:tr>
        <w:tc>
          <w:tcPr>
            <w:tcW w:type="dxa" w:w="3116"/>
            <w:shd w:val="clear" w:color="auto" w:fill="FFFFFF"/>
          </w:tcPr>
          <w:p>
            <w:r>
              <w:rPr>
                <w:sz w:val="20"/>
              </w:rPr>
              <w:t>Feature extraction</w:t>
            </w:r>
          </w:p>
        </w:tc>
        <w:tc>
          <w:tcPr>
            <w:tcW w:type="dxa" w:w="3116"/>
            <w:shd w:val="clear" w:color="auto" w:fill="FFFFFF"/>
          </w:tcPr>
          <w:p>
            <w:r>
              <w:rPr>
                <w:sz w:val="20"/>
              </w:rPr>
              <w:t>sharp (Node.js)</w:t>
            </w:r>
          </w:p>
        </w:tc>
        <w:tc>
          <w:tcPr>
            <w:tcW w:type="dxa" w:w="3116"/>
            <w:shd w:val="clear" w:color="auto" w:fill="FFFFFF"/>
          </w:tcPr>
          <w:p>
            <w:r>
              <w:rPr>
                <w:sz w:val="20"/>
              </w:rPr>
              <w:t>Extraction automatique de caractéristiques</w:t>
            </w:r>
          </w:p>
        </w:tc>
      </w:tr>
      <w:tr>
        <w:tc>
          <w:tcPr>
            <w:tcW w:type="dxa" w:w="3116"/>
            <w:shd w:val="clear" w:color="auto" w:fill="EEF4F8"/>
          </w:tcPr>
          <w:p>
            <w:r>
              <w:rPr>
                <w:sz w:val="20"/>
              </w:rPr>
              <w:t>ML entraînement</w:t>
            </w:r>
          </w:p>
        </w:tc>
        <w:tc>
          <w:tcPr>
            <w:tcW w:type="dxa" w:w="3116"/>
            <w:shd w:val="clear" w:color="auto" w:fill="EEF4F8"/>
          </w:tcPr>
          <w:p>
            <w:r>
              <w:rPr>
                <w:sz w:val="20"/>
              </w:rPr>
              <w:t>Python / scikit-learn</w:t>
            </w:r>
          </w:p>
        </w:tc>
        <w:tc>
          <w:tcPr>
            <w:tcW w:type="dxa" w:w="3116"/>
            <w:shd w:val="clear" w:color="auto" w:fill="EEF4F8"/>
          </w:tcPr>
          <w:p>
            <w:r>
              <w:rPr>
                <w:sz w:val="20"/>
              </w:rPr>
              <w:t>Classification multi-label</w:t>
            </w:r>
          </w:p>
        </w:tc>
      </w:tr>
      <w:tr>
        <w:tc>
          <w:tcPr>
            <w:tcW w:type="dxa" w:w="3116"/>
            <w:shd w:val="clear" w:color="auto" w:fill="FFFFFF"/>
          </w:tcPr>
          <w:p>
            <w:r>
              <w:rPr>
                <w:sz w:val="20"/>
              </w:rPr>
              <w:t>ML client</w:t>
            </w:r>
          </w:p>
        </w:tc>
        <w:tc>
          <w:tcPr>
            <w:tcW w:type="dxa" w:w="3116"/>
            <w:shd w:val="clear" w:color="auto" w:fill="FFFFFF"/>
          </w:tcPr>
          <w:p>
            <w:r>
              <w:rPr>
                <w:sz w:val="20"/>
              </w:rPr>
              <w:t>MediaPipe (JavaScript)</w:t>
            </w:r>
          </w:p>
        </w:tc>
        <w:tc>
          <w:tcPr>
            <w:tcW w:type="dxa" w:w="3116"/>
            <w:shd w:val="clear" w:color="auto" w:fill="FFFFFF"/>
          </w:tcPr>
          <w:p>
            <w:r>
              <w:rPr>
                <w:sz w:val="20"/>
              </w:rPr>
              <w:t>Détection de forme de visage in-browser</w:t>
            </w:r>
          </w:p>
        </w:tc>
      </w:tr>
    </w:tbl>
    <w:p/>
    <w:p>
      <w:pPr>
        <w:pStyle w:val="Heading2"/>
      </w:pPr>
      <w:r>
        <w:rPr>
          <w:b/>
          <w:color w:val="105E8A"/>
          <w:sz w:val="28"/>
        </w:rPr>
        <w:t>2.3 Justification des choix techniques</w:t>
      </w:r>
    </w:p>
    <w:p>
      <w:pPr>
        <w:spacing w:after="120"/>
      </w:pPr>
      <w:r>
        <w:rPr>
          <w:rFonts w:ascii="Calibri" w:hAnsi="Calibri"/>
          <w:b w:val="0"/>
          <w:i w:val="0"/>
          <w:color w:val="222222"/>
          <w:sz w:val="22"/>
        </w:rPr>
        <w:t>MongoDB a été retenu pour la flexibilité de son schéma, particulièrement adaptée à des métadonnées hétérogènes ; ses agrégations natives facilitent par ailleurs le calcul des statistiques de labels. NestJS apporte une architecture modulaire (GalleryModule, DatasetModule, StatsModule) qui garantit une séparation claire des responsabilités.</w:t>
      </w:r>
    </w:p>
    <w:p>
      <w:pPr>
        <w:spacing w:after="120"/>
      </w:pPr>
      <w:r>
        <w:rPr>
          <w:rFonts w:ascii="Calibri" w:hAnsi="Calibri"/>
          <w:b w:val="0"/>
          <w:i w:val="0"/>
          <w:color w:val="222222"/>
          <w:sz w:val="22"/>
        </w:rPr>
        <w:t>Pour l'extraction de features, sharp offre un traitement léger côté serveur, sans dépendance externe, déclenché au moment de l'upload. Le modèle s'appuie sur scikit-learn, qui fournit une implémentation éprouvée du RandomForest multi-label, bien adaptée à un dataset de taille limitée. Enfin, MediaPipe s'exécute en WebAssembly directement dans le navigateur, ce qui garantit qu'aucune donnée biométrique n'est transmise à un serveur externe.</w:t>
      </w:r>
    </w:p>
    <w:p>
      <w:r>
        <w:br w:type="page"/>
      </w:r>
    </w:p>
    <w:p>
      <w:pPr>
        <w:pStyle w:val="Heading1"/>
      </w:pPr>
      <w:r>
        <w:rPr>
          <w:b/>
          <w:color w:val="1A1A2E"/>
          <w:sz w:val="36"/>
        </w:rPr>
        <w:t>3. Schéma de base de données</w:t>
      </w:r>
    </w:p>
    <w:p>
      <w:pPr>
        <w:pStyle w:val="Heading2"/>
      </w:pPr>
      <w:r>
        <w:rPr>
          <w:b/>
          <w:color w:val="105E8A"/>
          <w:sz w:val="28"/>
        </w:rPr>
        <w:t>3.1 Principes de modélisation</w:t>
      </w:r>
    </w:p>
    <w:p>
      <w:pPr>
        <w:spacing w:after="120"/>
      </w:pPr>
      <w:r>
        <w:rPr>
          <w:rFonts w:ascii="Calibri" w:hAnsi="Calibri"/>
          <w:b w:val="0"/>
          <w:i w:val="0"/>
          <w:color w:val="222222"/>
          <w:sz w:val="22"/>
        </w:rPr>
        <w:t>La base de données datacut suit une approche hybride : les fichiers images sont stockés sur disque (/uploads/gallery/), tandis que toutes les métadonnées associées (statut, labels, features, versioning) sont stockées dans MongoDB.</w:t>
      </w:r>
    </w:p>
    <w:p>
      <w:pPr>
        <w:spacing w:before="120"/>
        <w:jc w:val="center"/>
      </w:pPr>
      <w:r>
        <w:drawing>
          <wp:inline xmlns:a="http://schemas.openxmlformats.org/drawingml/2006/main" xmlns:pic="http://schemas.openxmlformats.org/drawingml/2006/picture">
            <wp:extent cx="5580000" cy="2853195"/>
            <wp:docPr id="2" name="Picture 2"/>
            <wp:cNvGraphicFramePr>
              <a:graphicFrameLocks noChangeAspect="1"/>
            </wp:cNvGraphicFramePr>
            <a:graphic>
              <a:graphicData uri="http://schemas.openxmlformats.org/drawingml/2006/picture">
                <pic:pic>
                  <pic:nvPicPr>
                    <pic:cNvPr id="0" name="db_schema.png"/>
                    <pic:cNvPicPr/>
                  </pic:nvPicPr>
                  <pic:blipFill>
                    <a:blip r:embed="rId10"/>
                    <a:stretch>
                      <a:fillRect/>
                    </a:stretch>
                  </pic:blipFill>
                  <pic:spPr>
                    <a:xfrm>
                      <a:off x="0" y="0"/>
                      <a:ext cx="5580000" cy="2853195"/>
                    </a:xfrm>
                    <a:prstGeom prst="rect"/>
                  </pic:spPr>
                </pic:pic>
              </a:graphicData>
            </a:graphic>
          </wp:inline>
        </w:drawing>
      </w:r>
    </w:p>
    <w:p>
      <w:pPr>
        <w:spacing w:after="160"/>
        <w:jc w:val="center"/>
      </w:pPr>
      <w:r>
        <w:rPr>
          <w:rFonts w:ascii="Calibri" w:hAnsi="Calibri"/>
          <w:b w:val="0"/>
          <w:i/>
          <w:color w:val="555555"/>
          <w:sz w:val="18"/>
        </w:rPr>
        <w:t>Figure 2 — Modèle de données : collections et relation logique</w:t>
      </w:r>
    </w:p>
    <w:p>
      <w:pPr>
        <w:pStyle w:val="Heading2"/>
      </w:pPr>
      <w:r>
        <w:rPr>
          <w:b/>
          <w:color w:val="105E8A"/>
          <w:sz w:val="28"/>
        </w:rPr>
        <w:t>3.2 Collection GalleryItem</w:t>
      </w:r>
    </w:p>
    <w:p>
      <w:pPr>
        <w:spacing w:before="80" w:after="80"/>
        <w:ind w:left="454"/>
        <w:shd w:val="clear" w:color="auto" w:fill="F2F2F2"/>
      </w:pPr>
      <w:r>
        <w:rPr>
          <w:rFonts w:ascii="Consolas" w:hAnsi="Consolas"/>
          <w:color w:val="222222"/>
          <w:sz w:val="18"/>
        </w:rPr>
        <w:t>GalleryItem {</w:t>
        <w:br/>
        <w:t xml:space="preserve">  _id            : ObjectId      // Identifiant unique MongoDB</w:t>
        <w:br/>
        <w:t xml:space="preserve">  filename       : String        // Nom du fichier sur disque</w:t>
        <w:br/>
        <w:t xml:space="preserve">  url            : String        // Chemin (/uploads/gallery/...)</w:t>
        <w:br/>
        <w:t xml:space="preserve">  category       : String?       // coupe | barbe | dégradé...</w:t>
        <w:br/>
        <w:t xml:space="preserve">  status         : Enum          // raw|validated|labeled|processed|exported</w:t>
        <w:br/>
        <w:t xml:space="preserve">  labels         : [String]      // Labels assignés (fade, afro, tresse...)</w:t>
        <w:br/>
        <w:t xml:space="preserve">  features       : { width, height, sizeKb, format, dominantColor }</w:t>
        <w:br/>
        <w:t xml:space="preserve">  datasetVersion : String?       // Version d'export</w:t>
        <w:br/>
        <w:t xml:space="preserve">  createdAt, updatedAt : Date</w:t>
        <w:br/>
        <w:t>}</w:t>
      </w:r>
    </w:p>
    <w:p>
      <w:pPr>
        <w:pStyle w:val="Heading2"/>
      </w:pPr>
      <w:r>
        <w:rPr>
          <w:b/>
          <w:color w:val="105E8A"/>
          <w:sz w:val="28"/>
        </w:rPr>
        <w:t>3.3 Collection DatasetVersion</w:t>
      </w:r>
    </w:p>
    <w:p>
      <w:pPr>
        <w:spacing w:before="80" w:after="80"/>
        <w:ind w:left="454"/>
        <w:shd w:val="clear" w:color="auto" w:fill="F2F2F2"/>
      </w:pPr>
      <w:r>
        <w:rPr>
          <w:rFonts w:ascii="Consolas" w:hAnsi="Consolas"/>
          <w:color w:val="222222"/>
          <w:sz w:val="18"/>
        </w:rPr>
        <w:t>DatasetVersion {</w:t>
        <w:br/>
        <w:t xml:space="preserve">  _id, version, imageCount, imageIds[], labelsIncluded[], description, createdAt</w:t>
        <w:br/>
        <w:t>}</w:t>
      </w:r>
    </w:p>
    <w:p>
      <w:pPr>
        <w:pStyle w:val="Heading2"/>
      </w:pPr>
      <w:r>
        <w:rPr>
          <w:b/>
          <w:color w:val="105E8A"/>
          <w:sz w:val="28"/>
        </w:rPr>
        <w:t>3.4 Relations</w:t>
      </w:r>
    </w:p>
    <w:p>
      <w:pPr>
        <w:spacing w:after="120"/>
      </w:pPr>
      <w:r>
        <w:rPr>
          <w:rFonts w:ascii="Calibri" w:hAnsi="Calibri"/>
          <w:b w:val="0"/>
          <w:i w:val="0"/>
          <w:color w:val="222222"/>
          <w:sz w:val="22"/>
        </w:rPr>
        <w:t>La relation entre les deux collections principales reste volontairement légère, conformément à la logique d'un document store. Le champ GalleryItem.datasetVersion pointe vers DatasetVersion.version par une clé logique, tandis que le tableau DatasetVersion.imageIds liste l'ensemble des GalleryItem inclus dans le snapshot. Ce couplage souple se justifie par le caractère immuable des snapshots : une fois figée, une version ne change plus, ce qui rend inutile toute contrainte d'intégrité forte.</w:t>
      </w:r>
    </w:p>
    <w:p>
      <w:r>
        <w:br w:type="page"/>
      </w:r>
    </w:p>
    <w:p>
      <w:pPr>
        <w:pStyle w:val="Heading1"/>
      </w:pPr>
      <w:r>
        <w:rPr>
          <w:b/>
          <w:color w:val="1A1A2E"/>
          <w:sz w:val="36"/>
        </w:rPr>
        <w:t>4. Pipeline de données</w:t>
      </w:r>
    </w:p>
    <w:p>
      <w:pPr>
        <w:pStyle w:val="Heading2"/>
      </w:pPr>
      <w:r>
        <w:rPr>
          <w:b/>
          <w:color w:val="105E8A"/>
          <w:sz w:val="28"/>
        </w:rPr>
        <w:t>4.1 Vue d'ensemble</w:t>
      </w:r>
    </w:p>
    <w:p>
      <w:pPr>
        <w:spacing w:after="120"/>
      </w:pPr>
      <w:r>
        <w:rPr>
          <w:rFonts w:ascii="Calibri" w:hAnsi="Calibri"/>
          <w:b w:val="0"/>
          <w:i w:val="0"/>
          <w:color w:val="222222"/>
          <w:sz w:val="22"/>
        </w:rPr>
        <w:t>Le pipeline structure le cycle de vie d'une image en 5 statuts successifs et unidirectionnels :</w:t>
      </w:r>
    </w:p>
    <w:p>
      <w:pPr>
        <w:spacing w:before="120"/>
        <w:jc w:val="center"/>
      </w:pPr>
      <w:r>
        <w:drawing>
          <wp:inline xmlns:a="http://schemas.openxmlformats.org/drawingml/2006/main" xmlns:pic="http://schemas.openxmlformats.org/drawingml/2006/picture">
            <wp:extent cx="5940000" cy="1668925"/>
            <wp:docPr id="3" name="Picture 3"/>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940000" cy="1668925"/>
                    </a:xfrm>
                    <a:prstGeom prst="rect"/>
                  </pic:spPr>
                </pic:pic>
              </a:graphicData>
            </a:graphic>
          </wp:inline>
        </w:drawing>
      </w:r>
    </w:p>
    <w:p>
      <w:pPr>
        <w:spacing w:after="160"/>
        <w:jc w:val="center"/>
      </w:pPr>
      <w:r>
        <w:rPr>
          <w:rFonts w:ascii="Calibri" w:hAnsi="Calibri"/>
          <w:b w:val="0"/>
          <w:i/>
          <w:color w:val="555555"/>
          <w:sz w:val="18"/>
        </w:rPr>
        <w:t>Figure 3 — Pipeline de données en 5 statuts</w:t>
      </w:r>
    </w:p>
    <w:p>
      <w:pPr>
        <w:pStyle w:val="Heading2"/>
      </w:pPr>
      <w:r>
        <w:rPr>
          <w:b/>
          <w:color w:val="105E8A"/>
          <w:sz w:val="28"/>
        </w:rPr>
        <w:t>4.2 Description de chaque étape</w:t>
      </w:r>
    </w:p>
    <w:p>
      <w:pPr>
        <w:pStyle w:val="Heading3"/>
      </w:pPr>
      <w:r>
        <w:rPr>
          <w:b/>
          <w:color w:val="207AA8"/>
          <w:sz w:val="24"/>
        </w:rPr>
        <w:t>Phase 1 — RAW (Ingestion)</w:t>
      </w:r>
    </w:p>
    <w:p>
      <w:pPr>
        <w:spacing w:after="120"/>
      </w:pPr>
      <w:r>
        <w:rPr>
          <w:rFonts w:ascii="Calibri" w:hAnsi="Calibri"/>
          <w:b w:val="0"/>
          <w:i w:val="0"/>
          <w:color w:val="222222"/>
          <w:sz w:val="22"/>
        </w:rPr>
        <w:t>NestJS + Multer sauvegarde le fichier, sharp extrait automatiquement les features, et un document GalleryItem est créé avec status: 'raw'.</w:t>
      </w:r>
    </w:p>
    <w:p>
      <w:pPr>
        <w:pStyle w:val="Heading3"/>
      </w:pPr>
      <w:r>
        <w:rPr>
          <w:b/>
          <w:color w:val="207AA8"/>
          <w:sz w:val="24"/>
        </w:rPr>
        <w:t>Phase 2 — VALIDATED</w:t>
      </w:r>
    </w:p>
    <w:p>
      <w:pPr>
        <w:spacing w:after="120"/>
      </w:pPr>
      <w:r>
        <w:rPr>
          <w:rFonts w:ascii="Calibri" w:hAnsi="Calibri"/>
          <w:b w:val="0"/>
          <w:i w:val="0"/>
          <w:color w:val="222222"/>
          <w:sz w:val="22"/>
        </w:rPr>
        <w:t>L'administrateur vérifie la qualité visuelle (cadrage, netteté, pertinence) depuis l'interface Pipeline.</w:t>
      </w:r>
    </w:p>
    <w:p>
      <w:pPr>
        <w:pStyle w:val="Heading3"/>
      </w:pPr>
      <w:r>
        <w:rPr>
          <w:b/>
          <w:color w:val="207AA8"/>
          <w:sz w:val="24"/>
        </w:rPr>
        <w:t>Phase 3 — LABELED</w:t>
      </w:r>
    </w:p>
    <w:p>
      <w:pPr>
        <w:spacing w:after="120"/>
      </w:pPr>
      <w:r>
        <w:rPr>
          <w:rFonts w:ascii="Calibri" w:hAnsi="Calibri"/>
          <w:b w:val="0"/>
          <w:i w:val="0"/>
          <w:color w:val="222222"/>
          <w:sz w:val="22"/>
        </w:rPr>
        <w:t>Assignation de 1 à N labels parmi 12 disponibles (fade, dégradé, taper, burst-fade, afro, tresse, barbe, rasage, avant, après, enfant, adulte).</w:t>
      </w:r>
    </w:p>
    <w:p>
      <w:pPr>
        <w:pStyle w:val="Heading3"/>
      </w:pPr>
      <w:r>
        <w:rPr>
          <w:b/>
          <w:color w:val="207AA8"/>
          <w:sz w:val="24"/>
        </w:rPr>
        <w:t>Phase 4 — PROCESSED</w:t>
      </w:r>
    </w:p>
    <w:p>
      <w:pPr>
        <w:spacing w:after="120"/>
      </w:pPr>
      <w:r>
        <w:rPr>
          <w:rFonts w:ascii="Calibri" w:hAnsi="Calibri"/>
          <w:b w:val="0"/>
          <w:i w:val="0"/>
          <w:color w:val="222222"/>
          <w:sz w:val="22"/>
        </w:rPr>
        <w:t>Validation finale : l'image est complète et prête à intégrer un dataset.</w:t>
      </w:r>
    </w:p>
    <w:p>
      <w:pPr>
        <w:pStyle w:val="Heading3"/>
      </w:pPr>
      <w:r>
        <w:rPr>
          <w:b/>
          <w:color w:val="207AA8"/>
          <w:sz w:val="24"/>
        </w:rPr>
        <w:t>Phase 5 — EXPORTED</w:t>
      </w:r>
    </w:p>
    <w:p>
      <w:pPr>
        <w:spacing w:after="120"/>
      </w:pPr>
      <w:r>
        <w:rPr>
          <w:rFonts w:ascii="Calibri" w:hAnsi="Calibri"/>
          <w:b w:val="0"/>
          <w:i w:val="0"/>
          <w:color w:val="222222"/>
          <w:sz w:val="22"/>
        </w:rPr>
        <w:t>L'image est incluse dans un snapshot versionné ; son champ datasetVersion est renseigné.</w:t>
      </w:r>
    </w:p>
    <w:p>
      <w:pPr>
        <w:pStyle w:val="Heading2"/>
      </w:pPr>
      <w:r>
        <w:rPr>
          <w:b/>
          <w:color w:val="105E8A"/>
          <w:sz w:val="28"/>
        </w:rPr>
        <w:t>4.3 Règles de transition</w:t>
      </w:r>
    </w:p>
    <w:p>
      <w:pPr>
        <w:spacing w:after="120"/>
      </w:pPr>
      <w:r>
        <w:rPr>
          <w:rFonts w:ascii="Calibri" w:hAnsi="Calibri"/>
          <w:b w:val="0"/>
          <w:i w:val="0"/>
          <w:color w:val="222222"/>
          <w:sz w:val="22"/>
        </w:rPr>
        <w:t>Les transitions sont strictement unidirectionnelles : une image ne peut jamais revenir à un statut antérieur, ce qui garantit la cohérence et la traçabilité du flux. Seules les images parvenues aux statuts labeled, processed ou exported sont éligibles à l'intégration dans un dataset. Pour piloter ce processus, le funnel Pipeline visualise les volumes d'images par statut et met immédiatement en évidence les éventuels goulots d'étranglement.</w:t>
      </w:r>
    </w:p>
    <w:p>
      <w:r>
        <w:br w:type="page"/>
      </w:r>
    </w:p>
    <w:p>
      <w:pPr>
        <w:pStyle w:val="Heading1"/>
      </w:pPr>
      <w:r>
        <w:rPr>
          <w:b/>
          <w:color w:val="1A1A2E"/>
          <w:sz w:val="36"/>
        </w:rPr>
        <w:t>5. Extraction de features</w:t>
      </w:r>
    </w:p>
    <w:p>
      <w:pPr>
        <w:pStyle w:val="Heading2"/>
      </w:pPr>
      <w:r>
        <w:rPr>
          <w:b/>
          <w:color w:val="105E8A"/>
          <w:sz w:val="28"/>
        </w:rPr>
        <w:t>5.1 Principe</w:t>
      </w:r>
    </w:p>
    <w:p>
      <w:pPr>
        <w:spacing w:after="120"/>
      </w:pPr>
      <w:r>
        <w:rPr>
          <w:rFonts w:ascii="Calibri" w:hAnsi="Calibri"/>
          <w:b w:val="0"/>
          <w:i w:val="0"/>
          <w:color w:val="222222"/>
          <w:sz w:val="22"/>
        </w:rPr>
        <w:t>À chaque upload, le backend extrait automatiquement un vecteur de 7 caractéristiques numériques via sharp (Node.js). Ce vecteur constitue l'entrée du modèle ML, sans intervention humaine.</w:t>
      </w:r>
    </w:p>
    <w:p>
      <w:pPr>
        <w:pStyle w:val="Heading2"/>
      </w:pPr>
      <w:r>
        <w:rPr>
          <w:b/>
          <w:color w:val="105E8A"/>
          <w:sz w:val="28"/>
        </w:rPr>
        <w:t>5.2 Features extraites</w:t>
      </w:r>
    </w:p>
    <w:tbl>
      <w:tblPr>
        <w:tblStyle w:val="TableGrid"/>
        <w:tblW w:type="auto" w:w="0"/>
        <w:tblLook w:firstColumn="1" w:firstRow="1" w:lastColumn="0" w:lastRow="0" w:noHBand="0" w:noVBand="1" w:val="04A0"/>
      </w:tblPr>
      <w:tblGrid>
        <w:gridCol w:w="2337"/>
        <w:gridCol w:w="2337"/>
        <w:gridCol w:w="2337"/>
        <w:gridCol w:w="2337"/>
      </w:tblGrid>
      <w:tr>
        <w:tc>
          <w:tcPr>
            <w:tcW w:type="dxa" w:w="2337"/>
            <w:shd w:val="clear" w:color="auto" w:fill="105E8A"/>
          </w:tcPr>
          <w:p>
            <w:r>
              <w:rPr>
                <w:b/>
                <w:color w:val="FFFFFF"/>
                <w:sz w:val="22"/>
              </w:rPr>
              <w:t>Index</w:t>
            </w:r>
          </w:p>
        </w:tc>
        <w:tc>
          <w:tcPr>
            <w:tcW w:type="dxa" w:w="2337"/>
            <w:shd w:val="clear" w:color="auto" w:fill="105E8A"/>
          </w:tcPr>
          <w:p>
            <w:r>
              <w:rPr>
                <w:b/>
                <w:color w:val="FFFFFF"/>
                <w:sz w:val="22"/>
              </w:rPr>
              <w:t>Feature</w:t>
            </w:r>
          </w:p>
        </w:tc>
        <w:tc>
          <w:tcPr>
            <w:tcW w:type="dxa" w:w="2337"/>
            <w:shd w:val="clear" w:color="auto" w:fill="105E8A"/>
          </w:tcPr>
          <w:p>
            <w:r>
              <w:rPr>
                <w:b/>
                <w:color w:val="FFFFFF"/>
                <w:sz w:val="22"/>
              </w:rPr>
              <w:t>Description</w:t>
            </w:r>
          </w:p>
        </w:tc>
        <w:tc>
          <w:tcPr>
            <w:tcW w:type="dxa" w:w="2337"/>
            <w:shd w:val="clear" w:color="auto" w:fill="105E8A"/>
          </w:tcPr>
          <w:p>
            <w:r>
              <w:rPr>
                <w:b/>
                <w:color w:val="FFFFFF"/>
                <w:sz w:val="22"/>
              </w:rPr>
              <w:t>Exemple</w:t>
            </w:r>
          </w:p>
        </w:tc>
      </w:tr>
      <w:tr>
        <w:tc>
          <w:tcPr>
            <w:tcW w:type="dxa" w:w="2337"/>
            <w:shd w:val="clear" w:color="auto" w:fill="FFFFFF"/>
          </w:tcPr>
          <w:p>
            <w:r>
              <w:rPr>
                <w:sz w:val="20"/>
              </w:rPr>
              <w:t>0</w:t>
            </w:r>
          </w:p>
        </w:tc>
        <w:tc>
          <w:tcPr>
            <w:tcW w:type="dxa" w:w="2337"/>
            <w:shd w:val="clear" w:color="auto" w:fill="FFFFFF"/>
          </w:tcPr>
          <w:p>
            <w:r>
              <w:rPr>
                <w:sz w:val="20"/>
              </w:rPr>
              <w:t>width</w:t>
            </w:r>
          </w:p>
        </w:tc>
        <w:tc>
          <w:tcPr>
            <w:tcW w:type="dxa" w:w="2337"/>
            <w:shd w:val="clear" w:color="auto" w:fill="FFFFFF"/>
          </w:tcPr>
          <w:p>
            <w:r>
              <w:rPr>
                <w:sz w:val="20"/>
              </w:rPr>
              <w:t>Largeur en pixels</w:t>
            </w:r>
          </w:p>
        </w:tc>
        <w:tc>
          <w:tcPr>
            <w:tcW w:type="dxa" w:w="2337"/>
            <w:shd w:val="clear" w:color="auto" w:fill="FFFFFF"/>
          </w:tcPr>
          <w:p>
            <w:r>
              <w:rPr>
                <w:sz w:val="20"/>
              </w:rPr>
              <w:t>1080</w:t>
            </w:r>
          </w:p>
        </w:tc>
      </w:tr>
      <w:tr>
        <w:tc>
          <w:tcPr>
            <w:tcW w:type="dxa" w:w="2337"/>
            <w:shd w:val="clear" w:color="auto" w:fill="EEF4F8"/>
          </w:tcPr>
          <w:p>
            <w:r>
              <w:rPr>
                <w:sz w:val="20"/>
              </w:rPr>
              <w:t>1</w:t>
            </w:r>
          </w:p>
        </w:tc>
        <w:tc>
          <w:tcPr>
            <w:tcW w:type="dxa" w:w="2337"/>
            <w:shd w:val="clear" w:color="auto" w:fill="EEF4F8"/>
          </w:tcPr>
          <w:p>
            <w:r>
              <w:rPr>
                <w:sz w:val="20"/>
              </w:rPr>
              <w:t>height</w:t>
            </w:r>
          </w:p>
        </w:tc>
        <w:tc>
          <w:tcPr>
            <w:tcW w:type="dxa" w:w="2337"/>
            <w:shd w:val="clear" w:color="auto" w:fill="EEF4F8"/>
          </w:tcPr>
          <w:p>
            <w:r>
              <w:rPr>
                <w:sz w:val="20"/>
              </w:rPr>
              <w:t>Hauteur en pixels</w:t>
            </w:r>
          </w:p>
        </w:tc>
        <w:tc>
          <w:tcPr>
            <w:tcW w:type="dxa" w:w="2337"/>
            <w:shd w:val="clear" w:color="auto" w:fill="EEF4F8"/>
          </w:tcPr>
          <w:p>
            <w:r>
              <w:rPr>
                <w:sz w:val="20"/>
              </w:rPr>
              <w:t>1350</w:t>
            </w:r>
          </w:p>
        </w:tc>
      </w:tr>
      <w:tr>
        <w:tc>
          <w:tcPr>
            <w:tcW w:type="dxa" w:w="2337"/>
            <w:shd w:val="clear" w:color="auto" w:fill="FFFFFF"/>
          </w:tcPr>
          <w:p>
            <w:r>
              <w:rPr>
                <w:sz w:val="20"/>
              </w:rPr>
              <w:t>2</w:t>
            </w:r>
          </w:p>
        </w:tc>
        <w:tc>
          <w:tcPr>
            <w:tcW w:type="dxa" w:w="2337"/>
            <w:shd w:val="clear" w:color="auto" w:fill="FFFFFF"/>
          </w:tcPr>
          <w:p>
            <w:r>
              <w:rPr>
                <w:sz w:val="20"/>
              </w:rPr>
              <w:t>sizeKb</w:t>
            </w:r>
          </w:p>
        </w:tc>
        <w:tc>
          <w:tcPr>
            <w:tcW w:type="dxa" w:w="2337"/>
            <w:shd w:val="clear" w:color="auto" w:fill="FFFFFF"/>
          </w:tcPr>
          <w:p>
            <w:r>
              <w:rPr>
                <w:sz w:val="20"/>
              </w:rPr>
              <w:t>Taille du fichier en Ko</w:t>
            </w:r>
          </w:p>
        </w:tc>
        <w:tc>
          <w:tcPr>
            <w:tcW w:type="dxa" w:w="2337"/>
            <w:shd w:val="clear" w:color="auto" w:fill="FFFFFF"/>
          </w:tcPr>
          <w:p>
            <w:r>
              <w:rPr>
                <w:sz w:val="20"/>
              </w:rPr>
              <w:t>312.4</w:t>
            </w:r>
          </w:p>
        </w:tc>
      </w:tr>
      <w:tr>
        <w:tc>
          <w:tcPr>
            <w:tcW w:type="dxa" w:w="2337"/>
            <w:shd w:val="clear" w:color="auto" w:fill="EEF4F8"/>
          </w:tcPr>
          <w:p>
            <w:r>
              <w:rPr>
                <w:sz w:val="20"/>
              </w:rPr>
              <w:t>3</w:t>
            </w:r>
          </w:p>
        </w:tc>
        <w:tc>
          <w:tcPr>
            <w:tcW w:type="dxa" w:w="2337"/>
            <w:shd w:val="clear" w:color="auto" w:fill="EEF4F8"/>
          </w:tcPr>
          <w:p>
            <w:r>
              <w:rPr>
                <w:sz w:val="20"/>
              </w:rPr>
              <w:t>ratio</w:t>
            </w:r>
          </w:p>
        </w:tc>
        <w:tc>
          <w:tcPr>
            <w:tcW w:type="dxa" w:w="2337"/>
            <w:shd w:val="clear" w:color="auto" w:fill="EEF4F8"/>
          </w:tcPr>
          <w:p>
            <w:r>
              <w:rPr>
                <w:sz w:val="20"/>
              </w:rPr>
              <w:t>Largeur / Hauteur</w:t>
            </w:r>
          </w:p>
        </w:tc>
        <w:tc>
          <w:tcPr>
            <w:tcW w:type="dxa" w:w="2337"/>
            <w:shd w:val="clear" w:color="auto" w:fill="EEF4F8"/>
          </w:tcPr>
          <w:p>
            <w:r>
              <w:rPr>
                <w:sz w:val="20"/>
              </w:rPr>
              <w:t>0.80</w:t>
            </w:r>
          </w:p>
        </w:tc>
      </w:tr>
      <w:tr>
        <w:tc>
          <w:tcPr>
            <w:tcW w:type="dxa" w:w="2337"/>
            <w:shd w:val="clear" w:color="auto" w:fill="FFFFFF"/>
          </w:tcPr>
          <w:p>
            <w:r>
              <w:rPr>
                <w:sz w:val="20"/>
              </w:rPr>
              <w:t>4</w:t>
            </w:r>
          </w:p>
        </w:tc>
        <w:tc>
          <w:tcPr>
            <w:tcW w:type="dxa" w:w="2337"/>
            <w:shd w:val="clear" w:color="auto" w:fill="FFFFFF"/>
          </w:tcPr>
          <w:p>
            <w:r>
              <w:rPr>
                <w:sz w:val="20"/>
              </w:rPr>
              <w:t>r</w:t>
            </w:r>
          </w:p>
        </w:tc>
        <w:tc>
          <w:tcPr>
            <w:tcW w:type="dxa" w:w="2337"/>
            <w:shd w:val="clear" w:color="auto" w:fill="FFFFFF"/>
          </w:tcPr>
          <w:p>
            <w:r>
              <w:rPr>
                <w:sz w:val="20"/>
              </w:rPr>
              <w:t>Rouge de la couleur dominante</w:t>
            </w:r>
          </w:p>
        </w:tc>
        <w:tc>
          <w:tcPr>
            <w:tcW w:type="dxa" w:w="2337"/>
            <w:shd w:val="clear" w:color="auto" w:fill="FFFFFF"/>
          </w:tcPr>
          <w:p>
            <w:r>
              <w:rPr>
                <w:sz w:val="20"/>
              </w:rPr>
              <w:t>142</w:t>
            </w:r>
          </w:p>
        </w:tc>
      </w:tr>
      <w:tr>
        <w:tc>
          <w:tcPr>
            <w:tcW w:type="dxa" w:w="2337"/>
            <w:shd w:val="clear" w:color="auto" w:fill="EEF4F8"/>
          </w:tcPr>
          <w:p>
            <w:r>
              <w:rPr>
                <w:sz w:val="20"/>
              </w:rPr>
              <w:t>5</w:t>
            </w:r>
          </w:p>
        </w:tc>
        <w:tc>
          <w:tcPr>
            <w:tcW w:type="dxa" w:w="2337"/>
            <w:shd w:val="clear" w:color="auto" w:fill="EEF4F8"/>
          </w:tcPr>
          <w:p>
            <w:r>
              <w:rPr>
                <w:sz w:val="20"/>
              </w:rPr>
              <w:t>g</w:t>
            </w:r>
          </w:p>
        </w:tc>
        <w:tc>
          <w:tcPr>
            <w:tcW w:type="dxa" w:w="2337"/>
            <w:shd w:val="clear" w:color="auto" w:fill="EEF4F8"/>
          </w:tcPr>
          <w:p>
            <w:r>
              <w:rPr>
                <w:sz w:val="20"/>
              </w:rPr>
              <w:t>Vert de la couleur dominante</w:t>
            </w:r>
          </w:p>
        </w:tc>
        <w:tc>
          <w:tcPr>
            <w:tcW w:type="dxa" w:w="2337"/>
            <w:shd w:val="clear" w:color="auto" w:fill="EEF4F8"/>
          </w:tcPr>
          <w:p>
            <w:r>
              <w:rPr>
                <w:sz w:val="20"/>
              </w:rPr>
              <w:t>98</w:t>
            </w:r>
          </w:p>
        </w:tc>
      </w:tr>
      <w:tr>
        <w:tc>
          <w:tcPr>
            <w:tcW w:type="dxa" w:w="2337"/>
            <w:shd w:val="clear" w:color="auto" w:fill="FFFFFF"/>
          </w:tcPr>
          <w:p>
            <w:r>
              <w:rPr>
                <w:sz w:val="20"/>
              </w:rPr>
              <w:t>6</w:t>
            </w:r>
          </w:p>
        </w:tc>
        <w:tc>
          <w:tcPr>
            <w:tcW w:type="dxa" w:w="2337"/>
            <w:shd w:val="clear" w:color="auto" w:fill="FFFFFF"/>
          </w:tcPr>
          <w:p>
            <w:r>
              <w:rPr>
                <w:sz w:val="20"/>
              </w:rPr>
              <w:t>b</w:t>
            </w:r>
          </w:p>
        </w:tc>
        <w:tc>
          <w:tcPr>
            <w:tcW w:type="dxa" w:w="2337"/>
            <w:shd w:val="clear" w:color="auto" w:fill="FFFFFF"/>
          </w:tcPr>
          <w:p>
            <w:r>
              <w:rPr>
                <w:sz w:val="20"/>
              </w:rPr>
              <w:t>Bleu de la couleur dominante</w:t>
            </w:r>
          </w:p>
        </w:tc>
        <w:tc>
          <w:tcPr>
            <w:tcW w:type="dxa" w:w="2337"/>
            <w:shd w:val="clear" w:color="auto" w:fill="FFFFFF"/>
          </w:tcPr>
          <w:p>
            <w:r>
              <w:rPr>
                <w:sz w:val="20"/>
              </w:rPr>
              <w:t>67</w:t>
            </w:r>
          </w:p>
        </w:tc>
      </w:tr>
    </w:tbl>
    <w:p/>
    <w:p>
      <w:pPr>
        <w:pStyle w:val="Heading2"/>
      </w:pPr>
      <w:r>
        <w:rPr>
          <w:b/>
          <w:color w:val="105E8A"/>
          <w:sz w:val="28"/>
        </w:rPr>
        <w:t>5.3 Implémentation Python</w:t>
      </w:r>
    </w:p>
    <w:p>
      <w:pPr>
        <w:spacing w:before="80" w:after="80"/>
        <w:ind w:left="454"/>
        <w:shd w:val="clear" w:color="auto" w:fill="F2F2F2"/>
      </w:pPr>
      <w:r>
        <w:rPr>
          <w:rFonts w:ascii="Consolas" w:hAnsi="Consolas"/>
          <w:color w:val="222222"/>
          <w:sz w:val="18"/>
        </w:rPr>
        <w:t>def build_features(images):</w:t>
        <w:br/>
        <w:t xml:space="preserve">    rows = []</w:t>
        <w:br/>
        <w:t xml:space="preserve">    for img in images:</w:t>
        <w:br/>
        <w:t xml:space="preserve">        feat  = img.get('features') or {}</w:t>
        <w:br/>
        <w:t xml:space="preserve">        w, h  = feat.get('width',0), feat.get('height',0)</w:t>
        <w:br/>
        <w:t xml:space="preserve">        size  = feat.get('sizeKb',0)</w:t>
        <w:br/>
        <w:t xml:space="preserve">        ratio = w / h if h &gt; 0 else 1.0</w:t>
        <w:br/>
        <w:t xml:space="preserve">        r,g,b = hex_to_rgb(feat.get('dominantColor','#808080'))</w:t>
        <w:br/>
        <w:t xml:space="preserve">        rows.append([w, h, size, ratio, r, g, b])</w:t>
        <w:br/>
        <w:t xml:space="preserve">    return np.array(rows, dtype=float)</w:t>
      </w:r>
    </w:p>
    <w:p>
      <w:r>
        <w:br w:type="page"/>
      </w:r>
    </w:p>
    <w:p>
      <w:pPr>
        <w:pStyle w:val="Heading1"/>
      </w:pPr>
      <w:r>
        <w:rPr>
          <w:b/>
          <w:color w:val="1A1A2E"/>
          <w:sz w:val="36"/>
        </w:rPr>
        <w:t>6. Versioning des datasets</w:t>
      </w:r>
    </w:p>
    <w:p>
      <w:pPr>
        <w:pStyle w:val="Heading2"/>
      </w:pPr>
      <w:r>
        <w:rPr>
          <w:b/>
          <w:color w:val="105E8A"/>
          <w:sz w:val="28"/>
        </w:rPr>
        <w:t>6.1 Principe</w:t>
      </w:r>
    </w:p>
    <w:p>
      <w:pPr>
        <w:spacing w:after="120"/>
      </w:pPr>
      <w:r>
        <w:rPr>
          <w:rFonts w:ascii="Calibri" w:hAnsi="Calibri"/>
          <w:b w:val="0"/>
          <w:i w:val="0"/>
          <w:color w:val="222222"/>
          <w:sz w:val="22"/>
        </w:rPr>
        <w:t>Le versioning repose sur des snapshots immuables : à un instant T, toutes les images éligibles sont capturées dans une version numérotée qui ne change jamais — garantissant la reproductibilité des entraînements.</w:t>
      </w:r>
    </w:p>
    <w:p>
      <w:pPr>
        <w:pStyle w:val="Heading2"/>
      </w:pPr>
      <w:r>
        <w:rPr>
          <w:b/>
          <w:color w:val="105E8A"/>
          <w:sz w:val="28"/>
        </w:rPr>
        <w:t>6.2 Mécanisme de création</w:t>
      </w:r>
    </w:p>
    <w:p>
      <w:pPr>
        <w:spacing w:after="120"/>
      </w:pPr>
      <w:r>
        <w:rPr>
          <w:rFonts w:ascii="Calibri" w:hAnsi="Calibri"/>
          <w:b w:val="0"/>
          <w:i w:val="0"/>
          <w:color w:val="222222"/>
          <w:sz w:val="22"/>
        </w:rPr>
        <w:t>La création d'une version suit un enchaînement simple depuis l'interface d'administration. L'administrateur déclenche l'opération via le bouton « Créer une version ». Le backend identifie alors automatiquement les images éligibles (statuts labeled, processed ou exported) et génère un document DatasetVersion comportant un numéro incrémental, la liste des imageIds, les labelsIncluded et le imageCount correspondant. Pour finir, les images ainsi capturées passent au statut exported et reçoivent le tag de la version créée, scellant définitivement leur appartenance au snapshot.</w:t>
      </w:r>
    </w:p>
    <w:p>
      <w:pPr>
        <w:pStyle w:val="Heading2"/>
      </w:pPr>
      <w:r>
        <w:rPr>
          <w:b/>
          <w:color w:val="105E8A"/>
          <w:sz w:val="28"/>
        </w:rPr>
        <w:t>6.3 Structure du JSON exporté</w:t>
      </w:r>
    </w:p>
    <w:p>
      <w:pPr>
        <w:spacing w:before="80" w:after="80"/>
        <w:ind w:left="454"/>
        <w:shd w:val="clear" w:color="auto" w:fill="F2F2F2"/>
      </w:pPr>
      <w:r>
        <w:rPr>
          <w:rFonts w:ascii="Consolas" w:hAnsi="Consolas"/>
          <w:color w:val="222222"/>
          <w:sz w:val="18"/>
        </w:rPr>
        <w:t>{</w:t>
        <w:br/>
        <w:t xml:space="preserve">  "version": "v1", "createdAt": "2026-04-13T10:20:16Z", "imageCount": 9,</w:t>
        <w:br/>
        <w:t xml:space="preserve">  "labelsIncluded": ["burst-fade","taper","barbe","afro","dégradé", ...],</w:t>
        <w:br/>
        <w:t xml:space="preserve">  "images": [</w:t>
        <w:br/>
        <w:t xml:space="preserve">    { "id":"...", "labels":["burst-fade","adulte","après"],</w:t>
        <w:br/>
        <w:t xml:space="preserve">      "features": {"width":705,"height":921,"sizeKb":677,"dominantColor":"#686878"} }</w:t>
        <w:br/>
        <w:t xml:space="preserve">  ]</w:t>
        <w:br/>
        <w:t>}</w:t>
      </w:r>
    </w:p>
    <w:p>
      <w:r>
        <w:br w:type="page"/>
      </w:r>
    </w:p>
    <w:p>
      <w:pPr>
        <w:pStyle w:val="Heading1"/>
      </w:pPr>
      <w:r>
        <w:rPr>
          <w:b/>
          <w:color w:val="1A1A2E"/>
          <w:sz w:val="36"/>
        </w:rPr>
        <w:t>7. Entraînement du modèle</w:t>
      </w:r>
    </w:p>
    <w:p>
      <w:pPr>
        <w:pStyle w:val="Heading2"/>
      </w:pPr>
      <w:r>
        <w:rPr>
          <w:b/>
          <w:color w:val="105E8A"/>
          <w:sz w:val="28"/>
        </w:rPr>
        <w:t>7.1 Algorithme choisi</w:t>
      </w:r>
    </w:p>
    <w:p>
      <w:pPr>
        <w:spacing w:after="120"/>
      </w:pPr>
      <w:r>
        <w:rPr>
          <w:rFonts w:ascii="Calibri" w:hAnsi="Calibri"/>
          <w:b w:val="0"/>
          <w:i w:val="0"/>
          <w:color w:val="222222"/>
          <w:sz w:val="22"/>
        </w:rPr>
        <w:t>Le classificateur est un RandomForest multi-label (scikit-learn). La stratégie OneVsRestClassifier traite indépendamment chaque label : une image peut en porter plusieurs (ex : fade + barbe + adulte).</w:t>
      </w:r>
    </w:p>
    <w:p>
      <w:pPr>
        <w:pStyle w:val="Heading2"/>
      </w:pPr>
      <w:r>
        <w:rPr>
          <w:b/>
          <w:color w:val="105E8A"/>
          <w:sz w:val="28"/>
        </w:rPr>
        <w:t>7.2 Pipeline d'entraînement</w:t>
      </w:r>
    </w:p>
    <w:p>
      <w:pPr>
        <w:spacing w:before="120"/>
        <w:jc w:val="center"/>
      </w:pPr>
      <w:r>
        <w:drawing>
          <wp:inline xmlns:a="http://schemas.openxmlformats.org/drawingml/2006/main" xmlns:pic="http://schemas.openxmlformats.org/drawingml/2006/picture">
            <wp:extent cx="3420000" cy="4634789"/>
            <wp:docPr id="4" name="Picture 4"/>
            <wp:cNvGraphicFramePr>
              <a:graphicFrameLocks noChangeAspect="1"/>
            </wp:cNvGraphicFramePr>
            <a:graphic>
              <a:graphicData uri="http://schemas.openxmlformats.org/drawingml/2006/picture">
                <pic:pic>
                  <pic:nvPicPr>
                    <pic:cNvPr id="0" name="ml_flow.png"/>
                    <pic:cNvPicPr/>
                  </pic:nvPicPr>
                  <pic:blipFill>
                    <a:blip r:embed="rId12"/>
                    <a:stretch>
                      <a:fillRect/>
                    </a:stretch>
                  </pic:blipFill>
                  <pic:spPr>
                    <a:xfrm>
                      <a:off x="0" y="0"/>
                      <a:ext cx="3420000" cy="4634789"/>
                    </a:xfrm>
                    <a:prstGeom prst="rect"/>
                  </pic:spPr>
                </pic:pic>
              </a:graphicData>
            </a:graphic>
          </wp:inline>
        </w:drawing>
      </w:r>
    </w:p>
    <w:p>
      <w:pPr>
        <w:spacing w:after="160"/>
        <w:jc w:val="center"/>
      </w:pPr>
      <w:r>
        <w:rPr>
          <w:rFonts w:ascii="Calibri" w:hAnsi="Calibri"/>
          <w:b w:val="0"/>
          <w:i/>
          <w:color w:val="555555"/>
          <w:sz w:val="18"/>
        </w:rPr>
        <w:t>Figure 4 — Chaîne d'entraînement de train.py</w:t>
      </w:r>
    </w:p>
    <w:p>
      <w:pPr>
        <w:pStyle w:val="Heading2"/>
      </w:pPr>
      <w:r>
        <w:rPr>
          <w:b/>
          <w:color w:val="105E8A"/>
          <w:sz w:val="28"/>
        </w:rPr>
        <w:t>7.3 Paramètres</w:t>
      </w:r>
    </w:p>
    <w:tbl>
      <w:tblPr>
        <w:tblStyle w:val="TableGrid"/>
        <w:tblW w:type="auto" w:w="0"/>
        <w:tblLook w:firstColumn="1" w:firstRow="1" w:lastColumn="0" w:lastRow="0" w:noHBand="0" w:noVBand="1" w:val="04A0"/>
      </w:tblPr>
      <w:tblGrid>
        <w:gridCol w:w="3116"/>
        <w:gridCol w:w="3116"/>
        <w:gridCol w:w="3116"/>
      </w:tblGrid>
      <w:tr>
        <w:tc>
          <w:tcPr>
            <w:tcW w:type="dxa" w:w="3116"/>
            <w:shd w:val="clear" w:color="auto" w:fill="105E8A"/>
          </w:tcPr>
          <w:p>
            <w:r>
              <w:rPr>
                <w:b/>
                <w:color w:val="FFFFFF"/>
                <w:sz w:val="22"/>
              </w:rPr>
              <w:t>Paramètre</w:t>
            </w:r>
          </w:p>
        </w:tc>
        <w:tc>
          <w:tcPr>
            <w:tcW w:type="dxa" w:w="3116"/>
            <w:shd w:val="clear" w:color="auto" w:fill="105E8A"/>
          </w:tcPr>
          <w:p>
            <w:r>
              <w:rPr>
                <w:b/>
                <w:color w:val="FFFFFF"/>
                <w:sz w:val="22"/>
              </w:rPr>
              <w:t>Valeur</w:t>
            </w:r>
          </w:p>
        </w:tc>
        <w:tc>
          <w:tcPr>
            <w:tcW w:type="dxa" w:w="3116"/>
            <w:shd w:val="clear" w:color="auto" w:fill="105E8A"/>
          </w:tcPr>
          <w:p>
            <w:r>
              <w:rPr>
                <w:b/>
                <w:color w:val="FFFFFF"/>
                <w:sz w:val="22"/>
              </w:rPr>
              <w:t>Justification</w:t>
            </w:r>
          </w:p>
        </w:tc>
      </w:tr>
      <w:tr>
        <w:tc>
          <w:tcPr>
            <w:tcW w:type="dxa" w:w="3116"/>
            <w:shd w:val="clear" w:color="auto" w:fill="FFFFFF"/>
          </w:tcPr>
          <w:p>
            <w:r>
              <w:rPr>
                <w:sz w:val="20"/>
              </w:rPr>
              <w:t>n_estimators</w:t>
            </w:r>
          </w:p>
        </w:tc>
        <w:tc>
          <w:tcPr>
            <w:tcW w:type="dxa" w:w="3116"/>
            <w:shd w:val="clear" w:color="auto" w:fill="FFFFFF"/>
          </w:tcPr>
          <w:p>
            <w:r>
              <w:rPr>
                <w:sz w:val="20"/>
              </w:rPr>
              <w:t>100</w:t>
            </w:r>
          </w:p>
        </w:tc>
        <w:tc>
          <w:tcPr>
            <w:tcW w:type="dxa" w:w="3116"/>
            <w:shd w:val="clear" w:color="auto" w:fill="FFFFFF"/>
          </w:tcPr>
          <w:p>
            <w:r>
              <w:rPr>
                <w:sz w:val="20"/>
              </w:rPr>
              <w:t>Compromis précision / vitesse</w:t>
            </w:r>
          </w:p>
        </w:tc>
      </w:tr>
      <w:tr>
        <w:tc>
          <w:tcPr>
            <w:tcW w:type="dxa" w:w="3116"/>
            <w:shd w:val="clear" w:color="auto" w:fill="EEF4F8"/>
          </w:tcPr>
          <w:p>
            <w:r>
              <w:rPr>
                <w:sz w:val="20"/>
              </w:rPr>
              <w:t>test_size</w:t>
            </w:r>
          </w:p>
        </w:tc>
        <w:tc>
          <w:tcPr>
            <w:tcW w:type="dxa" w:w="3116"/>
            <w:shd w:val="clear" w:color="auto" w:fill="EEF4F8"/>
          </w:tcPr>
          <w:p>
            <w:r>
              <w:rPr>
                <w:sz w:val="20"/>
              </w:rPr>
              <w:t>0.2</w:t>
            </w:r>
          </w:p>
        </w:tc>
        <w:tc>
          <w:tcPr>
            <w:tcW w:type="dxa" w:w="3116"/>
            <w:shd w:val="clear" w:color="auto" w:fill="EEF4F8"/>
          </w:tcPr>
          <w:p>
            <w:r>
              <w:rPr>
                <w:sz w:val="20"/>
              </w:rPr>
              <w:t>Split 80/20 standard</w:t>
            </w:r>
          </w:p>
        </w:tc>
      </w:tr>
      <w:tr>
        <w:tc>
          <w:tcPr>
            <w:tcW w:type="dxa" w:w="3116"/>
            <w:shd w:val="clear" w:color="auto" w:fill="FFFFFF"/>
          </w:tcPr>
          <w:p>
            <w:r>
              <w:rPr>
                <w:sz w:val="20"/>
              </w:rPr>
              <w:t>random_state</w:t>
            </w:r>
          </w:p>
        </w:tc>
        <w:tc>
          <w:tcPr>
            <w:tcW w:type="dxa" w:w="3116"/>
            <w:shd w:val="clear" w:color="auto" w:fill="FFFFFF"/>
          </w:tcPr>
          <w:p>
            <w:r>
              <w:rPr>
                <w:sz w:val="20"/>
              </w:rPr>
              <w:t>42</w:t>
            </w:r>
          </w:p>
        </w:tc>
        <w:tc>
          <w:tcPr>
            <w:tcW w:type="dxa" w:w="3116"/>
            <w:shd w:val="clear" w:color="auto" w:fill="FFFFFF"/>
          </w:tcPr>
          <w:p>
            <w:r>
              <w:rPr>
                <w:sz w:val="20"/>
              </w:rPr>
              <w:t>Reproductibilité</w:t>
            </w:r>
          </w:p>
        </w:tc>
      </w:tr>
      <w:tr>
        <w:tc>
          <w:tcPr>
            <w:tcW w:type="dxa" w:w="3116"/>
            <w:shd w:val="clear" w:color="auto" w:fill="EEF4F8"/>
          </w:tcPr>
          <w:p>
            <w:r>
              <w:rPr>
                <w:sz w:val="20"/>
              </w:rPr>
              <w:t>Stratégie</w:t>
            </w:r>
          </w:p>
        </w:tc>
        <w:tc>
          <w:tcPr>
            <w:tcW w:type="dxa" w:w="3116"/>
            <w:shd w:val="clear" w:color="auto" w:fill="EEF4F8"/>
          </w:tcPr>
          <w:p>
            <w:r>
              <w:rPr>
                <w:sz w:val="20"/>
              </w:rPr>
              <w:t>OneVsRest</w:t>
            </w:r>
          </w:p>
        </w:tc>
        <w:tc>
          <w:tcPr>
            <w:tcW w:type="dxa" w:w="3116"/>
            <w:shd w:val="clear" w:color="auto" w:fill="EEF4F8"/>
          </w:tcPr>
          <w:p>
            <w:r>
              <w:rPr>
                <w:sz w:val="20"/>
              </w:rPr>
              <w:t>Indépendance des labels</w:t>
            </w:r>
          </w:p>
        </w:tc>
      </w:tr>
    </w:tbl>
    <w:p/>
    <w:p>
      <w:pPr>
        <w:pStyle w:val="Heading2"/>
      </w:pPr>
      <w:r>
        <w:rPr>
          <w:b/>
          <w:color w:val="105E8A"/>
          <w:sz w:val="28"/>
        </w:rPr>
        <w:t>7.4 Utilisation du modèle</w:t>
      </w:r>
    </w:p>
    <w:p>
      <w:pPr>
        <w:spacing w:before="80" w:after="80"/>
        <w:ind w:left="454"/>
        <w:shd w:val="clear" w:color="auto" w:fill="F2F2F2"/>
      </w:pPr>
      <w:r>
        <w:rPr>
          <w:rFonts w:ascii="Consolas" w:hAnsi="Consolas"/>
          <w:color w:val="222222"/>
          <w:sz w:val="18"/>
        </w:rPr>
        <w:t>import pickle</w:t>
        <w:br/>
        <w:t>model = pickle.load(open('model.pkl','rb'))</w:t>
        <w:br/>
        <w:t>features = [[1080,1350,312.4,0.8,142,98,67]]</w:t>
        <w:br/>
        <w:t>pred   = model['clf'].predict(features)</w:t>
        <w:br/>
        <w:t>labels = model['mlb'].inverse_transform(pred)</w:t>
      </w:r>
    </w:p>
    <w:p>
      <w:r>
        <w:br w:type="page"/>
      </w:r>
    </w:p>
    <w:p>
      <w:pPr>
        <w:pStyle w:val="Heading1"/>
      </w:pPr>
      <w:r>
        <w:rPr>
          <w:b/>
          <w:color w:val="1A1A2E"/>
          <w:sz w:val="36"/>
        </w:rPr>
        <w:t>8. Visualisation &amp; supervision</w:t>
      </w:r>
    </w:p>
    <w:p>
      <w:pPr>
        <w:pStyle w:val="Heading2"/>
      </w:pPr>
      <w:r>
        <w:rPr>
          <w:b/>
          <w:color w:val="105E8A"/>
          <w:sz w:val="28"/>
        </w:rPr>
        <w:t>8.1 Funnel Pipeline</w:t>
      </w:r>
    </w:p>
    <w:p>
      <w:pPr>
        <w:spacing w:after="120"/>
      </w:pPr>
      <w:r>
        <w:rPr>
          <w:rFonts w:ascii="Calibri" w:hAnsi="Calibri"/>
          <w:b w:val="0"/>
          <w:i w:val="0"/>
          <w:color w:val="222222"/>
          <w:sz w:val="22"/>
        </w:rPr>
        <w:t>Un funnel interactif montre le volume d'images par statut. Chaque barre est cliquable et filtre la liste, révélant instantanément les goulots d'étranglement.</w:t>
      </w:r>
    </w:p>
    <w:p>
      <w:pPr>
        <w:pStyle w:val="Heading2"/>
      </w:pPr>
      <w:r>
        <w:rPr>
          <w:b/>
          <w:color w:val="105E8A"/>
          <w:sz w:val="28"/>
        </w:rPr>
        <w:t>8.2 Distribution des labels</w:t>
      </w:r>
    </w:p>
    <w:p>
      <w:pPr>
        <w:spacing w:after="120"/>
      </w:pPr>
      <w:r>
        <w:rPr>
          <w:rFonts w:ascii="Calibri" w:hAnsi="Calibri"/>
          <w:b w:val="0"/>
          <w:i w:val="0"/>
          <w:color w:val="222222"/>
          <w:sz w:val="22"/>
        </w:rPr>
        <w:t>La distribution des labels permet d'identifier les classes sous-représentées — indicateur clé de la qualité du dataset. Exemple sur le dataset v1 :</w:t>
      </w:r>
    </w:p>
    <w:p>
      <w:pPr>
        <w:spacing w:before="120"/>
        <w:jc w:val="center"/>
      </w:pPr>
      <w:r>
        <w:drawing>
          <wp:inline xmlns:a="http://schemas.openxmlformats.org/drawingml/2006/main" xmlns:pic="http://schemas.openxmlformats.org/drawingml/2006/picture">
            <wp:extent cx="4680000" cy="2920976"/>
            <wp:docPr id="5" name="Picture 5"/>
            <wp:cNvGraphicFramePr>
              <a:graphicFrameLocks noChangeAspect="1"/>
            </wp:cNvGraphicFramePr>
            <a:graphic>
              <a:graphicData uri="http://schemas.openxmlformats.org/drawingml/2006/picture">
                <pic:pic>
                  <pic:nvPicPr>
                    <pic:cNvPr id="0" name="labels_dist.png"/>
                    <pic:cNvPicPr/>
                  </pic:nvPicPr>
                  <pic:blipFill>
                    <a:blip r:embed="rId13"/>
                    <a:stretch>
                      <a:fillRect/>
                    </a:stretch>
                  </pic:blipFill>
                  <pic:spPr>
                    <a:xfrm>
                      <a:off x="0" y="0"/>
                      <a:ext cx="4680000" cy="2920976"/>
                    </a:xfrm>
                    <a:prstGeom prst="rect"/>
                  </pic:spPr>
                </pic:pic>
              </a:graphicData>
            </a:graphic>
          </wp:inline>
        </w:drawing>
      </w:r>
    </w:p>
    <w:p>
      <w:pPr>
        <w:spacing w:after="160"/>
        <w:jc w:val="center"/>
      </w:pPr>
      <w:r>
        <w:rPr>
          <w:rFonts w:ascii="Calibri" w:hAnsi="Calibri"/>
          <w:b w:val="0"/>
          <w:i/>
          <w:color w:val="555555"/>
          <w:sz w:val="18"/>
        </w:rPr>
        <w:t>Figure 5 — Distribution réelle des labels du dataset v1</w:t>
      </w:r>
    </w:p>
    <w:p>
      <w:pPr>
        <w:pStyle w:val="Heading2"/>
      </w:pPr>
      <w:r>
        <w:rPr>
          <w:b/>
          <w:color w:val="105E8A"/>
          <w:sz w:val="28"/>
        </w:rPr>
        <w:t>8.3 Croissance &amp; statistiques de versions</w:t>
      </w:r>
    </w:p>
    <w:p>
      <w:pPr>
        <w:spacing w:after="120"/>
      </w:pPr>
      <w:r>
        <w:rPr>
          <w:rFonts w:ascii="Calibri" w:hAnsi="Calibri"/>
          <w:b w:val="0"/>
          <w:i w:val="0"/>
          <w:color w:val="222222"/>
          <w:sz w:val="22"/>
        </w:rPr>
        <w:t>Un graphique de croissance retrace le nombre d'images ajoutées semaine après semaine, sur une fenêtre de huit semaines, donnant une vision claire de la dynamique d'alimentation du dataset. En complément, chaque version est présentée avec ses indicateurs clés — nombre d'images, labels inclus et date de création — et propose un export JSON direct, facilitant la réutilisation immédiate du snapshot.</w:t>
      </w:r>
    </w:p>
    <w:p>
      <w:r>
        <w:br w:type="page"/>
      </w:r>
    </w:p>
    <w:p>
      <w:pPr>
        <w:pStyle w:val="Heading1"/>
      </w:pPr>
      <w:r>
        <w:rPr>
          <w:b/>
          <w:color w:val="1A1A2E"/>
          <w:sz w:val="36"/>
        </w:rPr>
        <w:t>9. Recommandation client par IA</w:t>
      </w:r>
    </w:p>
    <w:p>
      <w:pPr>
        <w:pStyle w:val="Heading2"/>
      </w:pPr>
      <w:r>
        <w:rPr>
          <w:b/>
          <w:color w:val="105E8A"/>
          <w:sz w:val="28"/>
        </w:rPr>
        <w:t>9.1 Principe</w:t>
      </w:r>
    </w:p>
    <w:p>
      <w:pPr>
        <w:spacing w:after="120"/>
      </w:pPr>
      <w:r>
        <w:rPr>
          <w:rFonts w:ascii="Calibri" w:hAnsi="Calibri"/>
          <w:b w:val="0"/>
          <w:i w:val="0"/>
          <w:color w:val="222222"/>
          <w:sz w:val="22"/>
        </w:rPr>
        <w:t>La page « Ma Coupe Idéale » fournit une recommandation personnalisée à partir du visage du client. L'analyse est réalisée entièrement dans le navigateur via MediaPipe — aucune donnée n'est transmise à un serveur externe.</w:t>
      </w:r>
    </w:p>
    <w:p>
      <w:pPr>
        <w:spacing w:before="120"/>
        <w:jc w:val="center"/>
      </w:pPr>
      <w:r>
        <w:drawing>
          <wp:inline xmlns:a="http://schemas.openxmlformats.org/drawingml/2006/main" xmlns:pic="http://schemas.openxmlformats.org/drawingml/2006/picture">
            <wp:extent cx="5940000" cy="1668925"/>
            <wp:docPr id="6" name="Picture 6"/>
            <wp:cNvGraphicFramePr>
              <a:graphicFrameLocks noChangeAspect="1"/>
            </wp:cNvGraphicFramePr>
            <a:graphic>
              <a:graphicData uri="http://schemas.openxmlformats.org/drawingml/2006/picture">
                <pic:pic>
                  <pic:nvPicPr>
                    <pic:cNvPr id="0" name="reco_flow.png"/>
                    <pic:cNvPicPr/>
                  </pic:nvPicPr>
                  <pic:blipFill>
                    <a:blip r:embed="rId14"/>
                    <a:stretch>
                      <a:fillRect/>
                    </a:stretch>
                  </pic:blipFill>
                  <pic:spPr>
                    <a:xfrm>
                      <a:off x="0" y="0"/>
                      <a:ext cx="5940000" cy="1668925"/>
                    </a:xfrm>
                    <a:prstGeom prst="rect"/>
                  </pic:spPr>
                </pic:pic>
              </a:graphicData>
            </a:graphic>
          </wp:inline>
        </w:drawing>
      </w:r>
    </w:p>
    <w:p>
      <w:pPr>
        <w:spacing w:after="160"/>
        <w:jc w:val="center"/>
      </w:pPr>
      <w:r>
        <w:rPr>
          <w:rFonts w:ascii="Calibri" w:hAnsi="Calibri"/>
          <w:b w:val="0"/>
          <w:i/>
          <w:color w:val="555555"/>
          <w:sz w:val="18"/>
        </w:rPr>
        <w:t>Figure 6 — Parcours de recommandation client (in-browser)</w:t>
      </w:r>
    </w:p>
    <w:p>
      <w:pPr>
        <w:pStyle w:val="Heading2"/>
      </w:pPr>
      <w:r>
        <w:rPr>
          <w:b/>
          <w:color w:val="105E8A"/>
          <w:sz w:val="28"/>
        </w:rPr>
        <w:t>9.2 Détection de la forme du visage</w:t>
      </w:r>
    </w:p>
    <w:p>
      <w:pPr>
        <w:spacing w:after="120"/>
      </w:pPr>
      <w:r>
        <w:rPr>
          <w:rFonts w:ascii="Calibri" w:hAnsi="Calibri"/>
          <w:b w:val="0"/>
          <w:i w:val="0"/>
          <w:color w:val="222222"/>
          <w:sz w:val="22"/>
        </w:rPr>
        <w:t>MediaPipe Face Landmarker détecte 468 points de repère. Les proportions calculées :</w:t>
      </w:r>
    </w:p>
    <w:tbl>
      <w:tblPr>
        <w:tblStyle w:val="TableGrid"/>
        <w:tblW w:type="auto" w:w="0"/>
        <w:tblLook w:firstColumn="1" w:firstRow="1" w:lastColumn="0" w:lastRow="0" w:noHBand="0" w:noVBand="1" w:val="04A0"/>
      </w:tblPr>
      <w:tblGrid>
        <w:gridCol w:w="3116"/>
        <w:gridCol w:w="3116"/>
        <w:gridCol w:w="3116"/>
      </w:tblGrid>
      <w:tr>
        <w:tc>
          <w:tcPr>
            <w:tcW w:type="dxa" w:w="3116"/>
            <w:shd w:val="clear" w:color="auto" w:fill="105E8A"/>
          </w:tcPr>
          <w:p>
            <w:r>
              <w:rPr>
                <w:b/>
                <w:color w:val="FFFFFF"/>
                <w:sz w:val="22"/>
              </w:rPr>
              <w:t>Mesure</w:t>
            </w:r>
          </w:p>
        </w:tc>
        <w:tc>
          <w:tcPr>
            <w:tcW w:type="dxa" w:w="3116"/>
            <w:shd w:val="clear" w:color="auto" w:fill="105E8A"/>
          </w:tcPr>
          <w:p>
            <w:r>
              <w:rPr>
                <w:b/>
                <w:color w:val="FFFFFF"/>
                <w:sz w:val="22"/>
              </w:rPr>
              <w:t>Landmarks</w:t>
            </w:r>
          </w:p>
        </w:tc>
        <w:tc>
          <w:tcPr>
            <w:tcW w:type="dxa" w:w="3116"/>
            <w:shd w:val="clear" w:color="auto" w:fill="105E8A"/>
          </w:tcPr>
          <w:p>
            <w:r>
              <w:rPr>
                <w:b/>
                <w:color w:val="FFFFFF"/>
                <w:sz w:val="22"/>
              </w:rPr>
              <w:t>Description</w:t>
            </w:r>
          </w:p>
        </w:tc>
      </w:tr>
      <w:tr>
        <w:tc>
          <w:tcPr>
            <w:tcW w:type="dxa" w:w="3116"/>
            <w:shd w:val="clear" w:color="auto" w:fill="FFFFFF"/>
          </w:tcPr>
          <w:p>
            <w:r>
              <w:rPr>
                <w:sz w:val="20"/>
              </w:rPr>
              <w:t>Hauteur du visage</w:t>
            </w:r>
          </w:p>
        </w:tc>
        <w:tc>
          <w:tcPr>
            <w:tcW w:type="dxa" w:w="3116"/>
            <w:shd w:val="clear" w:color="auto" w:fill="FFFFFF"/>
          </w:tcPr>
          <w:p>
            <w:r>
              <w:rPr>
                <w:sz w:val="20"/>
              </w:rPr>
              <w:t>10 → 152</w:t>
            </w:r>
          </w:p>
        </w:tc>
        <w:tc>
          <w:tcPr>
            <w:tcW w:type="dxa" w:w="3116"/>
            <w:shd w:val="clear" w:color="auto" w:fill="FFFFFF"/>
          </w:tcPr>
          <w:p>
            <w:r>
              <w:rPr>
                <w:sz w:val="20"/>
              </w:rPr>
              <w:t>Front → menton</w:t>
            </w:r>
          </w:p>
        </w:tc>
      </w:tr>
      <w:tr>
        <w:tc>
          <w:tcPr>
            <w:tcW w:type="dxa" w:w="3116"/>
            <w:shd w:val="clear" w:color="auto" w:fill="EEF4F8"/>
          </w:tcPr>
          <w:p>
            <w:r>
              <w:rPr>
                <w:sz w:val="20"/>
              </w:rPr>
              <w:t>Largeur pommettes</w:t>
            </w:r>
          </w:p>
        </w:tc>
        <w:tc>
          <w:tcPr>
            <w:tcW w:type="dxa" w:w="3116"/>
            <w:shd w:val="clear" w:color="auto" w:fill="EEF4F8"/>
          </w:tcPr>
          <w:p>
            <w:r>
              <w:rPr>
                <w:sz w:val="20"/>
              </w:rPr>
              <w:t>234 → 454</w:t>
            </w:r>
          </w:p>
        </w:tc>
        <w:tc>
          <w:tcPr>
            <w:tcW w:type="dxa" w:w="3116"/>
            <w:shd w:val="clear" w:color="auto" w:fill="EEF4F8"/>
          </w:tcPr>
          <w:p>
            <w:r>
              <w:rPr>
                <w:sz w:val="20"/>
              </w:rPr>
              <w:t>Point le plus large</w:t>
            </w:r>
          </w:p>
        </w:tc>
      </w:tr>
      <w:tr>
        <w:tc>
          <w:tcPr>
            <w:tcW w:type="dxa" w:w="3116"/>
            <w:shd w:val="clear" w:color="auto" w:fill="FFFFFF"/>
          </w:tcPr>
          <w:p>
            <w:r>
              <w:rPr>
                <w:sz w:val="20"/>
              </w:rPr>
              <w:t>Largeur mâchoire</w:t>
            </w:r>
          </w:p>
        </w:tc>
        <w:tc>
          <w:tcPr>
            <w:tcW w:type="dxa" w:w="3116"/>
            <w:shd w:val="clear" w:color="auto" w:fill="FFFFFF"/>
          </w:tcPr>
          <w:p>
            <w:r>
              <w:rPr>
                <w:sz w:val="20"/>
              </w:rPr>
              <w:t>172 → 397</w:t>
            </w:r>
          </w:p>
        </w:tc>
        <w:tc>
          <w:tcPr>
            <w:tcW w:type="dxa" w:w="3116"/>
            <w:shd w:val="clear" w:color="auto" w:fill="FFFFFF"/>
          </w:tcPr>
          <w:p>
            <w:r>
              <w:rPr>
                <w:sz w:val="20"/>
              </w:rPr>
              <w:t>Ligne mandibulaire</w:t>
            </w:r>
          </w:p>
        </w:tc>
      </w:tr>
      <w:tr>
        <w:tc>
          <w:tcPr>
            <w:tcW w:type="dxa" w:w="3116"/>
            <w:shd w:val="clear" w:color="auto" w:fill="EEF4F8"/>
          </w:tcPr>
          <w:p>
            <w:r>
              <w:rPr>
                <w:sz w:val="20"/>
              </w:rPr>
              <w:t>Largeur front</w:t>
            </w:r>
          </w:p>
        </w:tc>
        <w:tc>
          <w:tcPr>
            <w:tcW w:type="dxa" w:w="3116"/>
            <w:shd w:val="clear" w:color="auto" w:fill="EEF4F8"/>
          </w:tcPr>
          <w:p>
            <w:r>
              <w:rPr>
                <w:sz w:val="20"/>
              </w:rPr>
              <w:t>70 → 300</w:t>
            </w:r>
          </w:p>
        </w:tc>
        <w:tc>
          <w:tcPr>
            <w:tcW w:type="dxa" w:w="3116"/>
            <w:shd w:val="clear" w:color="auto" w:fill="EEF4F8"/>
          </w:tcPr>
          <w:p>
            <w:r>
              <w:rPr>
                <w:sz w:val="20"/>
              </w:rPr>
              <w:t>Tempes</w:t>
            </w:r>
          </w:p>
        </w:tc>
      </w:tr>
    </w:tbl>
    <w:p/>
    <w:p>
      <w:pPr>
        <w:spacing w:before="80" w:after="80"/>
        <w:ind w:left="454"/>
        <w:shd w:val="clear" w:color="auto" w:fill="F2F2F2"/>
      </w:pPr>
      <w:r>
        <w:rPr>
          <w:rFonts w:ascii="Consolas" w:hAnsi="Consolas"/>
          <w:color w:val="222222"/>
          <w:sz w:val="18"/>
        </w:rPr>
        <w:t>ratio    = hauteur / largeur pommettes</w:t>
        <w:br/>
        <w:t>jawRatio = largeur mâchoire / largeur pommettes</w:t>
        <w:br/>
        <w:t>ratio &gt; 1.60               → Oblongue</w:t>
        <w:br/>
        <w:t>ratio &lt; 1.20 et jaw &gt; 0.85 → Ronde</w:t>
        <w:br/>
        <w:t>front &gt; 1.08 et jaw &lt; 0.72 → Cœur</w:t>
        <w:br/>
        <w:t>jaw &gt; 0.80 et ratio ≤ 1.55 → Carrée</w:t>
        <w:br/>
        <w:t>sinon                       → Ovale</w:t>
      </w:r>
    </w:p>
    <w:p>
      <w:pPr>
        <w:pStyle w:val="Heading2"/>
      </w:pPr>
      <w:r>
        <w:rPr>
          <w:b/>
          <w:color w:val="105E8A"/>
          <w:sz w:val="28"/>
        </w:rPr>
        <w:t>9.3 Détection de la teinte de peau</w:t>
      </w:r>
    </w:p>
    <w:tbl>
      <w:tblPr>
        <w:tblStyle w:val="TableGrid"/>
        <w:tblW w:type="auto" w:w="0"/>
        <w:tblLook w:firstColumn="1" w:firstRow="1" w:lastColumn="0" w:lastRow="0" w:noHBand="0" w:noVBand="1" w:val="04A0"/>
      </w:tblPr>
      <w:tblGrid>
        <w:gridCol w:w="2337"/>
        <w:gridCol w:w="2337"/>
        <w:gridCol w:w="2337"/>
        <w:gridCol w:w="2337"/>
      </w:tblGrid>
      <w:tr>
        <w:tc>
          <w:tcPr>
            <w:tcW w:type="dxa" w:w="2337"/>
            <w:shd w:val="clear" w:color="auto" w:fill="105E8A"/>
          </w:tcPr>
          <w:p>
            <w:r>
              <w:rPr>
                <w:b/>
                <w:color w:val="FFFFFF"/>
                <w:sz w:val="22"/>
              </w:rPr>
              <w:t>Teinte</w:t>
            </w:r>
          </w:p>
        </w:tc>
        <w:tc>
          <w:tcPr>
            <w:tcW w:type="dxa" w:w="2337"/>
            <w:shd w:val="clear" w:color="auto" w:fill="105E8A"/>
          </w:tcPr>
          <w:p>
            <w:r>
              <w:rPr>
                <w:b/>
                <w:color w:val="FFFFFF"/>
                <w:sz w:val="22"/>
              </w:rPr>
              <w:t>Luminosité HSL</w:t>
            </w:r>
          </w:p>
        </w:tc>
        <w:tc>
          <w:tcPr>
            <w:tcW w:type="dxa" w:w="2337"/>
            <w:shd w:val="clear" w:color="auto" w:fill="105E8A"/>
          </w:tcPr>
          <w:p>
            <w:r>
              <w:rPr>
                <w:b/>
                <w:color w:val="FFFFFF"/>
                <w:sz w:val="22"/>
              </w:rPr>
              <w:t>Texture estimée</w:t>
            </w:r>
          </w:p>
        </w:tc>
        <w:tc>
          <w:tcPr>
            <w:tcW w:type="dxa" w:w="2337"/>
            <w:shd w:val="clear" w:color="auto" w:fill="105E8A"/>
          </w:tcPr>
          <w:p>
            <w:r>
              <w:rPr>
                <w:b/>
                <w:color w:val="FFFFFF"/>
                <w:sz w:val="22"/>
              </w:rPr>
              <w:t>Styles exclus</w:t>
            </w:r>
          </w:p>
        </w:tc>
      </w:tr>
      <w:tr>
        <w:tc>
          <w:tcPr>
            <w:tcW w:type="dxa" w:w="2337"/>
            <w:shd w:val="clear" w:color="auto" w:fill="FFFFFF"/>
          </w:tcPr>
          <w:p>
            <w:r>
              <w:rPr>
                <w:sz w:val="20"/>
              </w:rPr>
              <w:t>Clair</w:t>
            </w:r>
          </w:p>
        </w:tc>
        <w:tc>
          <w:tcPr>
            <w:tcW w:type="dxa" w:w="2337"/>
            <w:shd w:val="clear" w:color="auto" w:fill="FFFFFF"/>
          </w:tcPr>
          <w:p>
            <w:r>
              <w:rPr>
                <w:sz w:val="20"/>
              </w:rPr>
              <w:t>&gt; 58 %</w:t>
            </w:r>
          </w:p>
        </w:tc>
        <w:tc>
          <w:tcPr>
            <w:tcW w:type="dxa" w:w="2337"/>
            <w:shd w:val="clear" w:color="auto" w:fill="FFFFFF"/>
          </w:tcPr>
          <w:p>
            <w:r>
              <w:rPr>
                <w:sz w:val="20"/>
              </w:rPr>
              <w:t>Lisses à ondulés</w:t>
            </w:r>
          </w:p>
        </w:tc>
        <w:tc>
          <w:tcPr>
            <w:tcW w:type="dxa" w:w="2337"/>
            <w:shd w:val="clear" w:color="auto" w:fill="FFFFFF"/>
          </w:tcPr>
          <w:p>
            <w:r>
              <w:rPr>
                <w:sz w:val="20"/>
              </w:rPr>
              <w:t>afro, tresse</w:t>
            </w:r>
          </w:p>
        </w:tc>
      </w:tr>
      <w:tr>
        <w:tc>
          <w:tcPr>
            <w:tcW w:type="dxa" w:w="2337"/>
            <w:shd w:val="clear" w:color="auto" w:fill="EEF4F8"/>
          </w:tcPr>
          <w:p>
            <w:r>
              <w:rPr>
                <w:sz w:val="20"/>
              </w:rPr>
              <w:t>Médium</w:t>
            </w:r>
          </w:p>
        </w:tc>
        <w:tc>
          <w:tcPr>
            <w:tcW w:type="dxa" w:w="2337"/>
            <w:shd w:val="clear" w:color="auto" w:fill="EEF4F8"/>
          </w:tcPr>
          <w:p>
            <w:r>
              <w:rPr>
                <w:sz w:val="20"/>
              </w:rPr>
              <w:t>36–58 %</w:t>
            </w:r>
          </w:p>
        </w:tc>
        <w:tc>
          <w:tcPr>
            <w:tcW w:type="dxa" w:w="2337"/>
            <w:shd w:val="clear" w:color="auto" w:fill="EEF4F8"/>
          </w:tcPr>
          <w:p>
            <w:r>
              <w:rPr>
                <w:sz w:val="20"/>
              </w:rPr>
              <w:t>Ondulés à bouclés</w:t>
            </w:r>
          </w:p>
        </w:tc>
        <w:tc>
          <w:tcPr>
            <w:tcW w:type="dxa" w:w="2337"/>
            <w:shd w:val="clear" w:color="auto" w:fill="EEF4F8"/>
          </w:tcPr>
          <w:p>
            <w:r>
              <w:rPr>
                <w:sz w:val="20"/>
              </w:rPr>
              <w:t>aucun</w:t>
            </w:r>
          </w:p>
        </w:tc>
      </w:tr>
      <w:tr>
        <w:tc>
          <w:tcPr>
            <w:tcW w:type="dxa" w:w="2337"/>
            <w:shd w:val="clear" w:color="auto" w:fill="FFFFFF"/>
          </w:tcPr>
          <w:p>
            <w:r>
              <w:rPr>
                <w:sz w:val="20"/>
              </w:rPr>
              <w:t>Foncé</w:t>
            </w:r>
          </w:p>
        </w:tc>
        <w:tc>
          <w:tcPr>
            <w:tcW w:type="dxa" w:w="2337"/>
            <w:shd w:val="clear" w:color="auto" w:fill="FFFFFF"/>
          </w:tcPr>
          <w:p>
            <w:r>
              <w:rPr>
                <w:sz w:val="20"/>
              </w:rPr>
              <w:t>&lt; 36 %</w:t>
            </w:r>
          </w:p>
        </w:tc>
        <w:tc>
          <w:tcPr>
            <w:tcW w:type="dxa" w:w="2337"/>
            <w:shd w:val="clear" w:color="auto" w:fill="FFFFFF"/>
          </w:tcPr>
          <w:p>
            <w:r>
              <w:rPr>
                <w:sz w:val="20"/>
              </w:rPr>
              <w:t>Crépus à bouclés serrés</w:t>
            </w:r>
          </w:p>
        </w:tc>
        <w:tc>
          <w:tcPr>
            <w:tcW w:type="dxa" w:w="2337"/>
            <w:shd w:val="clear" w:color="auto" w:fill="FFFFFF"/>
          </w:tcPr>
          <w:p>
            <w:r>
              <w:rPr>
                <w:sz w:val="20"/>
              </w:rPr>
              <w:t>aucun</w:t>
            </w:r>
          </w:p>
        </w:tc>
      </w:tr>
    </w:tbl>
    <w:p/>
    <w:p>
      <w:r>
        <w:br w:type="page"/>
      </w:r>
    </w:p>
    <w:p>
      <w:pPr>
        <w:pStyle w:val="Heading1"/>
      </w:pPr>
      <w:r>
        <w:rPr>
          <w:b/>
          <w:color w:val="1A1A2E"/>
          <w:sz w:val="36"/>
        </w:rPr>
        <w:t>10. Bonnes pratiques &amp; gouvernance</w:t>
      </w:r>
    </w:p>
    <w:p>
      <w:pPr>
        <w:pStyle w:val="Heading2"/>
      </w:pPr>
      <w:r>
        <w:rPr>
          <w:b/>
          <w:color w:val="105E8A"/>
          <w:sz w:val="28"/>
        </w:rPr>
        <w:t>10.1 Séparation fichiers / métadonnées</w:t>
      </w:r>
    </w:p>
    <w:p>
      <w:pPr>
        <w:spacing w:after="120"/>
      </w:pPr>
      <w:r>
        <w:rPr>
          <w:rFonts w:ascii="Calibri" w:hAnsi="Calibri"/>
          <w:b w:val="0"/>
          <w:i w:val="0"/>
          <w:color w:val="222222"/>
          <w:sz w:val="22"/>
        </w:rPr>
        <w:t>L'architecture distingue nettement le stockage des fichiers de celui des métadonnées : les images sont déposées sur le disque (/uploads/gallery/), tandis que MongoDB conserve l'ensemble des métadonnées associées — statut, labels, features et références. Cette séparation offre une grande souplesse d'évolution : il devient possible de migrer le stockage vers un service S3 ou un CDN sans avoir à modifier la base de données ni la logique métier.</w:t>
      </w:r>
    </w:p>
    <w:p>
      <w:pPr>
        <w:pStyle w:val="Heading2"/>
      </w:pPr>
      <w:r>
        <w:rPr>
          <w:b/>
          <w:color w:val="105E8A"/>
          <w:sz w:val="28"/>
        </w:rPr>
        <w:t>10.2 Versioning immuable</w:t>
      </w:r>
    </w:p>
    <w:p>
      <w:pPr>
        <w:spacing w:after="120"/>
      </w:pPr>
      <w:r>
        <w:rPr>
          <w:rFonts w:ascii="Calibri" w:hAnsi="Calibri"/>
          <w:b w:val="0"/>
          <w:i w:val="0"/>
          <w:color w:val="222222"/>
          <w:sz w:val="22"/>
        </w:rPr>
        <w:t>Les snapshots sont immuables. Relancer train.py sur le même JSON produit exactement le même modèle — reproductibilité et auditabilité garanties.</w:t>
      </w:r>
    </w:p>
    <w:p>
      <w:pPr>
        <w:pStyle w:val="Heading2"/>
      </w:pPr>
      <w:r>
        <w:rPr>
          <w:b/>
          <w:color w:val="105E8A"/>
          <w:sz w:val="28"/>
        </w:rPr>
        <w:t>10.3 Sécurité &amp; protection des données</w:t>
      </w:r>
    </w:p>
    <w:p>
      <w:pPr>
        <w:spacing w:after="120"/>
      </w:pPr>
      <w:r>
        <w:rPr>
          <w:rFonts w:ascii="Calibri" w:hAnsi="Calibri"/>
          <w:b w:val="0"/>
          <w:i w:val="0"/>
          <w:color w:val="222222"/>
          <w:sz w:val="22"/>
        </w:rPr>
        <w:t>La sécurité repose sur une authentification par JWT, complétée par une connexion OAuth2 Google, avec une distinction des rôles entre client et administrateur. Toutes les routes sensibles sont protégées par des Guards NestJS, qui contrôlent systématiquement les droits d'accès. Sur le plan de la protection des données personnelles, l'analyse du visage par MediaPipe s'exécute intégralement dans le navigateur : aucune donnée biométrique n'est transmise à un serveur, ce qui inscrit la solution dans une logique de respect du RGPD dès la conception (privacy by design).</w:t>
      </w:r>
    </w:p>
    <w:p>
      <w:r>
        <w:br w:type="page"/>
      </w:r>
    </w:p>
    <w:p>
      <w:pPr>
        <w:pStyle w:val="Heading1"/>
      </w:pPr>
      <w:r>
        <w:rPr>
          <w:b/>
          <w:color w:val="1A1A2E"/>
          <w:sz w:val="36"/>
        </w:rPr>
        <w:t>11. Conclusion &amp; perspectives</w:t>
      </w:r>
    </w:p>
    <w:p>
      <w:pPr>
        <w:pStyle w:val="Heading2"/>
      </w:pPr>
      <w:r>
        <w:rPr>
          <w:b/>
          <w:color w:val="105E8A"/>
          <w:sz w:val="28"/>
        </w:rPr>
        <w:t>11.1 Bilan</w:t>
      </w:r>
    </w:p>
    <w:tbl>
      <w:tblPr>
        <w:tblStyle w:val="TableGrid"/>
        <w:tblW w:type="auto" w:w="0"/>
        <w:tblLook w:firstColumn="1" w:firstRow="1" w:lastColumn="0" w:lastRow="0" w:noHBand="0" w:noVBand="1" w:val="04A0"/>
      </w:tblPr>
      <w:tblGrid>
        <w:gridCol w:w="4674"/>
        <w:gridCol w:w="4674"/>
      </w:tblGrid>
      <w:tr>
        <w:tc>
          <w:tcPr>
            <w:tcW w:type="dxa" w:w="4674"/>
            <w:shd w:val="clear" w:color="auto" w:fill="105E8A"/>
          </w:tcPr>
          <w:p>
            <w:r>
              <w:rPr>
                <w:b/>
                <w:color w:val="FFFFFF"/>
                <w:sz w:val="22"/>
              </w:rPr>
              <w:t>Exigence</w:t>
            </w:r>
          </w:p>
        </w:tc>
        <w:tc>
          <w:tcPr>
            <w:tcW w:type="dxa" w:w="4674"/>
            <w:shd w:val="clear" w:color="auto" w:fill="105E8A"/>
          </w:tcPr>
          <w:p>
            <w:r>
              <w:rPr>
                <w:b/>
                <w:color w:val="FFFFFF"/>
                <w:sz w:val="22"/>
              </w:rPr>
              <w:t>Statut</w:t>
            </w:r>
          </w:p>
        </w:tc>
      </w:tr>
      <w:tr>
        <w:tc>
          <w:tcPr>
            <w:tcW w:type="dxa" w:w="4674"/>
            <w:shd w:val="clear" w:color="auto" w:fill="FFFFFF"/>
          </w:tcPr>
          <w:p>
            <w:r>
              <w:rPr>
                <w:sz w:val="20"/>
              </w:rPr>
              <w:t>Architecture détaillée de la plateforme</w:t>
            </w:r>
          </w:p>
        </w:tc>
        <w:tc>
          <w:tcPr>
            <w:tcW w:type="dxa" w:w="4674"/>
            <w:shd w:val="clear" w:color="auto" w:fill="FFFFFF"/>
          </w:tcPr>
          <w:p>
            <w:r>
              <w:rPr>
                <w:sz w:val="20"/>
              </w:rPr>
              <w:t>Réalisé</w:t>
            </w:r>
          </w:p>
        </w:tc>
      </w:tr>
      <w:tr>
        <w:tc>
          <w:tcPr>
            <w:tcW w:type="dxa" w:w="4674"/>
            <w:shd w:val="clear" w:color="auto" w:fill="EEF4F8"/>
          </w:tcPr>
          <w:p>
            <w:r>
              <w:rPr>
                <w:sz w:val="20"/>
              </w:rPr>
              <w:t>Schéma de base de données documenté</w:t>
            </w:r>
          </w:p>
        </w:tc>
        <w:tc>
          <w:tcPr>
            <w:tcW w:type="dxa" w:w="4674"/>
            <w:shd w:val="clear" w:color="auto" w:fill="EEF4F8"/>
          </w:tcPr>
          <w:p>
            <w:r>
              <w:rPr>
                <w:sz w:val="20"/>
              </w:rPr>
              <w:t>Réalisé</w:t>
            </w:r>
          </w:p>
        </w:tc>
      </w:tr>
      <w:tr>
        <w:tc>
          <w:tcPr>
            <w:tcW w:type="dxa" w:w="4674"/>
            <w:shd w:val="clear" w:color="auto" w:fill="FFFFFF"/>
          </w:tcPr>
          <w:p>
            <w:r>
              <w:rPr>
                <w:sz w:val="20"/>
              </w:rPr>
              <w:t>Pipeline de données (5 statuts)</w:t>
            </w:r>
          </w:p>
        </w:tc>
        <w:tc>
          <w:tcPr>
            <w:tcW w:type="dxa" w:w="4674"/>
            <w:shd w:val="clear" w:color="auto" w:fill="FFFFFF"/>
          </w:tcPr>
          <w:p>
            <w:r>
              <w:rPr>
                <w:sz w:val="20"/>
              </w:rPr>
              <w:t>Réalisé</w:t>
            </w:r>
          </w:p>
        </w:tc>
      </w:tr>
      <w:tr>
        <w:tc>
          <w:tcPr>
            <w:tcW w:type="dxa" w:w="4674"/>
            <w:shd w:val="clear" w:color="auto" w:fill="EEF4F8"/>
          </w:tcPr>
          <w:p>
            <w:r>
              <w:rPr>
                <w:sz w:val="20"/>
              </w:rPr>
              <w:t>Extraction de features automatique</w:t>
            </w:r>
          </w:p>
        </w:tc>
        <w:tc>
          <w:tcPr>
            <w:tcW w:type="dxa" w:w="4674"/>
            <w:shd w:val="clear" w:color="auto" w:fill="EEF4F8"/>
          </w:tcPr>
          <w:p>
            <w:r>
              <w:rPr>
                <w:sz w:val="20"/>
              </w:rPr>
              <w:t>Réalisé</w:t>
            </w:r>
          </w:p>
        </w:tc>
      </w:tr>
      <w:tr>
        <w:tc>
          <w:tcPr>
            <w:tcW w:type="dxa" w:w="4674"/>
            <w:shd w:val="clear" w:color="auto" w:fill="FFFFFF"/>
          </w:tcPr>
          <w:p>
            <w:r>
              <w:rPr>
                <w:sz w:val="20"/>
              </w:rPr>
              <w:t>Versioning immuable des datasets</w:t>
            </w:r>
          </w:p>
        </w:tc>
        <w:tc>
          <w:tcPr>
            <w:tcW w:type="dxa" w:w="4674"/>
            <w:shd w:val="clear" w:color="auto" w:fill="FFFFFF"/>
          </w:tcPr>
          <w:p>
            <w:r>
              <w:rPr>
                <w:sz w:val="20"/>
              </w:rPr>
              <w:t>Réalisé</w:t>
            </w:r>
          </w:p>
        </w:tc>
      </w:tr>
      <w:tr>
        <w:tc>
          <w:tcPr>
            <w:tcW w:type="dxa" w:w="4674"/>
            <w:shd w:val="clear" w:color="auto" w:fill="EEF4F8"/>
          </w:tcPr>
          <w:p>
            <w:r>
              <w:rPr>
                <w:sz w:val="20"/>
              </w:rPr>
              <w:t>Alimentation d'un modèle ML</w:t>
            </w:r>
          </w:p>
        </w:tc>
        <w:tc>
          <w:tcPr>
            <w:tcW w:type="dxa" w:w="4674"/>
            <w:shd w:val="clear" w:color="auto" w:fill="EEF4F8"/>
          </w:tcPr>
          <w:p>
            <w:r>
              <w:rPr>
                <w:sz w:val="20"/>
              </w:rPr>
              <w:t>Réalisé</w:t>
            </w:r>
          </w:p>
        </w:tc>
      </w:tr>
      <w:tr>
        <w:tc>
          <w:tcPr>
            <w:tcW w:type="dxa" w:w="4674"/>
            <w:shd w:val="clear" w:color="auto" w:fill="FFFFFF"/>
          </w:tcPr>
          <w:p>
            <w:r>
              <w:rPr>
                <w:sz w:val="20"/>
              </w:rPr>
              <w:t>Visualisation des flux et indicateurs</w:t>
            </w:r>
          </w:p>
        </w:tc>
        <w:tc>
          <w:tcPr>
            <w:tcW w:type="dxa" w:w="4674"/>
            <w:shd w:val="clear" w:color="auto" w:fill="FFFFFF"/>
          </w:tcPr>
          <w:p>
            <w:r>
              <w:rPr>
                <w:sz w:val="20"/>
              </w:rPr>
              <w:t>Réalisé</w:t>
            </w:r>
          </w:p>
        </w:tc>
      </w:tr>
      <w:tr>
        <w:tc>
          <w:tcPr>
            <w:tcW w:type="dxa" w:w="4674"/>
            <w:shd w:val="clear" w:color="auto" w:fill="EEF4F8"/>
          </w:tcPr>
          <w:p>
            <w:r>
              <w:rPr>
                <w:sz w:val="20"/>
              </w:rPr>
              <w:t>Démonstration fonctionnelle</w:t>
            </w:r>
          </w:p>
        </w:tc>
        <w:tc>
          <w:tcPr>
            <w:tcW w:type="dxa" w:w="4674"/>
            <w:shd w:val="clear" w:color="auto" w:fill="EEF4F8"/>
          </w:tcPr>
          <w:p>
            <w:r>
              <w:rPr>
                <w:sz w:val="20"/>
              </w:rPr>
              <w:t>Réalisé</w:t>
            </w:r>
          </w:p>
        </w:tc>
      </w:tr>
      <w:tr>
        <w:tc>
          <w:tcPr>
            <w:tcW w:type="dxa" w:w="4674"/>
            <w:shd w:val="clear" w:color="auto" w:fill="FFFFFF"/>
          </w:tcPr>
          <w:p>
            <w:r>
              <w:rPr>
                <w:sz w:val="20"/>
              </w:rPr>
              <w:t>Séparation fichiers / métadonnées</w:t>
            </w:r>
          </w:p>
        </w:tc>
        <w:tc>
          <w:tcPr>
            <w:tcW w:type="dxa" w:w="4674"/>
            <w:shd w:val="clear" w:color="auto" w:fill="FFFFFF"/>
          </w:tcPr>
          <w:p>
            <w:r>
              <w:rPr>
                <w:sz w:val="20"/>
              </w:rPr>
              <w:t>Réalisé</w:t>
            </w:r>
          </w:p>
        </w:tc>
      </w:tr>
      <w:tr>
        <w:tc>
          <w:tcPr>
            <w:tcW w:type="dxa" w:w="4674"/>
            <w:shd w:val="clear" w:color="auto" w:fill="EEF4F8"/>
          </w:tcPr>
          <w:p>
            <w:r>
              <w:rPr>
                <w:sz w:val="20"/>
              </w:rPr>
              <w:t>Recommandation client IA (bonus)</w:t>
            </w:r>
          </w:p>
        </w:tc>
        <w:tc>
          <w:tcPr>
            <w:tcW w:type="dxa" w:w="4674"/>
            <w:shd w:val="clear" w:color="auto" w:fill="EEF4F8"/>
          </w:tcPr>
          <w:p>
            <w:r>
              <w:rPr>
                <w:sz w:val="20"/>
              </w:rPr>
              <w:t>Réalisé</w:t>
            </w:r>
          </w:p>
        </w:tc>
      </w:tr>
    </w:tbl>
    <w:p/>
    <w:p>
      <w:pPr>
        <w:pStyle w:val="Heading2"/>
      </w:pPr>
      <w:r>
        <w:rPr>
          <w:b/>
          <w:color w:val="105E8A"/>
          <w:sz w:val="28"/>
        </w:rPr>
        <w:t>11.2 Perspectives d'évolution</w:t>
      </w:r>
    </w:p>
    <w:p>
      <w:pPr>
        <w:spacing w:after="120"/>
      </w:pPr>
      <w:r>
        <w:rPr>
          <w:rFonts w:ascii="Calibri" w:hAnsi="Calibri"/>
          <w:b w:val="0"/>
          <w:i w:val="0"/>
          <w:color w:val="222222"/>
          <w:sz w:val="22"/>
        </w:rPr>
        <w:t>Plusieurs axes d'évolution se dégagent naturellement de ce travail. Le premier consisterait à constituer un dataset nettement plus volumineux, avec un objectif d'au moins une centaine d'images par label, afin d'améliorer significativement les performances du modèle. En parallèle, le passage à un stockage cloud (AWS S3 ou Cloudinary) renforcerait la scalabilité de la plateforme.</w:t>
      </w:r>
    </w:p>
    <w:p>
      <w:pPr>
        <w:spacing w:after="120"/>
      </w:pPr>
      <w:r>
        <w:rPr>
          <w:rFonts w:ascii="Calibri" w:hAnsi="Calibri"/>
          <w:b w:val="0"/>
          <w:i w:val="0"/>
          <w:color w:val="222222"/>
          <w:sz w:val="22"/>
        </w:rPr>
        <w:t>Sur le plan applicatif, l'exposition de model.pkl via une API de prédiction en temps réel permettrait d'intégrer directement les recommandations dans le parcours client, tandis qu'un réentraînement automatique déclenché à chaque nouveau dataset rendrait le système véritablement continu. Enfin, à plus long terme, le remplacement du RandomForest par une architecture de type CNN ou Vision Transformer ouvrirait la voie à une analyse fine du contenu visuel des images plutôt que de leurs seules caractéristiques globales.</w:t>
      </w:r>
    </w:p>
    <w:sectPr w:rsidR="00FC693F" w:rsidRPr="0006063C" w:rsidSect="00034616">
      <w:pgSz w:w="12240" w:h="15840"/>
      <w:pgMar w:top="1417" w:right="130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