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20FD897B" w:rsidR="00BD1567" w:rsidRDefault="08EE91F7" w:rsidP="00080769">
      <w:pPr>
        <w:pStyle w:val="Title"/>
        <w:jc w:val="center"/>
        <w:rPr>
          <w:sz w:val="52"/>
          <w:szCs w:val="52"/>
        </w:rPr>
      </w:pPr>
      <w:r w:rsidRPr="00080769">
        <w:rPr>
          <w:sz w:val="52"/>
          <w:szCs w:val="52"/>
        </w:rPr>
        <w:t>README - Lifetime Exposure Data for Japan</w:t>
      </w:r>
    </w:p>
    <w:p w14:paraId="6BE4CCF2" w14:textId="77777777" w:rsidR="00080769" w:rsidRDefault="00080769" w:rsidP="00080769"/>
    <w:p w14:paraId="52955ED1" w14:textId="7587A5CF" w:rsidR="00C953C5" w:rsidRPr="00366634" w:rsidRDefault="00C953C5" w:rsidP="00C953C5">
      <w:pPr>
        <w:pStyle w:val="Heading2"/>
        <w:rPr>
          <w:lang w:val="en-GB"/>
        </w:rPr>
      </w:pPr>
      <w:r w:rsidRPr="00366634">
        <w:rPr>
          <w:lang w:val="en-GB"/>
        </w:rPr>
        <w:t>Content of the dataset</w:t>
      </w:r>
    </w:p>
    <w:p w14:paraId="03F467D2" w14:textId="294B8E0D" w:rsidR="00873DE0" w:rsidRPr="00366634" w:rsidRDefault="00873DE0" w:rsidP="00873DE0">
      <w:pPr>
        <w:rPr>
          <w:lang w:val="en-GB"/>
        </w:rPr>
      </w:pPr>
      <w:r w:rsidRPr="00366634">
        <w:rPr>
          <w:b/>
          <w:bCs/>
          <w:lang w:val="en-GB"/>
        </w:rPr>
        <w:t>Contact author :</w:t>
      </w:r>
      <w:r w:rsidRPr="00366634">
        <w:rPr>
          <w:lang w:val="en-GB"/>
        </w:rPr>
        <w:t xml:space="preserve"> PhD Student Amaury Laridon at Vrije Universiteit Brussel (VUB), Belgium. </w:t>
      </w:r>
      <w:hyperlink r:id="rId5" w:history="1">
        <w:r w:rsidRPr="00366634">
          <w:rPr>
            <w:rStyle w:val="Hyperlink"/>
            <w:lang w:val="en-GB"/>
          </w:rPr>
          <w:t>Amaury.Laridon@vub.be</w:t>
        </w:r>
      </w:hyperlink>
    </w:p>
    <w:p w14:paraId="7584CD0C" w14:textId="77777777" w:rsidR="000E4C5A" w:rsidRPr="000E4C5A" w:rsidRDefault="000E4C5A" w:rsidP="000E4C5A">
      <w:pPr>
        <w:jc w:val="both"/>
        <w:rPr>
          <w:lang w:val="en-GB"/>
        </w:rPr>
      </w:pPr>
      <w:r w:rsidRPr="000E4C5A">
        <w:rPr>
          <w:b/>
          <w:bCs/>
          <w:lang w:val="en-GB"/>
        </w:rPr>
        <w:t xml:space="preserve">This document is intended to provide a clear interpretation of the results delivered to Mr. Sayumi Take, working for </w:t>
      </w:r>
      <w:r w:rsidRPr="000E4C5A">
        <w:rPr>
          <w:b/>
          <w:bCs/>
          <w:i/>
          <w:iCs/>
          <w:lang w:val="en-GB"/>
        </w:rPr>
        <w:t>Nikkei Inc.</w:t>
      </w:r>
    </w:p>
    <w:p w14:paraId="63ADCAF9" w14:textId="237B50EB" w:rsidR="000E4C5A" w:rsidRPr="000E4C5A" w:rsidRDefault="000E4C5A" w:rsidP="000E4C5A">
      <w:pPr>
        <w:jc w:val="both"/>
        <w:rPr>
          <w:lang w:val="en-GB"/>
        </w:rPr>
      </w:pPr>
      <w:r w:rsidRPr="000E4C5A">
        <w:rPr>
          <w:lang w:val="en-GB"/>
        </w:rPr>
        <w:t xml:space="preserve">The transferred </w:t>
      </w:r>
      <w:hyperlink r:id="rId6" w:history="1">
        <w:r w:rsidRPr="00C953C5">
          <w:rPr>
            <w:rStyle w:val="Hyperlink"/>
            <w:lang w:val="en-GB"/>
          </w:rPr>
          <w:t>dataset</w:t>
        </w:r>
      </w:hyperlink>
      <w:r w:rsidRPr="000E4C5A">
        <w:rPr>
          <w:lang w:val="en-GB"/>
        </w:rPr>
        <w:t xml:space="preserve"> contains estimates of </w:t>
      </w:r>
      <w:r w:rsidRPr="000E4C5A">
        <w:rPr>
          <w:b/>
          <w:bCs/>
          <w:lang w:val="en-GB"/>
        </w:rPr>
        <w:t>lifetime exposure</w:t>
      </w:r>
      <w:r w:rsidRPr="000E4C5A">
        <w:rPr>
          <w:lang w:val="en-GB"/>
        </w:rPr>
        <w:t xml:space="preserve"> to six different types of climate extremes for an "average" Japanese person born between 1960 and 2020. The data are also provided for an "average" inhabitant of the </w:t>
      </w:r>
      <w:r w:rsidRPr="000E4C5A">
        <w:rPr>
          <w:b/>
          <w:bCs/>
          <w:lang w:val="en-GB"/>
        </w:rPr>
        <w:t>East Asia and Pacific region</w:t>
      </w:r>
      <w:r w:rsidRPr="000E4C5A">
        <w:rPr>
          <w:lang w:val="en-GB"/>
        </w:rPr>
        <w:t>.</w:t>
      </w:r>
      <w:r w:rsidR="00366634">
        <w:rPr>
          <w:lang w:val="en-GB"/>
        </w:rPr>
        <w:t xml:space="preserve"> </w:t>
      </w:r>
      <w:r w:rsidRPr="000E4C5A">
        <w:rPr>
          <w:lang w:val="en-GB"/>
        </w:rPr>
        <w:t xml:space="preserve">By "average", we mean that both the climate data (e.g. the number of extreme events occurring per year over a given spatial area) and demographic data were </w:t>
      </w:r>
      <w:r w:rsidRPr="000E4C5A">
        <w:rPr>
          <w:b/>
          <w:bCs/>
          <w:lang w:val="en-GB"/>
        </w:rPr>
        <w:t>averaged at the country level</w:t>
      </w:r>
      <w:r w:rsidRPr="000E4C5A">
        <w:rPr>
          <w:lang w:val="en-GB"/>
        </w:rPr>
        <w:t xml:space="preserve"> (for Japan) or </w:t>
      </w:r>
      <w:r w:rsidRPr="000E4C5A">
        <w:rPr>
          <w:b/>
          <w:bCs/>
          <w:lang w:val="en-GB"/>
        </w:rPr>
        <w:t>regional level</w:t>
      </w:r>
      <w:r w:rsidRPr="000E4C5A">
        <w:rPr>
          <w:lang w:val="en-GB"/>
        </w:rPr>
        <w:t xml:space="preserve"> (for East Asia and the Pacific).</w:t>
      </w:r>
    </w:p>
    <w:p w14:paraId="1D50A7A6" w14:textId="1B2738D0" w:rsidR="000E4C5A" w:rsidRPr="000E4C5A" w:rsidRDefault="000E4C5A" w:rsidP="000E4C5A">
      <w:pPr>
        <w:jc w:val="both"/>
        <w:rPr>
          <w:lang w:val="en-GB"/>
        </w:rPr>
      </w:pPr>
      <w:r w:rsidRPr="000E4C5A">
        <w:rPr>
          <w:lang w:val="en-GB"/>
        </w:rPr>
        <w:t>The six climate extremes analysed in this dataset are:</w:t>
      </w:r>
    </w:p>
    <w:p w14:paraId="3A3C5915" w14:textId="7BEE5F9B" w:rsidR="000E4C5A" w:rsidRPr="000E4C5A" w:rsidRDefault="000E4C5A" w:rsidP="000E4C5A">
      <w:pPr>
        <w:pStyle w:val="ListParagraph"/>
        <w:numPr>
          <w:ilvl w:val="0"/>
          <w:numId w:val="4"/>
        </w:numPr>
        <w:ind w:left="360"/>
        <w:jc w:val="both"/>
        <w:rPr>
          <w:lang w:val="fr-BE"/>
        </w:rPr>
      </w:pPr>
      <w:r w:rsidRPr="000E4C5A">
        <w:rPr>
          <w:lang w:val="fr-BE"/>
        </w:rPr>
        <w:t>Heatwaves</w:t>
      </w:r>
    </w:p>
    <w:p w14:paraId="383242EF" w14:textId="447EF1D5" w:rsidR="000E4C5A" w:rsidRPr="000E4C5A" w:rsidRDefault="000E4C5A" w:rsidP="000E4C5A">
      <w:pPr>
        <w:pStyle w:val="ListParagraph"/>
        <w:numPr>
          <w:ilvl w:val="0"/>
          <w:numId w:val="4"/>
        </w:numPr>
        <w:ind w:left="360"/>
        <w:jc w:val="both"/>
        <w:rPr>
          <w:lang w:val="fr-BE"/>
        </w:rPr>
      </w:pPr>
      <w:r w:rsidRPr="000E4C5A">
        <w:rPr>
          <w:lang w:val="fr-BE"/>
        </w:rPr>
        <w:t>Wildfires</w:t>
      </w:r>
    </w:p>
    <w:p w14:paraId="7B3EAF86" w14:textId="6E9F5F71" w:rsidR="000E4C5A" w:rsidRPr="000E4C5A" w:rsidRDefault="000E4C5A" w:rsidP="000E4C5A">
      <w:pPr>
        <w:pStyle w:val="ListParagraph"/>
        <w:numPr>
          <w:ilvl w:val="0"/>
          <w:numId w:val="4"/>
        </w:numPr>
        <w:ind w:left="360"/>
        <w:jc w:val="both"/>
        <w:rPr>
          <w:lang w:val="fr-BE"/>
        </w:rPr>
      </w:pPr>
      <w:r w:rsidRPr="000E4C5A">
        <w:rPr>
          <w:lang w:val="fr-BE"/>
        </w:rPr>
        <w:t>Droughts</w:t>
      </w:r>
    </w:p>
    <w:p w14:paraId="2EE0ACAE" w14:textId="5690DB9A" w:rsidR="000E4C5A" w:rsidRPr="000E4C5A" w:rsidRDefault="000E4C5A" w:rsidP="000E4C5A">
      <w:pPr>
        <w:pStyle w:val="ListParagraph"/>
        <w:numPr>
          <w:ilvl w:val="0"/>
          <w:numId w:val="4"/>
        </w:numPr>
        <w:ind w:left="360"/>
        <w:jc w:val="both"/>
        <w:rPr>
          <w:lang w:val="fr-BE"/>
        </w:rPr>
      </w:pPr>
      <w:r>
        <w:rPr>
          <w:lang w:val="fr-BE"/>
        </w:rPr>
        <w:t>C</w:t>
      </w:r>
      <w:r w:rsidRPr="000E4C5A">
        <w:rPr>
          <w:lang w:val="fr-BE"/>
        </w:rPr>
        <w:t>rop failures</w:t>
      </w:r>
    </w:p>
    <w:p w14:paraId="7C4D5291" w14:textId="2669E85C" w:rsidR="000E4C5A" w:rsidRPr="000E4C5A" w:rsidRDefault="000E4C5A" w:rsidP="000E4C5A">
      <w:pPr>
        <w:pStyle w:val="ListParagraph"/>
        <w:numPr>
          <w:ilvl w:val="0"/>
          <w:numId w:val="4"/>
        </w:numPr>
        <w:ind w:left="360"/>
        <w:jc w:val="both"/>
        <w:rPr>
          <w:lang w:val="fr-BE"/>
        </w:rPr>
      </w:pPr>
      <w:r>
        <w:rPr>
          <w:lang w:val="fr-BE"/>
        </w:rPr>
        <w:t>R</w:t>
      </w:r>
      <w:r w:rsidRPr="000E4C5A">
        <w:rPr>
          <w:lang w:val="fr-BE"/>
        </w:rPr>
        <w:t>iver floods</w:t>
      </w:r>
    </w:p>
    <w:p w14:paraId="3D659031" w14:textId="37CDF3CF" w:rsidR="000E4C5A" w:rsidRPr="000E4C5A" w:rsidRDefault="000E4C5A" w:rsidP="000E4C5A">
      <w:pPr>
        <w:pStyle w:val="ListParagraph"/>
        <w:numPr>
          <w:ilvl w:val="0"/>
          <w:numId w:val="4"/>
        </w:numPr>
        <w:ind w:left="360"/>
        <w:jc w:val="both"/>
        <w:rPr>
          <w:lang w:val="fr-BE"/>
        </w:rPr>
      </w:pPr>
      <w:r>
        <w:rPr>
          <w:lang w:val="fr-BE"/>
        </w:rPr>
        <w:t>T</w:t>
      </w:r>
      <w:r w:rsidRPr="000E4C5A">
        <w:rPr>
          <w:lang w:val="fr-BE"/>
        </w:rPr>
        <w:t>ropical cyclones</w:t>
      </w:r>
    </w:p>
    <w:p w14:paraId="7C598A07" w14:textId="77777777" w:rsidR="000E4C5A" w:rsidRPr="000E4C5A" w:rsidRDefault="000E4C5A" w:rsidP="000E4C5A">
      <w:pPr>
        <w:jc w:val="both"/>
        <w:rPr>
          <w:lang w:val="en-GB"/>
        </w:rPr>
      </w:pPr>
      <w:r w:rsidRPr="000E4C5A">
        <w:rPr>
          <w:lang w:val="en-GB"/>
        </w:rPr>
        <w:t xml:space="preserve">When results are expressed for the East Asia and Pacific region, the following </w:t>
      </w:r>
      <w:r w:rsidRPr="000E4C5A">
        <w:rPr>
          <w:b/>
          <w:bCs/>
          <w:lang w:val="en-GB"/>
        </w:rPr>
        <w:t>26 countries</w:t>
      </w:r>
      <w:r w:rsidRPr="000E4C5A">
        <w:rPr>
          <w:lang w:val="en-GB"/>
        </w:rPr>
        <w:t xml:space="preserve"> are included in the regional average, according to the dataset used:</w:t>
      </w:r>
    </w:p>
    <w:p w14:paraId="54833F2D" w14:textId="3302E4F6" w:rsidR="002F63BA" w:rsidRPr="000E4C5A" w:rsidRDefault="002F63BA" w:rsidP="000E4C5A">
      <w:pPr>
        <w:pStyle w:val="ListParagraph"/>
        <w:numPr>
          <w:ilvl w:val="0"/>
          <w:numId w:val="2"/>
        </w:numPr>
        <w:ind w:left="360"/>
        <w:jc w:val="both"/>
        <w:rPr>
          <w:lang w:val="en-GB"/>
        </w:rPr>
      </w:pPr>
      <w:r w:rsidRPr="000E4C5A">
        <w:rPr>
          <w:lang w:val="en-GB"/>
        </w:rPr>
        <w:t>Australia</w:t>
      </w:r>
      <w:r w:rsidR="000E4C5A" w:rsidRPr="000E4C5A">
        <w:rPr>
          <w:lang w:val="en-GB"/>
        </w:rPr>
        <w:t xml:space="preserve">, </w:t>
      </w:r>
      <w:r w:rsidR="002375CF" w:rsidRPr="000E4C5A">
        <w:rPr>
          <w:lang w:val="en-GB"/>
        </w:rPr>
        <w:t>Brunei Darussalam</w:t>
      </w:r>
      <w:r w:rsidR="000E4C5A" w:rsidRPr="000E4C5A">
        <w:rPr>
          <w:lang w:val="en-GB"/>
        </w:rPr>
        <w:t xml:space="preserve">, </w:t>
      </w:r>
      <w:r w:rsidR="002375CF" w:rsidRPr="000E4C5A">
        <w:rPr>
          <w:lang w:val="en-GB"/>
        </w:rPr>
        <w:t>China</w:t>
      </w:r>
      <w:r w:rsidR="000E4C5A" w:rsidRPr="000E4C5A">
        <w:rPr>
          <w:lang w:val="en-GB"/>
        </w:rPr>
        <w:t xml:space="preserve">, </w:t>
      </w:r>
      <w:r w:rsidR="002375CF" w:rsidRPr="000E4C5A">
        <w:rPr>
          <w:lang w:val="en-GB"/>
        </w:rPr>
        <w:t>Fiji</w:t>
      </w:r>
      <w:r w:rsidR="000E4C5A" w:rsidRPr="000E4C5A">
        <w:rPr>
          <w:lang w:val="en-GB"/>
        </w:rPr>
        <w:t xml:space="preserve">, </w:t>
      </w:r>
      <w:r w:rsidR="002375CF" w:rsidRPr="000E4C5A">
        <w:rPr>
          <w:lang w:val="en-GB"/>
        </w:rPr>
        <w:t>Hong Kong</w:t>
      </w:r>
      <w:r w:rsidR="000E4C5A" w:rsidRPr="000E4C5A">
        <w:rPr>
          <w:lang w:val="en-GB"/>
        </w:rPr>
        <w:t xml:space="preserve">, </w:t>
      </w:r>
      <w:r w:rsidR="002375CF" w:rsidRPr="000E4C5A">
        <w:rPr>
          <w:lang w:val="en-GB"/>
        </w:rPr>
        <w:t>Indonesia</w:t>
      </w:r>
      <w:r w:rsidR="000E4C5A" w:rsidRPr="000E4C5A">
        <w:rPr>
          <w:lang w:val="en-GB"/>
        </w:rPr>
        <w:t xml:space="preserve">, </w:t>
      </w:r>
      <w:r w:rsidR="002375CF" w:rsidRPr="000E4C5A">
        <w:rPr>
          <w:lang w:val="en-GB"/>
        </w:rPr>
        <w:t>Japan</w:t>
      </w:r>
      <w:r w:rsidR="000E4C5A" w:rsidRPr="000E4C5A">
        <w:rPr>
          <w:lang w:val="en-GB"/>
        </w:rPr>
        <w:t xml:space="preserve">, </w:t>
      </w:r>
      <w:r w:rsidR="002375CF" w:rsidRPr="000E4C5A">
        <w:rPr>
          <w:lang w:val="en-GB"/>
        </w:rPr>
        <w:t>Cambodia</w:t>
      </w:r>
      <w:r w:rsidR="000E4C5A" w:rsidRPr="000E4C5A">
        <w:rPr>
          <w:lang w:val="en-GB"/>
        </w:rPr>
        <w:t xml:space="preserve">, </w:t>
      </w:r>
      <w:r w:rsidR="002375CF" w:rsidRPr="000E4C5A">
        <w:rPr>
          <w:lang w:val="en-GB"/>
        </w:rPr>
        <w:t>Kiribati</w:t>
      </w:r>
      <w:r w:rsidR="000E4C5A" w:rsidRPr="000E4C5A">
        <w:rPr>
          <w:lang w:val="en-GB"/>
        </w:rPr>
        <w:t xml:space="preserve">, </w:t>
      </w:r>
      <w:r w:rsidR="002375CF" w:rsidRPr="000E4C5A">
        <w:rPr>
          <w:lang w:val="en-GB"/>
        </w:rPr>
        <w:t>Republic of Korea</w:t>
      </w:r>
      <w:r w:rsidR="000E4C5A" w:rsidRPr="000E4C5A">
        <w:rPr>
          <w:lang w:val="en-GB"/>
        </w:rPr>
        <w:t xml:space="preserve">, </w:t>
      </w:r>
      <w:r w:rsidR="002375CF" w:rsidRPr="000E4C5A">
        <w:rPr>
          <w:lang w:val="en-GB"/>
        </w:rPr>
        <w:t>Lao PDR</w:t>
      </w:r>
      <w:r w:rsidR="000E4C5A" w:rsidRPr="000E4C5A">
        <w:rPr>
          <w:lang w:val="en-GB"/>
        </w:rPr>
        <w:t xml:space="preserve">, </w:t>
      </w:r>
      <w:r w:rsidR="002375CF" w:rsidRPr="000E4C5A">
        <w:rPr>
          <w:lang w:val="en-GB"/>
        </w:rPr>
        <w:t>Myanmar</w:t>
      </w:r>
      <w:r w:rsidR="000E4C5A" w:rsidRPr="000E4C5A">
        <w:rPr>
          <w:lang w:val="en-GB"/>
        </w:rPr>
        <w:t xml:space="preserve">, </w:t>
      </w:r>
      <w:r w:rsidR="002375CF" w:rsidRPr="000E4C5A">
        <w:rPr>
          <w:lang w:val="en-GB"/>
        </w:rPr>
        <w:t>Mongolia</w:t>
      </w:r>
      <w:r w:rsidR="000E4C5A" w:rsidRPr="000E4C5A">
        <w:rPr>
          <w:lang w:val="en-GB"/>
        </w:rPr>
        <w:t xml:space="preserve">, </w:t>
      </w:r>
      <w:r w:rsidR="002375CF" w:rsidRPr="000E4C5A">
        <w:rPr>
          <w:lang w:val="en-GB"/>
        </w:rPr>
        <w:t>Malaysia</w:t>
      </w:r>
      <w:r w:rsidR="000E4C5A" w:rsidRPr="000E4C5A">
        <w:rPr>
          <w:lang w:val="en-GB"/>
        </w:rPr>
        <w:t xml:space="preserve">, </w:t>
      </w:r>
      <w:r w:rsidR="002375CF" w:rsidRPr="000E4C5A">
        <w:rPr>
          <w:lang w:val="en-GB"/>
        </w:rPr>
        <w:t>New Caledonia</w:t>
      </w:r>
      <w:r w:rsidR="000E4C5A" w:rsidRPr="000E4C5A">
        <w:rPr>
          <w:lang w:val="en-GB"/>
        </w:rPr>
        <w:t xml:space="preserve">, </w:t>
      </w:r>
      <w:r w:rsidR="002375CF" w:rsidRPr="000E4C5A">
        <w:rPr>
          <w:lang w:val="en-GB"/>
        </w:rPr>
        <w:t>New Zealand</w:t>
      </w:r>
      <w:r w:rsidR="000E4C5A" w:rsidRPr="000E4C5A">
        <w:rPr>
          <w:lang w:val="en-GB"/>
        </w:rPr>
        <w:t xml:space="preserve">, </w:t>
      </w:r>
      <w:r w:rsidR="002375CF" w:rsidRPr="000E4C5A">
        <w:rPr>
          <w:lang w:val="en-GB"/>
        </w:rPr>
        <w:t>Philippines</w:t>
      </w:r>
      <w:r w:rsidR="000E4C5A" w:rsidRPr="000E4C5A">
        <w:rPr>
          <w:lang w:val="en-GB"/>
        </w:rPr>
        <w:t xml:space="preserve">, </w:t>
      </w:r>
      <w:r w:rsidR="002375CF" w:rsidRPr="000E4C5A">
        <w:rPr>
          <w:lang w:val="en-GB"/>
        </w:rPr>
        <w:t>Papua New Guinea</w:t>
      </w:r>
      <w:r w:rsidR="000E4C5A" w:rsidRPr="000E4C5A">
        <w:rPr>
          <w:lang w:val="en-GB"/>
        </w:rPr>
        <w:t xml:space="preserve">, </w:t>
      </w:r>
      <w:r w:rsidR="002375CF" w:rsidRPr="000E4C5A">
        <w:rPr>
          <w:lang w:val="en-GB"/>
        </w:rPr>
        <w:t>Dem. Rep. Korea</w:t>
      </w:r>
      <w:r w:rsidR="000E4C5A" w:rsidRPr="000E4C5A">
        <w:rPr>
          <w:lang w:val="en-GB"/>
        </w:rPr>
        <w:t xml:space="preserve">, </w:t>
      </w:r>
      <w:r w:rsidR="002375CF" w:rsidRPr="000E4C5A">
        <w:rPr>
          <w:lang w:val="en-GB"/>
        </w:rPr>
        <w:t>French Polynesia</w:t>
      </w:r>
      <w:r w:rsidR="000E4C5A" w:rsidRPr="000E4C5A">
        <w:rPr>
          <w:lang w:val="en-GB"/>
        </w:rPr>
        <w:t xml:space="preserve">, </w:t>
      </w:r>
      <w:r w:rsidR="002375CF" w:rsidRPr="000E4C5A">
        <w:rPr>
          <w:lang w:val="en-GB"/>
        </w:rPr>
        <w:t>Solomon Islands</w:t>
      </w:r>
      <w:r w:rsidR="000E4C5A" w:rsidRPr="000E4C5A">
        <w:rPr>
          <w:lang w:val="en-GB"/>
        </w:rPr>
        <w:t xml:space="preserve">, </w:t>
      </w:r>
      <w:r w:rsidR="002375CF" w:rsidRPr="000E4C5A">
        <w:rPr>
          <w:lang w:val="en-GB"/>
        </w:rPr>
        <w:t>Thailand</w:t>
      </w:r>
      <w:r w:rsidR="000E4C5A" w:rsidRPr="000E4C5A">
        <w:rPr>
          <w:lang w:val="en-GB"/>
        </w:rPr>
        <w:t xml:space="preserve">, </w:t>
      </w:r>
      <w:r w:rsidR="002375CF" w:rsidRPr="000E4C5A">
        <w:rPr>
          <w:lang w:val="en-GB"/>
        </w:rPr>
        <w:t>Timor-Leste</w:t>
      </w:r>
      <w:r w:rsidR="000E4C5A" w:rsidRPr="000E4C5A">
        <w:rPr>
          <w:lang w:val="en-GB"/>
        </w:rPr>
        <w:t xml:space="preserve">, </w:t>
      </w:r>
      <w:r w:rsidR="002375CF" w:rsidRPr="000E4C5A">
        <w:rPr>
          <w:lang w:val="en-GB"/>
        </w:rPr>
        <w:t>Vietnam</w:t>
      </w:r>
      <w:r w:rsidR="000E4C5A" w:rsidRPr="000E4C5A">
        <w:rPr>
          <w:lang w:val="en-GB"/>
        </w:rPr>
        <w:t xml:space="preserve">, </w:t>
      </w:r>
      <w:r w:rsidR="002375CF" w:rsidRPr="000E4C5A">
        <w:rPr>
          <w:lang w:val="en-GB"/>
        </w:rPr>
        <w:t>Vanuatu</w:t>
      </w:r>
      <w:r w:rsidR="000E4C5A" w:rsidRPr="000E4C5A">
        <w:rPr>
          <w:lang w:val="en-GB"/>
        </w:rPr>
        <w:t xml:space="preserve">, </w:t>
      </w:r>
      <w:r w:rsidR="002375CF" w:rsidRPr="000E4C5A">
        <w:rPr>
          <w:lang w:val="en-GB"/>
        </w:rPr>
        <w:t>Samoa</w:t>
      </w:r>
    </w:p>
    <w:p w14:paraId="4CB0DB8D" w14:textId="6DDBA208" w:rsidR="009F29FC" w:rsidRPr="00366634" w:rsidRDefault="009F29FC" w:rsidP="00873DE0">
      <w:pPr>
        <w:rPr>
          <w:lang w:val="en-GB"/>
        </w:rPr>
      </w:pPr>
    </w:p>
    <w:p w14:paraId="42C3DEC5" w14:textId="77777777" w:rsidR="00460FE7" w:rsidRPr="00366634" w:rsidRDefault="00460FE7" w:rsidP="00873DE0">
      <w:pPr>
        <w:rPr>
          <w:lang w:val="en-GB"/>
        </w:rPr>
      </w:pPr>
    </w:p>
    <w:p w14:paraId="6E5B20A8" w14:textId="77777777" w:rsidR="00460FE7" w:rsidRPr="00366634" w:rsidRDefault="00460FE7" w:rsidP="00873DE0">
      <w:pPr>
        <w:rPr>
          <w:lang w:val="en-GB"/>
        </w:rPr>
      </w:pPr>
    </w:p>
    <w:p w14:paraId="74827439" w14:textId="4DFE4228" w:rsidR="002C3951" w:rsidRPr="002C3951" w:rsidRDefault="002C3951" w:rsidP="002C3951">
      <w:pPr>
        <w:pStyle w:val="Heading2"/>
        <w:rPr>
          <w:lang w:val="en-GB"/>
        </w:rPr>
      </w:pPr>
      <w:r w:rsidRPr="002C3951">
        <w:rPr>
          <w:lang w:val="en-GB"/>
        </w:rPr>
        <w:lastRenderedPageBreak/>
        <w:t>How to read the results</w:t>
      </w:r>
    </w:p>
    <w:p w14:paraId="3F8F38CA" w14:textId="77777777" w:rsidR="002C3951" w:rsidRDefault="002C3951" w:rsidP="00873DE0">
      <w:pPr>
        <w:rPr>
          <w:lang w:val="en-GB"/>
        </w:rPr>
      </w:pPr>
    </w:p>
    <w:p w14:paraId="2E6842AB" w14:textId="0C3D1487" w:rsidR="009F29FC" w:rsidRDefault="009F29FC" w:rsidP="009F29FC">
      <w:pPr>
        <w:jc w:val="center"/>
        <w:rPr>
          <w:lang w:val="en-GB"/>
        </w:rPr>
      </w:pPr>
      <w:r w:rsidRPr="009F29FC">
        <w:rPr>
          <w:noProof/>
          <w:lang w:val="en-GB"/>
        </w:rPr>
        <w:drawing>
          <wp:inline distT="0" distB="0" distL="0" distR="0" wp14:anchorId="1E494840" wp14:editId="6E1D3212">
            <wp:extent cx="4214004" cy="2793128"/>
            <wp:effectExtent l="0" t="0" r="0" b="7620"/>
            <wp:docPr id="1218377224" name="Picture 1" descr="A graph of heatwaves in jap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77224" name="Picture 1" descr="A graph of heatwaves in japan&#10;&#10;AI-generated content may be incorrect."/>
                    <pic:cNvPicPr/>
                  </pic:nvPicPr>
                  <pic:blipFill>
                    <a:blip r:embed="rId7"/>
                    <a:stretch>
                      <a:fillRect/>
                    </a:stretch>
                  </pic:blipFill>
                  <pic:spPr>
                    <a:xfrm>
                      <a:off x="0" y="0"/>
                      <a:ext cx="4227963" cy="2802380"/>
                    </a:xfrm>
                    <a:prstGeom prst="rect">
                      <a:avLst/>
                    </a:prstGeom>
                  </pic:spPr>
                </pic:pic>
              </a:graphicData>
            </a:graphic>
          </wp:inline>
        </w:drawing>
      </w:r>
    </w:p>
    <w:p w14:paraId="46432F6E" w14:textId="77777777" w:rsidR="00460FE7" w:rsidRPr="00460FE7" w:rsidRDefault="00460FE7" w:rsidP="00460FE7">
      <w:pPr>
        <w:jc w:val="both"/>
        <w:rPr>
          <w:i/>
          <w:iCs/>
          <w:color w:val="404040" w:themeColor="text1" w:themeTint="BF"/>
          <w:lang w:val="en-GB"/>
        </w:rPr>
      </w:pPr>
      <w:r w:rsidRPr="00460FE7">
        <w:rPr>
          <w:b/>
          <w:bCs/>
          <w:i/>
          <w:iCs/>
          <w:color w:val="404040" w:themeColor="text1" w:themeTint="BF"/>
          <w:lang w:val="en-GB"/>
        </w:rPr>
        <w:t>Figure 1:</w:t>
      </w:r>
      <w:r w:rsidRPr="00460FE7">
        <w:rPr>
          <w:i/>
          <w:iCs/>
          <w:color w:val="404040" w:themeColor="text1" w:themeTint="BF"/>
          <w:lang w:val="en-GB"/>
        </w:rPr>
        <w:t xml:space="preserve"> Under a scenario of 3.5°C global warming by 2100 relative to the pre-industrial period, a child born in 2020 in Japan is projected to experience an average of </w:t>
      </w:r>
      <w:r w:rsidRPr="00460FE7">
        <w:rPr>
          <w:b/>
          <w:bCs/>
          <w:i/>
          <w:iCs/>
          <w:color w:val="404040" w:themeColor="text1" w:themeTint="BF"/>
          <w:lang w:val="en-GB"/>
        </w:rPr>
        <w:t>29 heatwaves</w:t>
      </w:r>
      <w:r w:rsidRPr="00460FE7">
        <w:rPr>
          <w:i/>
          <w:iCs/>
          <w:color w:val="404040" w:themeColor="text1" w:themeTint="BF"/>
          <w:lang w:val="en-GB"/>
        </w:rPr>
        <w:t xml:space="preserve"> over their lifetime. The standard deviation around this average is </w:t>
      </w:r>
      <w:r w:rsidRPr="00460FE7">
        <w:rPr>
          <w:b/>
          <w:bCs/>
          <w:i/>
          <w:iCs/>
          <w:color w:val="404040" w:themeColor="text1" w:themeTint="BF"/>
          <w:lang w:val="en-GB"/>
        </w:rPr>
        <w:t>8.2</w:t>
      </w:r>
      <w:r w:rsidRPr="00460FE7">
        <w:rPr>
          <w:i/>
          <w:iCs/>
          <w:color w:val="404040" w:themeColor="text1" w:themeTint="BF"/>
          <w:lang w:val="en-GB"/>
        </w:rPr>
        <w:t xml:space="preserve">, meaning there is a 68% probability that the actual lifetime exposure will fall within the range of </w:t>
      </w:r>
      <w:r w:rsidRPr="00460FE7">
        <w:rPr>
          <w:b/>
          <w:bCs/>
          <w:i/>
          <w:iCs/>
          <w:color w:val="404040" w:themeColor="text1" w:themeTint="BF"/>
          <w:lang w:val="en-GB"/>
        </w:rPr>
        <w:t>29.0 ± 8.2</w:t>
      </w:r>
      <w:r w:rsidRPr="00460FE7">
        <w:rPr>
          <w:i/>
          <w:iCs/>
          <w:color w:val="404040" w:themeColor="text1" w:themeTint="BF"/>
          <w:lang w:val="en-GB"/>
        </w:rPr>
        <w:t xml:space="preserve"> heatwaves.</w:t>
      </w:r>
    </w:p>
    <w:p w14:paraId="1A7F685A" w14:textId="77777777" w:rsidR="00460FE7" w:rsidRPr="00460FE7" w:rsidRDefault="00460FE7" w:rsidP="00460FE7">
      <w:pPr>
        <w:jc w:val="both"/>
        <w:rPr>
          <w:i/>
          <w:iCs/>
          <w:color w:val="404040" w:themeColor="text1" w:themeTint="BF"/>
          <w:lang w:val="en-GB"/>
        </w:rPr>
      </w:pPr>
      <w:r w:rsidRPr="00460FE7">
        <w:rPr>
          <w:i/>
          <w:iCs/>
          <w:color w:val="404040" w:themeColor="text1" w:themeTint="BF"/>
          <w:lang w:val="en-GB"/>
        </w:rPr>
        <w:t xml:space="preserve">Under an alternative emissions scenario that limits global warming to </w:t>
      </w:r>
      <w:r w:rsidRPr="00460FE7">
        <w:rPr>
          <w:b/>
          <w:bCs/>
          <w:i/>
          <w:iCs/>
          <w:color w:val="404040" w:themeColor="text1" w:themeTint="BF"/>
          <w:lang w:val="en-GB"/>
        </w:rPr>
        <w:t>1.5°C by 2100</w:t>
      </w:r>
      <w:r w:rsidRPr="00460FE7">
        <w:rPr>
          <w:i/>
          <w:iCs/>
          <w:color w:val="404040" w:themeColor="text1" w:themeTint="BF"/>
          <w:lang w:val="en-GB"/>
        </w:rPr>
        <w:t xml:space="preserve">, the projected lifetime exposure for the 2020 Japanese birth cohort decreases to </w:t>
      </w:r>
      <w:r w:rsidRPr="00460FE7">
        <w:rPr>
          <w:b/>
          <w:bCs/>
          <w:i/>
          <w:iCs/>
          <w:color w:val="404040" w:themeColor="text1" w:themeTint="BF"/>
          <w:lang w:val="en-GB"/>
        </w:rPr>
        <w:t>11 ± 6</w:t>
      </w:r>
      <w:r w:rsidRPr="00460FE7">
        <w:rPr>
          <w:i/>
          <w:iCs/>
          <w:color w:val="404040" w:themeColor="text1" w:themeTint="BF"/>
          <w:lang w:val="en-GB"/>
        </w:rPr>
        <w:t xml:space="preserve"> heatwaves.</w:t>
      </w:r>
    </w:p>
    <w:p w14:paraId="24D312EC" w14:textId="77777777" w:rsidR="00460FE7" w:rsidRPr="00460FE7" w:rsidRDefault="00460FE7" w:rsidP="00460FE7">
      <w:pPr>
        <w:jc w:val="both"/>
        <w:rPr>
          <w:i/>
          <w:iCs/>
          <w:color w:val="404040" w:themeColor="text1" w:themeTint="BF"/>
          <w:lang w:val="en-GB"/>
        </w:rPr>
      </w:pPr>
      <w:r w:rsidRPr="00460FE7">
        <w:rPr>
          <w:i/>
          <w:iCs/>
          <w:color w:val="404040" w:themeColor="text1" w:themeTint="BF"/>
          <w:lang w:val="en-GB"/>
        </w:rPr>
        <w:t xml:space="preserve">In comparison, a person born in </w:t>
      </w:r>
      <w:r w:rsidRPr="00460FE7">
        <w:rPr>
          <w:b/>
          <w:bCs/>
          <w:i/>
          <w:iCs/>
          <w:color w:val="404040" w:themeColor="text1" w:themeTint="BF"/>
          <w:lang w:val="en-GB"/>
        </w:rPr>
        <w:t>1960 in Japan</w:t>
      </w:r>
      <w:r w:rsidRPr="00460FE7">
        <w:rPr>
          <w:i/>
          <w:iCs/>
          <w:color w:val="404040" w:themeColor="text1" w:themeTint="BF"/>
          <w:lang w:val="en-GB"/>
        </w:rPr>
        <w:t xml:space="preserve"> is projected to experience </w:t>
      </w:r>
      <w:r w:rsidRPr="00460FE7">
        <w:rPr>
          <w:b/>
          <w:bCs/>
          <w:i/>
          <w:iCs/>
          <w:color w:val="404040" w:themeColor="text1" w:themeTint="BF"/>
          <w:lang w:val="en-GB"/>
        </w:rPr>
        <w:t>2.94 ± 2.22</w:t>
      </w:r>
      <w:r w:rsidRPr="00460FE7">
        <w:rPr>
          <w:i/>
          <w:iCs/>
          <w:color w:val="404040" w:themeColor="text1" w:themeTint="BF"/>
          <w:lang w:val="en-GB"/>
        </w:rPr>
        <w:t xml:space="preserve"> heatwaves under the 1.5°C scenario, and </w:t>
      </w:r>
      <w:r w:rsidRPr="00460FE7">
        <w:rPr>
          <w:b/>
          <w:bCs/>
          <w:i/>
          <w:iCs/>
          <w:color w:val="404040" w:themeColor="text1" w:themeTint="BF"/>
          <w:lang w:val="en-GB"/>
        </w:rPr>
        <w:t>3.11 ± 1.89</w:t>
      </w:r>
      <w:r w:rsidRPr="00460FE7">
        <w:rPr>
          <w:i/>
          <w:iCs/>
          <w:color w:val="404040" w:themeColor="text1" w:themeTint="BF"/>
          <w:lang w:val="en-GB"/>
        </w:rPr>
        <w:t xml:space="preserve"> heatwaves under the 3.5°C scenario. This indicates that the </w:t>
      </w:r>
      <w:r w:rsidRPr="00460FE7">
        <w:rPr>
          <w:b/>
          <w:bCs/>
          <w:i/>
          <w:iCs/>
          <w:color w:val="404040" w:themeColor="text1" w:themeTint="BF"/>
          <w:lang w:val="en-GB"/>
        </w:rPr>
        <w:t>climate future of older generations is largely unaffected by future greenhouse gas emissions</w:t>
      </w:r>
      <w:r w:rsidRPr="00460FE7">
        <w:rPr>
          <w:i/>
          <w:iCs/>
          <w:color w:val="404040" w:themeColor="text1" w:themeTint="BF"/>
          <w:lang w:val="en-GB"/>
        </w:rPr>
        <w:t>, while that of younger generations is highly sensitive to the emissions pathway.</w:t>
      </w:r>
    </w:p>
    <w:p w14:paraId="6E16E1B7" w14:textId="5909D9F5" w:rsidR="001E6139" w:rsidRPr="001E6139" w:rsidRDefault="001E6139" w:rsidP="001E6139">
      <w:pPr>
        <w:jc w:val="center"/>
        <w:rPr>
          <w:lang w:val="fr-BE"/>
        </w:rPr>
      </w:pPr>
      <w:r w:rsidRPr="001E6139">
        <w:rPr>
          <w:noProof/>
          <w:lang w:val="fr-BE"/>
        </w:rPr>
        <w:lastRenderedPageBreak/>
        <w:drawing>
          <wp:inline distT="0" distB="0" distL="0" distR="0" wp14:anchorId="69FB6325" wp14:editId="3DD3AF16">
            <wp:extent cx="3196311" cy="2933086"/>
            <wp:effectExtent l="0" t="0" r="4445" b="635"/>
            <wp:docPr id="1500871996" name="Picture 1" descr="A graph of heatwaves in jap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71996" name="Picture 1" descr="A graph of heatwaves in japan&#10;&#10;AI-generated content may be incorrect."/>
                    <pic:cNvPicPr/>
                  </pic:nvPicPr>
                  <pic:blipFill>
                    <a:blip r:embed="rId8"/>
                    <a:stretch>
                      <a:fillRect/>
                    </a:stretch>
                  </pic:blipFill>
                  <pic:spPr>
                    <a:xfrm>
                      <a:off x="0" y="0"/>
                      <a:ext cx="3219479" cy="2954346"/>
                    </a:xfrm>
                    <a:prstGeom prst="rect">
                      <a:avLst/>
                    </a:prstGeom>
                  </pic:spPr>
                </pic:pic>
              </a:graphicData>
            </a:graphic>
          </wp:inline>
        </w:drawing>
      </w:r>
    </w:p>
    <w:p w14:paraId="508D0048" w14:textId="376D60B9" w:rsidR="00460FE7" w:rsidRPr="0070381E" w:rsidRDefault="00460FE7" w:rsidP="0070381E">
      <w:pPr>
        <w:jc w:val="both"/>
        <w:rPr>
          <w:i/>
          <w:iCs/>
          <w:color w:val="404040" w:themeColor="text1" w:themeTint="BF"/>
          <w:lang w:val="en-GB"/>
        </w:rPr>
      </w:pPr>
      <w:r w:rsidRPr="00460FE7">
        <w:rPr>
          <w:b/>
          <w:bCs/>
          <w:i/>
          <w:iCs/>
          <w:color w:val="404040" w:themeColor="text1" w:themeTint="BF"/>
          <w:lang w:val="en-GB"/>
        </w:rPr>
        <w:t>Figure 2:</w:t>
      </w:r>
      <w:r w:rsidRPr="00460FE7">
        <w:rPr>
          <w:i/>
          <w:iCs/>
          <w:color w:val="404040" w:themeColor="text1" w:themeTint="BF"/>
          <w:lang w:val="en-GB"/>
        </w:rPr>
        <w:t xml:space="preserve"> This figure is a so-called "burning embers" diagram. It presents the estimated </w:t>
      </w:r>
      <w:r w:rsidRPr="00460FE7">
        <w:rPr>
          <w:b/>
          <w:bCs/>
          <w:i/>
          <w:iCs/>
          <w:color w:val="404040" w:themeColor="text1" w:themeTint="BF"/>
          <w:lang w:val="en-GB"/>
        </w:rPr>
        <w:t>total number of heatwaves</w:t>
      </w:r>
      <w:r w:rsidRPr="00460FE7">
        <w:rPr>
          <w:i/>
          <w:iCs/>
          <w:color w:val="404040" w:themeColor="text1" w:themeTint="BF"/>
          <w:lang w:val="en-GB"/>
        </w:rPr>
        <w:t xml:space="preserve"> that a given birth cohort (x-axis) is projected to experience over their lifetime (z-axis), depending on the </w:t>
      </w:r>
      <w:r w:rsidRPr="00460FE7">
        <w:rPr>
          <w:b/>
          <w:bCs/>
          <w:i/>
          <w:iCs/>
          <w:color w:val="404040" w:themeColor="text1" w:themeTint="BF"/>
          <w:lang w:val="en-GB"/>
        </w:rPr>
        <w:t>level of global warming reached by 2100</w:t>
      </w:r>
      <w:r w:rsidRPr="00460FE7">
        <w:rPr>
          <w:i/>
          <w:iCs/>
          <w:color w:val="404040" w:themeColor="text1" w:themeTint="BF"/>
          <w:lang w:val="en-GB"/>
        </w:rPr>
        <w:t xml:space="preserve"> (y-axis).</w:t>
      </w:r>
    </w:p>
    <w:p w14:paraId="33C8BDDC" w14:textId="77777777" w:rsidR="0070381E" w:rsidRPr="0070381E" w:rsidRDefault="0070381E" w:rsidP="0070381E">
      <w:pPr>
        <w:jc w:val="both"/>
        <w:rPr>
          <w:lang w:val="en-GB"/>
        </w:rPr>
      </w:pPr>
      <w:r w:rsidRPr="0070381E">
        <w:rPr>
          <w:b/>
          <w:bCs/>
          <w:lang w:val="en-GB"/>
        </w:rPr>
        <w:t>Except for heatwaves, for which the results are the most robust among the six climate extremes, we recommend exercising nuance and caution in the interpretation and use of results for the other hazards.</w:t>
      </w:r>
      <w:r w:rsidRPr="0070381E">
        <w:rPr>
          <w:lang w:val="en-GB"/>
        </w:rPr>
        <w:t xml:space="preserve"> Accurately capturing a robust climate signal for these other hazards in climate models is more complex, and in the case of Japan, this challenge is compounded by two conflicting effects.</w:t>
      </w:r>
    </w:p>
    <w:p w14:paraId="37287F1C" w14:textId="5F73322A" w:rsidR="0070381E" w:rsidRPr="0070381E" w:rsidRDefault="0070381E" w:rsidP="0070381E">
      <w:pPr>
        <w:jc w:val="both"/>
        <w:rPr>
          <w:lang w:val="en-GB"/>
        </w:rPr>
      </w:pPr>
      <w:r w:rsidRPr="0070381E">
        <w:rPr>
          <w:lang w:val="en-GB"/>
        </w:rPr>
        <w:t xml:space="preserve">First, the </w:t>
      </w:r>
      <w:r w:rsidRPr="0070381E">
        <w:rPr>
          <w:b/>
          <w:bCs/>
          <w:lang w:val="en-GB"/>
        </w:rPr>
        <w:t>uncertainty is significantly higher when these hazards are assessed at the national scale</w:t>
      </w:r>
      <w:r w:rsidRPr="0070381E">
        <w:rPr>
          <w:lang w:val="en-GB"/>
        </w:rPr>
        <w:t xml:space="preserve">, due to the relatively small spatial extent of the country compared to the global scale. For this reason, we generally recommend relying on </w:t>
      </w:r>
      <w:r w:rsidRPr="0070381E">
        <w:rPr>
          <w:b/>
          <w:bCs/>
          <w:lang w:val="en-GB"/>
        </w:rPr>
        <w:t>regional-level results</w:t>
      </w:r>
      <w:r w:rsidRPr="0070381E">
        <w:rPr>
          <w:lang w:val="en-GB"/>
        </w:rPr>
        <w:t xml:space="preserve"> when analysing other countries.</w:t>
      </w:r>
    </w:p>
    <w:p w14:paraId="27A11503" w14:textId="77777777" w:rsidR="0070381E" w:rsidRPr="0070381E" w:rsidRDefault="0070381E" w:rsidP="0070381E">
      <w:pPr>
        <w:jc w:val="both"/>
        <w:rPr>
          <w:lang w:val="en-GB"/>
        </w:rPr>
      </w:pPr>
      <w:r w:rsidRPr="0070381E">
        <w:rPr>
          <w:lang w:val="en-GB"/>
        </w:rPr>
        <w:t xml:space="preserve">However, in the case of </w:t>
      </w:r>
      <w:r w:rsidRPr="0070381E">
        <w:rPr>
          <w:b/>
          <w:bCs/>
          <w:lang w:val="en-GB"/>
        </w:rPr>
        <w:t>Japan</w:t>
      </w:r>
      <w:r w:rsidRPr="0070381E">
        <w:rPr>
          <w:lang w:val="en-GB"/>
        </w:rPr>
        <w:t xml:space="preserve">, this approach has important limitations. As shown in the full list of countries included in the East Asia and Pacific region in our model, several of these countries are located at considerable geographic distances from Japan, and therefore are expected to face </w:t>
      </w:r>
      <w:r w:rsidRPr="0070381E">
        <w:rPr>
          <w:b/>
          <w:bCs/>
          <w:lang w:val="en-GB"/>
        </w:rPr>
        <w:t>very different climate impacts in the future</w:t>
      </w:r>
      <w:r w:rsidRPr="0070381E">
        <w:rPr>
          <w:lang w:val="en-GB"/>
        </w:rPr>
        <w:t xml:space="preserve">. Averaging climate responses over such a broad and heterogeneous region may dilute or mix </w:t>
      </w:r>
      <w:r w:rsidRPr="0070381E">
        <w:rPr>
          <w:b/>
          <w:bCs/>
          <w:lang w:val="en-GB"/>
        </w:rPr>
        <w:t>divergent or even contradictory signals</w:t>
      </w:r>
      <w:r w:rsidRPr="0070381E">
        <w:rPr>
          <w:lang w:val="en-GB"/>
        </w:rPr>
        <w:t>, reducing the interpretability and policy relevance of the results for a specific country like Japan.</w:t>
      </w:r>
    </w:p>
    <w:p w14:paraId="69AFE4A3" w14:textId="24E37EAC" w:rsidR="0070381E" w:rsidRPr="0070381E" w:rsidRDefault="0070381E" w:rsidP="0070381E">
      <w:pPr>
        <w:jc w:val="both"/>
        <w:rPr>
          <w:lang w:val="en-GB"/>
        </w:rPr>
      </w:pPr>
      <w:r>
        <w:rPr>
          <w:lang w:val="en-GB"/>
        </w:rPr>
        <w:t>Therefore, f</w:t>
      </w:r>
      <w:r w:rsidRPr="0070381E">
        <w:rPr>
          <w:lang w:val="en-GB"/>
        </w:rPr>
        <w:t>or the other hazards</w:t>
      </w:r>
      <w:r>
        <w:rPr>
          <w:lang w:val="en-GB"/>
        </w:rPr>
        <w:t xml:space="preserve"> than heatwaves</w:t>
      </w:r>
      <w:r w:rsidRPr="0070381E">
        <w:rPr>
          <w:lang w:val="en-GB"/>
        </w:rPr>
        <w:t xml:space="preserve">, </w:t>
      </w:r>
      <w:r w:rsidRPr="0070381E">
        <w:rPr>
          <w:b/>
          <w:bCs/>
          <w:lang w:val="en-GB"/>
        </w:rPr>
        <w:t>visualizations of the type used in Figure 1 are generally more appropriate</w:t>
      </w:r>
      <w:r w:rsidRPr="0070381E">
        <w:rPr>
          <w:lang w:val="en-GB"/>
        </w:rPr>
        <w:t xml:space="preserve">, as the "burning embers" format used in Figure 2 can produce </w:t>
      </w:r>
      <w:r w:rsidRPr="0070381E">
        <w:rPr>
          <w:b/>
          <w:bCs/>
          <w:lang w:val="en-GB"/>
        </w:rPr>
        <w:t>unreliable results for certain combinations of birth cohorts and warming levels</w:t>
      </w:r>
      <w:r w:rsidRPr="0070381E">
        <w:rPr>
          <w:lang w:val="en-GB"/>
        </w:rPr>
        <w:t xml:space="preserve">. </w:t>
      </w:r>
      <w:r w:rsidRPr="0070381E">
        <w:rPr>
          <w:lang w:val="en-GB"/>
        </w:rPr>
        <w:lastRenderedPageBreak/>
        <w:t xml:space="preserve">Figure 1 has the advantage of simultaneously displaying the </w:t>
      </w:r>
      <w:r w:rsidRPr="0070381E">
        <w:rPr>
          <w:b/>
          <w:bCs/>
          <w:lang w:val="en-GB"/>
        </w:rPr>
        <w:t>mean values and their associated uncertainty</w:t>
      </w:r>
      <w:r w:rsidRPr="0070381E">
        <w:rPr>
          <w:lang w:val="en-GB"/>
        </w:rPr>
        <w:t>, which is not the case for Figure 2.</w:t>
      </w:r>
    </w:p>
    <w:p w14:paraId="58A03CB6" w14:textId="54057738" w:rsidR="00A14CC4" w:rsidRPr="00366634" w:rsidRDefault="002C3951" w:rsidP="002C3951">
      <w:pPr>
        <w:pStyle w:val="Heading2"/>
        <w:rPr>
          <w:lang w:val="en-GB"/>
        </w:rPr>
      </w:pPr>
      <w:r w:rsidRPr="00366634">
        <w:rPr>
          <w:lang w:val="en-GB"/>
        </w:rPr>
        <w:t>References</w:t>
      </w:r>
    </w:p>
    <w:p w14:paraId="52FAD688" w14:textId="3AF2970C" w:rsidR="00C953C5" w:rsidRPr="00C953C5" w:rsidRDefault="00C953C5" w:rsidP="00C953C5">
      <w:pPr>
        <w:rPr>
          <w:rFonts w:eastAsia="Times New Roman"/>
          <w:lang w:val="en-GB" w:eastAsia="fr-BE"/>
        </w:rPr>
      </w:pPr>
      <w:r w:rsidRPr="00C953C5">
        <w:rPr>
          <w:rFonts w:eastAsia="Times New Roman"/>
          <w:lang w:val="en-GB" w:eastAsia="fr-BE"/>
        </w:rPr>
        <w:t>For technical details regarding the methodology used, the reader is referred to the following articles:</w:t>
      </w:r>
    </w:p>
    <w:p w14:paraId="2F81984B" w14:textId="77777777" w:rsidR="00F65966" w:rsidRPr="006C2E60" w:rsidRDefault="00F65966" w:rsidP="00F65966">
      <w:pPr>
        <w:pStyle w:val="ListParagraph"/>
        <w:numPr>
          <w:ilvl w:val="0"/>
          <w:numId w:val="1"/>
        </w:numPr>
        <w:spacing w:after="0" w:line="240" w:lineRule="auto"/>
        <w:ind w:right="96"/>
        <w:rPr>
          <w:rFonts w:ascii="Times New Roman" w:eastAsia="Times New Roman" w:hAnsi="Times New Roman" w:cs="Times New Roman"/>
          <w:lang w:val="en-GB" w:eastAsia="fr-BE"/>
        </w:rPr>
      </w:pPr>
      <w:r w:rsidRPr="00C953C5">
        <w:rPr>
          <w:rFonts w:ascii="Times New Roman" w:eastAsia="Times New Roman" w:hAnsi="Times New Roman" w:cs="Times New Roman"/>
          <w:lang w:val="en-GB" w:eastAsia="fr-BE"/>
        </w:rPr>
        <w:t xml:space="preserve">Thiery W, Lange S, Rogelj J, Schleussner CF, Gudmundsson L, Seneviratne SI, et al. </w:t>
      </w:r>
      <w:r w:rsidRPr="006C2E60">
        <w:rPr>
          <w:rFonts w:ascii="Times New Roman" w:eastAsia="Times New Roman" w:hAnsi="Times New Roman" w:cs="Times New Roman"/>
          <w:lang w:val="en-GB" w:eastAsia="fr-BE"/>
        </w:rPr>
        <w:t>Intergenerational inequities in exposure to climate extremes. Science. 2021 Oct 8;374(6564):158–60.</w:t>
      </w:r>
    </w:p>
    <w:p w14:paraId="3DECBFD5" w14:textId="590319B5" w:rsidR="00A14CC4" w:rsidRPr="00A14CC4" w:rsidRDefault="00A14CC4" w:rsidP="006C2E60">
      <w:pPr>
        <w:pStyle w:val="ListParagraph"/>
        <w:spacing w:after="0" w:line="240" w:lineRule="auto"/>
        <w:jc w:val="center"/>
        <w:rPr>
          <w:rFonts w:ascii="Times New Roman" w:eastAsia="Times New Roman" w:hAnsi="Times New Roman" w:cs="Times New Roman"/>
          <w:lang w:val="fr-BE" w:eastAsia="fr-BE"/>
        </w:rPr>
      </w:pPr>
    </w:p>
    <w:p w14:paraId="3E88164F" w14:textId="77777777" w:rsidR="00A14CC4" w:rsidRPr="006C2E60" w:rsidRDefault="00A14CC4" w:rsidP="00A14CC4">
      <w:pPr>
        <w:pStyle w:val="ListParagraph"/>
        <w:numPr>
          <w:ilvl w:val="0"/>
          <w:numId w:val="1"/>
        </w:numPr>
        <w:spacing w:after="0" w:line="240" w:lineRule="auto"/>
        <w:ind w:right="96"/>
        <w:rPr>
          <w:rFonts w:ascii="Times New Roman" w:eastAsia="Times New Roman" w:hAnsi="Times New Roman" w:cs="Times New Roman"/>
          <w:lang w:val="en-GB" w:eastAsia="fr-BE"/>
        </w:rPr>
      </w:pPr>
      <w:r w:rsidRPr="00A14CC4">
        <w:rPr>
          <w:rFonts w:ascii="Times New Roman" w:eastAsia="Times New Roman" w:hAnsi="Times New Roman" w:cs="Times New Roman"/>
          <w:lang w:val="en-GB" w:eastAsia="fr-BE"/>
        </w:rPr>
        <w:t xml:space="preserve">Grant L, Vanderkelen I, Gudmundsson L, Fischer E, Seneviratne SI, Thiery W. Global emergence of unprecedented lifetime exposure to climate extremes. </w:t>
      </w:r>
      <w:r w:rsidRPr="006C2E60">
        <w:rPr>
          <w:rFonts w:ascii="Times New Roman" w:eastAsia="Times New Roman" w:hAnsi="Times New Roman" w:cs="Times New Roman"/>
          <w:lang w:val="en-GB" w:eastAsia="fr-BE"/>
        </w:rPr>
        <w:t>Nature. 2025 May;641(8062):374–9.</w:t>
      </w:r>
    </w:p>
    <w:p w14:paraId="1258BC6A" w14:textId="77777777" w:rsidR="00B87B2D" w:rsidRPr="006C2E60" w:rsidRDefault="00B87B2D" w:rsidP="00A14CC4">
      <w:pPr>
        <w:ind w:left="360"/>
        <w:rPr>
          <w:lang w:val="en-GB"/>
        </w:rPr>
      </w:pPr>
    </w:p>
    <w:p w14:paraId="20E7B54E" w14:textId="77777777" w:rsidR="00080769" w:rsidRPr="006C2E60" w:rsidRDefault="00080769" w:rsidP="00080769">
      <w:pPr>
        <w:rPr>
          <w:lang w:val="en-GB"/>
        </w:rPr>
      </w:pPr>
    </w:p>
    <w:p w14:paraId="037EAEC8" w14:textId="77777777" w:rsidR="00080769" w:rsidRPr="006C2E60" w:rsidRDefault="00080769" w:rsidP="00080769">
      <w:pPr>
        <w:rPr>
          <w:lang w:val="en-GB"/>
        </w:rPr>
      </w:pPr>
    </w:p>
    <w:p w14:paraId="65BC4762" w14:textId="77777777" w:rsidR="00080769" w:rsidRPr="006C2E60" w:rsidRDefault="00080769" w:rsidP="00080769">
      <w:pPr>
        <w:rPr>
          <w:lang w:val="en-GB"/>
        </w:rPr>
      </w:pPr>
    </w:p>
    <w:p w14:paraId="693110FD" w14:textId="77777777" w:rsidR="00080769" w:rsidRPr="006C2E60" w:rsidRDefault="00080769" w:rsidP="00080769">
      <w:pPr>
        <w:rPr>
          <w:lang w:val="en-GB"/>
        </w:rPr>
      </w:pPr>
    </w:p>
    <w:p w14:paraId="4BBE91EB" w14:textId="77777777" w:rsidR="00080769" w:rsidRPr="006C2E60" w:rsidRDefault="00080769" w:rsidP="00080769">
      <w:pPr>
        <w:rPr>
          <w:lang w:val="en-GB"/>
        </w:rPr>
      </w:pPr>
    </w:p>
    <w:p w14:paraId="74E3A4A0" w14:textId="77777777" w:rsidR="00080769" w:rsidRPr="006C2E60" w:rsidRDefault="00080769" w:rsidP="00080769">
      <w:pPr>
        <w:rPr>
          <w:lang w:val="en-GB"/>
        </w:rPr>
      </w:pPr>
    </w:p>
    <w:p w14:paraId="25CD7133" w14:textId="77777777" w:rsidR="00080769" w:rsidRPr="006C2E60" w:rsidRDefault="00080769" w:rsidP="00080769">
      <w:pPr>
        <w:rPr>
          <w:lang w:val="en-GB"/>
        </w:rPr>
      </w:pPr>
    </w:p>
    <w:sectPr w:rsidR="00080769" w:rsidRPr="006C2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1191C"/>
    <w:multiLevelType w:val="hybridMultilevel"/>
    <w:tmpl w:val="2034CAB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B975349"/>
    <w:multiLevelType w:val="hybridMultilevel"/>
    <w:tmpl w:val="925AF6B6"/>
    <w:lvl w:ilvl="0" w:tplc="A956F626">
      <w:numFmt w:val="bullet"/>
      <w:lvlText w:val="-"/>
      <w:lvlJc w:val="left"/>
      <w:pPr>
        <w:ind w:left="720" w:hanging="360"/>
      </w:pPr>
      <w:rPr>
        <w:rFonts w:ascii="Aptos" w:eastAsiaTheme="minorEastAsia" w:hAnsi="Apto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51155AA6"/>
    <w:multiLevelType w:val="hybridMultilevel"/>
    <w:tmpl w:val="C23E70B8"/>
    <w:lvl w:ilvl="0" w:tplc="61324A6E">
      <w:start w:val="2"/>
      <w:numFmt w:val="bullet"/>
      <w:lvlText w:val="-"/>
      <w:lvlJc w:val="left"/>
      <w:pPr>
        <w:ind w:left="720" w:hanging="360"/>
      </w:pPr>
      <w:rPr>
        <w:rFonts w:ascii="Aptos" w:eastAsiaTheme="minorEastAsia" w:hAnsi="Apto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5960A28"/>
    <w:multiLevelType w:val="multilevel"/>
    <w:tmpl w:val="C4B4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843397">
    <w:abstractNumId w:val="0"/>
  </w:num>
  <w:num w:numId="2" w16cid:durableId="954093761">
    <w:abstractNumId w:val="1"/>
  </w:num>
  <w:num w:numId="3" w16cid:durableId="1583296185">
    <w:abstractNumId w:val="3"/>
  </w:num>
  <w:num w:numId="4" w16cid:durableId="1360012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B7C1BC"/>
    <w:rsid w:val="000272A4"/>
    <w:rsid w:val="0005694B"/>
    <w:rsid w:val="00080769"/>
    <w:rsid w:val="000E4C5A"/>
    <w:rsid w:val="001E6139"/>
    <w:rsid w:val="002375CF"/>
    <w:rsid w:val="002C3951"/>
    <w:rsid w:val="002F63BA"/>
    <w:rsid w:val="003466C8"/>
    <w:rsid w:val="00366634"/>
    <w:rsid w:val="004146DA"/>
    <w:rsid w:val="00460FE7"/>
    <w:rsid w:val="004C68CB"/>
    <w:rsid w:val="005B5CDF"/>
    <w:rsid w:val="00612452"/>
    <w:rsid w:val="00646710"/>
    <w:rsid w:val="006A0D89"/>
    <w:rsid w:val="006C2E60"/>
    <w:rsid w:val="0070381E"/>
    <w:rsid w:val="00705B1E"/>
    <w:rsid w:val="00873DE0"/>
    <w:rsid w:val="008E2FD3"/>
    <w:rsid w:val="009C5235"/>
    <w:rsid w:val="009F29FC"/>
    <w:rsid w:val="00A14CC4"/>
    <w:rsid w:val="00A2718B"/>
    <w:rsid w:val="00A62105"/>
    <w:rsid w:val="00AC0971"/>
    <w:rsid w:val="00AE000E"/>
    <w:rsid w:val="00B21F84"/>
    <w:rsid w:val="00B516A8"/>
    <w:rsid w:val="00B53223"/>
    <w:rsid w:val="00B8289C"/>
    <w:rsid w:val="00B87B2D"/>
    <w:rsid w:val="00BD1567"/>
    <w:rsid w:val="00C953C5"/>
    <w:rsid w:val="00CD742D"/>
    <w:rsid w:val="00D84298"/>
    <w:rsid w:val="00DA54F8"/>
    <w:rsid w:val="00EA327A"/>
    <w:rsid w:val="00EC53BA"/>
    <w:rsid w:val="00F65966"/>
    <w:rsid w:val="00F9205E"/>
    <w:rsid w:val="08EE91F7"/>
    <w:rsid w:val="17B7C1BC"/>
    <w:rsid w:val="1D1BC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C1BC"/>
  <w15:chartTrackingRefBased/>
  <w15:docId w15:val="{1A28FC3E-2E1E-46D9-8AF4-8A9284372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873DE0"/>
    <w:rPr>
      <w:color w:val="467886" w:themeColor="hyperlink"/>
      <w:u w:val="single"/>
    </w:rPr>
  </w:style>
  <w:style w:type="character" w:styleId="UnresolvedMention">
    <w:name w:val="Unresolved Mention"/>
    <w:basedOn w:val="DefaultParagraphFont"/>
    <w:uiPriority w:val="99"/>
    <w:semiHidden/>
    <w:unhideWhenUsed/>
    <w:rsid w:val="00873DE0"/>
    <w:rPr>
      <w:color w:val="605E5C"/>
      <w:shd w:val="clear" w:color="auto" w:fill="E1DFDD"/>
    </w:rPr>
  </w:style>
  <w:style w:type="paragraph" w:styleId="ListParagraph">
    <w:name w:val="List Paragraph"/>
    <w:basedOn w:val="Normal"/>
    <w:uiPriority w:val="34"/>
    <w:qFormat/>
    <w:rsid w:val="00B87B2D"/>
    <w:pPr>
      <w:ind w:left="720"/>
      <w:contextualSpacing/>
    </w:pPr>
  </w:style>
  <w:style w:type="paragraph" w:styleId="NormalWeb">
    <w:name w:val="Normal (Web)"/>
    <w:basedOn w:val="Normal"/>
    <w:uiPriority w:val="99"/>
    <w:semiHidden/>
    <w:unhideWhenUsed/>
    <w:rsid w:val="000E4C5A"/>
    <w:pPr>
      <w:spacing w:before="100" w:beforeAutospacing="1" w:after="100" w:afterAutospacing="1" w:line="240" w:lineRule="auto"/>
    </w:pPr>
    <w:rPr>
      <w:rFonts w:ascii="Times New Roman" w:eastAsia="Times New Roman" w:hAnsi="Times New Roman" w:cs="Times New Roman"/>
      <w:lang w:val="fr-BE" w:eastAsia="fr-BE"/>
    </w:rPr>
  </w:style>
  <w:style w:type="character" w:styleId="Strong">
    <w:name w:val="Strong"/>
    <w:basedOn w:val="DefaultParagraphFont"/>
    <w:uiPriority w:val="22"/>
    <w:qFormat/>
    <w:rsid w:val="000E4C5A"/>
    <w:rPr>
      <w:b/>
      <w:bCs/>
    </w:rPr>
  </w:style>
  <w:style w:type="character" w:styleId="FollowedHyperlink">
    <w:name w:val="FollowedHyperlink"/>
    <w:basedOn w:val="DefaultParagraphFont"/>
    <w:uiPriority w:val="99"/>
    <w:semiHidden/>
    <w:unhideWhenUsed/>
    <w:rsid w:val="00C953C5"/>
    <w:rPr>
      <w:color w:val="96607D" w:themeColor="followedHyperlink"/>
      <w:u w:val="single"/>
    </w:rPr>
  </w:style>
  <w:style w:type="character" w:customStyle="1" w:styleId="overflow-hidden">
    <w:name w:val="overflow-hidden"/>
    <w:basedOn w:val="DefaultParagraphFont"/>
    <w:rsid w:val="00C95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7354">
      <w:bodyDiv w:val="1"/>
      <w:marLeft w:val="0"/>
      <w:marRight w:val="0"/>
      <w:marTop w:val="0"/>
      <w:marBottom w:val="0"/>
      <w:divBdr>
        <w:top w:val="none" w:sz="0" w:space="0" w:color="auto"/>
        <w:left w:val="none" w:sz="0" w:space="0" w:color="auto"/>
        <w:bottom w:val="none" w:sz="0" w:space="0" w:color="auto"/>
        <w:right w:val="none" w:sz="0" w:space="0" w:color="auto"/>
      </w:divBdr>
      <w:divsChild>
        <w:div w:id="370422190">
          <w:marLeft w:val="0"/>
          <w:marRight w:val="0"/>
          <w:marTop w:val="0"/>
          <w:marBottom w:val="0"/>
          <w:divBdr>
            <w:top w:val="none" w:sz="0" w:space="0" w:color="auto"/>
            <w:left w:val="none" w:sz="0" w:space="0" w:color="auto"/>
            <w:bottom w:val="none" w:sz="0" w:space="0" w:color="auto"/>
            <w:right w:val="none" w:sz="0" w:space="0" w:color="auto"/>
          </w:divBdr>
          <w:divsChild>
            <w:div w:id="1385521453">
              <w:marLeft w:val="0"/>
              <w:marRight w:val="0"/>
              <w:marTop w:val="0"/>
              <w:marBottom w:val="0"/>
              <w:divBdr>
                <w:top w:val="none" w:sz="0" w:space="0" w:color="auto"/>
                <w:left w:val="none" w:sz="0" w:space="0" w:color="auto"/>
                <w:bottom w:val="none" w:sz="0" w:space="0" w:color="auto"/>
                <w:right w:val="none" w:sz="0" w:space="0" w:color="auto"/>
              </w:divBdr>
              <w:divsChild>
                <w:div w:id="17609043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1753062">
      <w:bodyDiv w:val="1"/>
      <w:marLeft w:val="0"/>
      <w:marRight w:val="0"/>
      <w:marTop w:val="0"/>
      <w:marBottom w:val="0"/>
      <w:divBdr>
        <w:top w:val="none" w:sz="0" w:space="0" w:color="auto"/>
        <w:left w:val="none" w:sz="0" w:space="0" w:color="auto"/>
        <w:bottom w:val="none" w:sz="0" w:space="0" w:color="auto"/>
        <w:right w:val="none" w:sz="0" w:space="0" w:color="auto"/>
      </w:divBdr>
      <w:divsChild>
        <w:div w:id="710425681">
          <w:marLeft w:val="0"/>
          <w:marRight w:val="0"/>
          <w:marTop w:val="0"/>
          <w:marBottom w:val="0"/>
          <w:divBdr>
            <w:top w:val="none" w:sz="0" w:space="0" w:color="auto"/>
            <w:left w:val="none" w:sz="0" w:space="0" w:color="auto"/>
            <w:bottom w:val="none" w:sz="0" w:space="0" w:color="auto"/>
            <w:right w:val="none" w:sz="0" w:space="0" w:color="auto"/>
          </w:divBdr>
          <w:divsChild>
            <w:div w:id="527447061">
              <w:marLeft w:val="0"/>
              <w:marRight w:val="0"/>
              <w:marTop w:val="0"/>
              <w:marBottom w:val="0"/>
              <w:divBdr>
                <w:top w:val="none" w:sz="0" w:space="0" w:color="auto"/>
                <w:left w:val="none" w:sz="0" w:space="0" w:color="auto"/>
                <w:bottom w:val="none" w:sz="0" w:space="0" w:color="auto"/>
                <w:right w:val="none" w:sz="0" w:space="0" w:color="auto"/>
              </w:divBdr>
              <w:divsChild>
                <w:div w:id="1423914419">
                  <w:marLeft w:val="0"/>
                  <w:marRight w:val="0"/>
                  <w:marTop w:val="0"/>
                  <w:marBottom w:val="0"/>
                  <w:divBdr>
                    <w:top w:val="none" w:sz="0" w:space="0" w:color="auto"/>
                    <w:left w:val="none" w:sz="0" w:space="0" w:color="auto"/>
                    <w:bottom w:val="none" w:sz="0" w:space="0" w:color="auto"/>
                    <w:right w:val="none" w:sz="0" w:space="0" w:color="auto"/>
                  </w:divBdr>
                  <w:divsChild>
                    <w:div w:id="2010669155">
                      <w:marLeft w:val="0"/>
                      <w:marRight w:val="0"/>
                      <w:marTop w:val="0"/>
                      <w:marBottom w:val="0"/>
                      <w:divBdr>
                        <w:top w:val="none" w:sz="0" w:space="0" w:color="auto"/>
                        <w:left w:val="none" w:sz="0" w:space="0" w:color="auto"/>
                        <w:bottom w:val="none" w:sz="0" w:space="0" w:color="auto"/>
                        <w:right w:val="none" w:sz="0" w:space="0" w:color="auto"/>
                      </w:divBdr>
                      <w:divsChild>
                        <w:div w:id="476916265">
                          <w:marLeft w:val="0"/>
                          <w:marRight w:val="0"/>
                          <w:marTop w:val="0"/>
                          <w:marBottom w:val="0"/>
                          <w:divBdr>
                            <w:top w:val="none" w:sz="0" w:space="0" w:color="auto"/>
                            <w:left w:val="none" w:sz="0" w:space="0" w:color="auto"/>
                            <w:bottom w:val="none" w:sz="0" w:space="0" w:color="auto"/>
                            <w:right w:val="none" w:sz="0" w:space="0" w:color="auto"/>
                          </w:divBdr>
                          <w:divsChild>
                            <w:div w:id="420371350">
                              <w:marLeft w:val="0"/>
                              <w:marRight w:val="0"/>
                              <w:marTop w:val="0"/>
                              <w:marBottom w:val="0"/>
                              <w:divBdr>
                                <w:top w:val="none" w:sz="0" w:space="0" w:color="auto"/>
                                <w:left w:val="none" w:sz="0" w:space="0" w:color="auto"/>
                                <w:bottom w:val="none" w:sz="0" w:space="0" w:color="auto"/>
                                <w:right w:val="none" w:sz="0" w:space="0" w:color="auto"/>
                              </w:divBdr>
                              <w:divsChild>
                                <w:div w:id="626935737">
                                  <w:marLeft w:val="0"/>
                                  <w:marRight w:val="0"/>
                                  <w:marTop w:val="0"/>
                                  <w:marBottom w:val="0"/>
                                  <w:divBdr>
                                    <w:top w:val="none" w:sz="0" w:space="0" w:color="auto"/>
                                    <w:left w:val="none" w:sz="0" w:space="0" w:color="auto"/>
                                    <w:bottom w:val="none" w:sz="0" w:space="0" w:color="auto"/>
                                    <w:right w:val="none" w:sz="0" w:space="0" w:color="auto"/>
                                  </w:divBdr>
                                  <w:divsChild>
                                    <w:div w:id="3589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315">
                          <w:marLeft w:val="0"/>
                          <w:marRight w:val="0"/>
                          <w:marTop w:val="0"/>
                          <w:marBottom w:val="0"/>
                          <w:divBdr>
                            <w:top w:val="none" w:sz="0" w:space="0" w:color="auto"/>
                            <w:left w:val="none" w:sz="0" w:space="0" w:color="auto"/>
                            <w:bottom w:val="none" w:sz="0" w:space="0" w:color="auto"/>
                            <w:right w:val="none" w:sz="0" w:space="0" w:color="auto"/>
                          </w:divBdr>
                          <w:divsChild>
                            <w:div w:id="2054226948">
                              <w:marLeft w:val="0"/>
                              <w:marRight w:val="0"/>
                              <w:marTop w:val="0"/>
                              <w:marBottom w:val="0"/>
                              <w:divBdr>
                                <w:top w:val="none" w:sz="0" w:space="0" w:color="auto"/>
                                <w:left w:val="none" w:sz="0" w:space="0" w:color="auto"/>
                                <w:bottom w:val="none" w:sz="0" w:space="0" w:color="auto"/>
                                <w:right w:val="none" w:sz="0" w:space="0" w:color="auto"/>
                              </w:divBdr>
                              <w:divsChild>
                                <w:div w:id="18571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1251">
      <w:bodyDiv w:val="1"/>
      <w:marLeft w:val="0"/>
      <w:marRight w:val="0"/>
      <w:marTop w:val="0"/>
      <w:marBottom w:val="0"/>
      <w:divBdr>
        <w:top w:val="none" w:sz="0" w:space="0" w:color="auto"/>
        <w:left w:val="none" w:sz="0" w:space="0" w:color="auto"/>
        <w:bottom w:val="none" w:sz="0" w:space="0" w:color="auto"/>
        <w:right w:val="none" w:sz="0" w:space="0" w:color="auto"/>
      </w:divBdr>
    </w:div>
    <w:div w:id="221913018">
      <w:bodyDiv w:val="1"/>
      <w:marLeft w:val="0"/>
      <w:marRight w:val="0"/>
      <w:marTop w:val="0"/>
      <w:marBottom w:val="0"/>
      <w:divBdr>
        <w:top w:val="none" w:sz="0" w:space="0" w:color="auto"/>
        <w:left w:val="none" w:sz="0" w:space="0" w:color="auto"/>
        <w:bottom w:val="none" w:sz="0" w:space="0" w:color="auto"/>
        <w:right w:val="none" w:sz="0" w:space="0" w:color="auto"/>
      </w:divBdr>
    </w:div>
    <w:div w:id="256401052">
      <w:bodyDiv w:val="1"/>
      <w:marLeft w:val="0"/>
      <w:marRight w:val="0"/>
      <w:marTop w:val="0"/>
      <w:marBottom w:val="0"/>
      <w:divBdr>
        <w:top w:val="none" w:sz="0" w:space="0" w:color="auto"/>
        <w:left w:val="none" w:sz="0" w:space="0" w:color="auto"/>
        <w:bottom w:val="none" w:sz="0" w:space="0" w:color="auto"/>
        <w:right w:val="none" w:sz="0" w:space="0" w:color="auto"/>
      </w:divBdr>
    </w:div>
    <w:div w:id="283728789">
      <w:bodyDiv w:val="1"/>
      <w:marLeft w:val="0"/>
      <w:marRight w:val="0"/>
      <w:marTop w:val="0"/>
      <w:marBottom w:val="0"/>
      <w:divBdr>
        <w:top w:val="none" w:sz="0" w:space="0" w:color="auto"/>
        <w:left w:val="none" w:sz="0" w:space="0" w:color="auto"/>
        <w:bottom w:val="none" w:sz="0" w:space="0" w:color="auto"/>
        <w:right w:val="none" w:sz="0" w:space="0" w:color="auto"/>
      </w:divBdr>
    </w:div>
    <w:div w:id="523982609">
      <w:bodyDiv w:val="1"/>
      <w:marLeft w:val="0"/>
      <w:marRight w:val="0"/>
      <w:marTop w:val="0"/>
      <w:marBottom w:val="0"/>
      <w:divBdr>
        <w:top w:val="none" w:sz="0" w:space="0" w:color="auto"/>
        <w:left w:val="none" w:sz="0" w:space="0" w:color="auto"/>
        <w:bottom w:val="none" w:sz="0" w:space="0" w:color="auto"/>
        <w:right w:val="none" w:sz="0" w:space="0" w:color="auto"/>
      </w:divBdr>
    </w:div>
    <w:div w:id="646057257">
      <w:bodyDiv w:val="1"/>
      <w:marLeft w:val="0"/>
      <w:marRight w:val="0"/>
      <w:marTop w:val="0"/>
      <w:marBottom w:val="0"/>
      <w:divBdr>
        <w:top w:val="none" w:sz="0" w:space="0" w:color="auto"/>
        <w:left w:val="none" w:sz="0" w:space="0" w:color="auto"/>
        <w:bottom w:val="none" w:sz="0" w:space="0" w:color="auto"/>
        <w:right w:val="none" w:sz="0" w:space="0" w:color="auto"/>
      </w:divBdr>
    </w:div>
    <w:div w:id="707753917">
      <w:bodyDiv w:val="1"/>
      <w:marLeft w:val="0"/>
      <w:marRight w:val="0"/>
      <w:marTop w:val="0"/>
      <w:marBottom w:val="0"/>
      <w:divBdr>
        <w:top w:val="none" w:sz="0" w:space="0" w:color="auto"/>
        <w:left w:val="none" w:sz="0" w:space="0" w:color="auto"/>
        <w:bottom w:val="none" w:sz="0" w:space="0" w:color="auto"/>
        <w:right w:val="none" w:sz="0" w:space="0" w:color="auto"/>
      </w:divBdr>
    </w:div>
    <w:div w:id="804736155">
      <w:bodyDiv w:val="1"/>
      <w:marLeft w:val="0"/>
      <w:marRight w:val="0"/>
      <w:marTop w:val="0"/>
      <w:marBottom w:val="0"/>
      <w:divBdr>
        <w:top w:val="none" w:sz="0" w:space="0" w:color="auto"/>
        <w:left w:val="none" w:sz="0" w:space="0" w:color="auto"/>
        <w:bottom w:val="none" w:sz="0" w:space="0" w:color="auto"/>
        <w:right w:val="none" w:sz="0" w:space="0" w:color="auto"/>
      </w:divBdr>
      <w:divsChild>
        <w:div w:id="2011365641">
          <w:marLeft w:val="0"/>
          <w:marRight w:val="0"/>
          <w:marTop w:val="0"/>
          <w:marBottom w:val="0"/>
          <w:divBdr>
            <w:top w:val="none" w:sz="0" w:space="0" w:color="auto"/>
            <w:left w:val="none" w:sz="0" w:space="0" w:color="auto"/>
            <w:bottom w:val="none" w:sz="0" w:space="0" w:color="auto"/>
            <w:right w:val="none" w:sz="0" w:space="0" w:color="auto"/>
          </w:divBdr>
          <w:divsChild>
            <w:div w:id="292902801">
              <w:marLeft w:val="0"/>
              <w:marRight w:val="0"/>
              <w:marTop w:val="0"/>
              <w:marBottom w:val="0"/>
              <w:divBdr>
                <w:top w:val="none" w:sz="0" w:space="0" w:color="auto"/>
                <w:left w:val="none" w:sz="0" w:space="0" w:color="auto"/>
                <w:bottom w:val="none" w:sz="0" w:space="0" w:color="auto"/>
                <w:right w:val="none" w:sz="0" w:space="0" w:color="auto"/>
              </w:divBdr>
              <w:divsChild>
                <w:div w:id="16623451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91119748">
      <w:bodyDiv w:val="1"/>
      <w:marLeft w:val="0"/>
      <w:marRight w:val="0"/>
      <w:marTop w:val="0"/>
      <w:marBottom w:val="0"/>
      <w:divBdr>
        <w:top w:val="none" w:sz="0" w:space="0" w:color="auto"/>
        <w:left w:val="none" w:sz="0" w:space="0" w:color="auto"/>
        <w:bottom w:val="none" w:sz="0" w:space="0" w:color="auto"/>
        <w:right w:val="none" w:sz="0" w:space="0" w:color="auto"/>
      </w:divBdr>
    </w:div>
    <w:div w:id="1103299746">
      <w:bodyDiv w:val="1"/>
      <w:marLeft w:val="0"/>
      <w:marRight w:val="0"/>
      <w:marTop w:val="0"/>
      <w:marBottom w:val="0"/>
      <w:divBdr>
        <w:top w:val="none" w:sz="0" w:space="0" w:color="auto"/>
        <w:left w:val="none" w:sz="0" w:space="0" w:color="auto"/>
        <w:bottom w:val="none" w:sz="0" w:space="0" w:color="auto"/>
        <w:right w:val="none" w:sz="0" w:space="0" w:color="auto"/>
      </w:divBdr>
    </w:div>
    <w:div w:id="1143500814">
      <w:bodyDiv w:val="1"/>
      <w:marLeft w:val="0"/>
      <w:marRight w:val="0"/>
      <w:marTop w:val="0"/>
      <w:marBottom w:val="0"/>
      <w:divBdr>
        <w:top w:val="none" w:sz="0" w:space="0" w:color="auto"/>
        <w:left w:val="none" w:sz="0" w:space="0" w:color="auto"/>
        <w:bottom w:val="none" w:sz="0" w:space="0" w:color="auto"/>
        <w:right w:val="none" w:sz="0" w:space="0" w:color="auto"/>
      </w:divBdr>
    </w:div>
    <w:div w:id="1192840602">
      <w:bodyDiv w:val="1"/>
      <w:marLeft w:val="0"/>
      <w:marRight w:val="0"/>
      <w:marTop w:val="0"/>
      <w:marBottom w:val="0"/>
      <w:divBdr>
        <w:top w:val="none" w:sz="0" w:space="0" w:color="auto"/>
        <w:left w:val="none" w:sz="0" w:space="0" w:color="auto"/>
        <w:bottom w:val="none" w:sz="0" w:space="0" w:color="auto"/>
        <w:right w:val="none" w:sz="0" w:space="0" w:color="auto"/>
      </w:divBdr>
    </w:div>
    <w:div w:id="1405108154">
      <w:bodyDiv w:val="1"/>
      <w:marLeft w:val="0"/>
      <w:marRight w:val="0"/>
      <w:marTop w:val="0"/>
      <w:marBottom w:val="0"/>
      <w:divBdr>
        <w:top w:val="none" w:sz="0" w:space="0" w:color="auto"/>
        <w:left w:val="none" w:sz="0" w:space="0" w:color="auto"/>
        <w:bottom w:val="none" w:sz="0" w:space="0" w:color="auto"/>
        <w:right w:val="none" w:sz="0" w:space="0" w:color="auto"/>
      </w:divBdr>
    </w:div>
    <w:div w:id="202625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ub-my.sharepoint.com/personal/amaury_laridon_vub_be/Documents/Source2Suffering/Assessment/Nikkei%20Japan/Lifetime%20Exposure/Figures" TargetMode="External"/><Relationship Id="rId5" Type="http://schemas.openxmlformats.org/officeDocument/2006/relationships/hyperlink" Target="mailto:Amaury.Laridon@vub.b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769</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Laridon</dc:creator>
  <cp:keywords/>
  <dc:description/>
  <cp:lastModifiedBy>Amaury Laridon</cp:lastModifiedBy>
  <cp:revision>34</cp:revision>
  <cp:lastPrinted>2025-06-06T12:03:00Z</cp:lastPrinted>
  <dcterms:created xsi:type="dcterms:W3CDTF">2025-05-23T14:25:00Z</dcterms:created>
  <dcterms:modified xsi:type="dcterms:W3CDTF">2025-06-06T12:03:00Z</dcterms:modified>
</cp:coreProperties>
</file>