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595959"/>
          <w:sz w:val="32"/>
        </w:rPr>
        <w:t>Controle de Automação</w:t>
      </w:r>
    </w:p>
    <w:p/>
    <w:p>
      <w:pPr>
        <w:jc w:val="center"/>
      </w:pPr>
      <w:r>
        <w:rPr>
          <w:rFonts w:ascii="Arial" w:hAnsi="Arial"/>
          <w:b/>
          <w:color w:val="1F2937"/>
          <w:sz w:val="52"/>
        </w:rPr>
        <w:t>SQL Patch Manager</w:t>
      </w:r>
    </w:p>
    <w:p>
      <w:pPr>
        <w:jc w:val="center"/>
      </w:pPr>
      <w:r>
        <w:rPr>
          <w:i/>
          <w:color w:val="505050"/>
          <w:sz w:val="22"/>
        </w:rPr>
        <w:t>Automação para aplicação controlada de patches em SQL Server standalone e em Always On Availability Group (AG), com descoberta automática de instâncias, pré-check, pós-check e relatório HTML consolidado.</w:t>
      </w:r>
    </w:p>
    <w:p/>
    <w:p>
      <w:pPr>
        <w:jc w:val="both"/>
      </w:pPr>
      <w:r>
        <w:rPr>
          <w:b w:val="0"/>
        </w:rPr>
        <w:t xml:space="preserve">Este documento descreve como a automação SQL Patch Manager executa patching em servidores Windows com SQL Server, suportando cenários </w:t>
      </w:r>
      <w:r>
        <w:rPr>
          <w:b/>
        </w:rPr>
        <w:t>single</w:t>
      </w:r>
      <w:r>
        <w:rPr>
          <w:b w:val="0"/>
        </w:rPr>
        <w:t xml:space="preserve"> e </w:t>
      </w:r>
      <w:r>
        <w:rPr>
          <w:b/>
        </w:rPr>
        <w:t>cluster</w:t>
      </w:r>
      <w:r>
        <w:rPr>
          <w:b w:val="0"/>
        </w:rPr>
        <w:t xml:space="preserve"> (Always On AG), com descoberta automática de instâncias, seleção de candidata ao failover, espera de estabilização do ambiente e geração de evidências consolidadas para envio por e-mail.</w:t>
      </w:r>
    </w:p>
    <w:p>
      <w:pPr>
        <w:pStyle w:val="Heading1"/>
      </w:pPr>
      <w:r>
        <w:t>1. Sobre o Workflow</w:t>
      </w:r>
    </w:p>
    <w:p>
      <w:pPr>
        <w:jc w:val="both"/>
      </w:pPr>
      <w:r>
        <w:t>O workflow do processo encadeia dois templates: o template principal SQL Patch Manager, responsável pela descoberta, pré-check, patch, pós-check e consolidação do relatório; e o job de envio de e-mail, que consome send_mail_subject e send_mail_body publicados ao final da execução.</w:t>
      </w:r>
    </w:p>
    <w:p>
      <w:pPr>
        <w:jc w:val="both"/>
      </w:pPr>
      <w:r>
        <w:t>A execução pode ser disparada manualmente pelo menu Templates no AAP ou agendada por meio de um Schedule. O operador informa apenas os dados necessários do cenário, e a automação decide o fluxo correto conforme a topologia e o escopo selecionado.</w:t>
      </w:r>
    </w:p>
    <w:p>
      <w:pPr>
        <w:pStyle w:val="Heading1"/>
      </w:pPr>
      <w:r>
        <w:t>2. Parâmetros principais de execução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tblHeader w:val="true"/>
        </w:trPr>
        <w:tc>
          <w:tcPr>
            <w:tcW w:type="dxa" w:w="32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2F3"/>
            <w:shd w:fill="D9E2F3"/>
          </w:tcPr>
          <w:p>
            <w:pPr>
              <w:jc w:val="left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type="dxa" w:w="32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2F3"/>
            <w:shd w:fill="D9E2F3"/>
          </w:tcPr>
          <w:p>
            <w:pPr>
              <w:jc w:val="left"/>
            </w:pPr>
            <w:r>
              <w:rPr>
                <w:b/>
                <w:sz w:val="19"/>
              </w:rPr>
              <w:t>Descrição</w:t>
            </w:r>
          </w:p>
        </w:tc>
        <w:tc>
          <w:tcPr>
            <w:tcW w:type="dxa" w:w="32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2F3"/>
            <w:shd w:fill="D9E2F3"/>
          </w:tcPr>
          <w:p>
            <w:pPr>
              <w:jc w:val="left"/>
            </w:pPr>
            <w:r>
              <w:rPr>
                <w:b/>
                <w:sz w:val="19"/>
              </w:rPr>
              <w:t>Observação operacional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sql_topology</w:t>
            </w:r>
          </w:p>
        </w:tc>
        <w:tc>
          <w:tcPr>
            <w:tcW w:type="dxa" w:w="32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Define a topologia do run: single ou cluster.</w:t>
            </w:r>
          </w:p>
        </w:tc>
        <w:tc>
          <w:tcPr>
            <w:tcW w:type="dxa" w:w="32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No survey o usuário seleciona single ou cluster; internamente o fluxo de cluster corresponde ao cenário de Always On AG.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survey_hosts</w:t>
            </w:r>
          </w:p>
        </w:tc>
        <w:tc>
          <w:tcPr>
            <w:tcW w:type="dxa" w:w="32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Hosts informados pelo operador para iniciar o processamento.</w:t>
            </w:r>
          </w:p>
        </w:tc>
        <w:tc>
          <w:tcPr>
            <w:tcW w:type="dxa" w:w="32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Em cluster, um único host pode ser suficiente para seed do discovery.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sql_instance_name</w:t>
            </w:r>
          </w:p>
        </w:tc>
        <w:tc>
          <w:tcPr>
            <w:tcW w:type="dxa" w:w="32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Instância SQL opcional para forçar escopo manual.</w:t>
            </w:r>
          </w:p>
        </w:tc>
        <w:tc>
          <w:tcPr>
            <w:tcW w:type="dxa" w:w="32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Quando vazio, a automação descobre instâncias automaticamente.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sql_precheck_only</w:t>
            </w:r>
          </w:p>
        </w:tc>
        <w:tc>
          <w:tcPr>
            <w:tcW w:type="dxa" w:w="32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Executa apenas discovery, pré-check e relatório, sem aplicar patch.</w:t>
            </w:r>
          </w:p>
        </w:tc>
        <w:tc>
          <w:tcPr>
            <w:tcW w:type="dxa" w:w="32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Útil para validação prévia do ambiente.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ag_allow_partial_patch</w:t>
            </w:r>
          </w:p>
        </w:tc>
        <w:tc>
          <w:tcPr>
            <w:tcW w:type="dxa" w:w="32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Permite patch parcial em cluster.</w:t>
            </w:r>
          </w:p>
        </w:tc>
        <w:tc>
          <w:tcPr>
            <w:tcW w:type="dxa" w:w="32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Ex.: apenas uma secondary ou apenas a primary.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ag_expand_to_all_nodes</w:t>
            </w:r>
          </w:p>
        </w:tc>
        <w:tc>
          <w:tcPr>
            <w:tcW w:type="dxa" w:w="32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Expande o escopo de patch para todos os nós do AG descoberto.</w:t>
            </w:r>
          </w:p>
        </w:tc>
        <w:tc>
          <w:tcPr>
            <w:tcW w:type="dxa" w:w="32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Não controla discovery; discovery completo do AG sempre ocorre em cluster.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ag_failover_preferred_regex</w:t>
            </w:r>
          </w:p>
        </w:tc>
        <w:tc>
          <w:tcPr>
            <w:tcW w:type="dxa" w:w="32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Regex usada para preferir a secondary candidata ao failover.</w:t>
            </w:r>
          </w:p>
        </w:tc>
        <w:tc>
          <w:tcPr>
            <w:tcW w:type="dxa" w:w="32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No cenário atual, a regra operacional prioriza nós contendo -MZ-.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patch_cifs_share / patch_package_name</w:t>
            </w:r>
          </w:p>
        </w:tc>
        <w:tc>
          <w:tcPr>
            <w:tcW w:type="dxa" w:w="32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Local do pacote de patch e nome do executável.</w:t>
            </w:r>
          </w:p>
        </w:tc>
        <w:tc>
          <w:tcPr>
            <w:tcW w:type="dxa" w:w="32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O patch é localizado em share CIFS e copiado para staging no Windows.</w:t>
            </w:r>
          </w:p>
        </w:tc>
      </w:tr>
    </w:tbl>
    <w:p>
      <w:pPr>
        <w:pStyle w:val="Heading1"/>
      </w:pPr>
      <w:r>
        <w:t>3. Comportamento da automação</w:t>
      </w:r>
    </w:p>
    <w:p>
      <w:pPr>
        <w:pStyle w:val="Heading2"/>
      </w:pPr>
      <w:r>
        <w:t>3.1 Descoberta automática de instâncias</w:t>
      </w:r>
    </w:p>
    <w:p>
      <w:pPr>
        <w:jc w:val="both"/>
      </w:pPr>
      <w:r>
        <w:t>Em standalone, a automação descobre localmente as instâncias instaladas e em estado RUNNING no host informado. Quando existe apenas uma instância elegível, o patch é aplicado por /instancename. Quando há múltiplas instâncias elegíveis no mesmo host e não existe filtro manual de instância, o patch é executado com /allinstances e o pós-check é feito individualmente por instância.</w:t>
      </w:r>
    </w:p>
    <w:p>
      <w:pPr>
        <w:jc w:val="both"/>
      </w:pPr>
      <w:r>
        <w:t>Em cluster, a automação também descobre as instâncias locais, mas identifica automaticamente qual instância pertence ao AG. A partir dessa instância efetiva, descobre a PRIMARY atual, as SECONDARY, a topologia completa e os targets reais de conexão (ServerName / ConnectionTarget).</w:t>
      </w:r>
    </w:p>
    <w:p>
      <w:pPr>
        <w:pStyle w:val="Heading2"/>
      </w:pPr>
      <w:r>
        <w:t>3.2 Fluxo standalone</w:t>
      </w:r>
    </w:p>
    <w:p>
      <w:pPr>
        <w:pStyle w:val="ListBullet"/>
      </w:pPr>
      <w:r>
        <w:t>1) valida entradas; 2) monta plano de execução; 3) descobre instâncias locais; 4) executa precheck por instância; 5) aplica o patch; 6) aguarda as instâncias ficarem prontas; 7) coleta versão final; 8) monta o relatório HTML.</w:t>
      </w:r>
    </w:p>
    <w:p>
      <w:pPr>
        <w:pStyle w:val="ListBullet"/>
      </w:pPr>
      <w:r>
        <w:t>O relatório standalone apresenta estado inicial das instâncias, precheck, ações executadas, estado final das instâncias e pós-check com a versão final por instância.</w:t>
      </w:r>
    </w:p>
    <w:p>
      <w:pPr>
        <w:pStyle w:val="Heading2"/>
      </w:pPr>
      <w:r>
        <w:t>3.3 Fluxo cluster (Always On AG)</w:t>
      </w:r>
    </w:p>
    <w:p>
      <w:pPr>
        <w:pStyle w:val="ListBullet"/>
      </w:pPr>
      <w:r>
        <w:t>1) valida entradas; 2) descobre automaticamente a instância participante do AG; 3) identifica a PRIMARY atual e a topologia do cluster; 4) prepara Remote Registry em todos os nós do AG; 5) executa precheck de saúde na PRIMARY; 6) monta o plano de patch e failover; 7) executa patch e failover conforme o escopo informado; 8) aguarda o AG voltar a saudável; 9) coleta versão final e estado final do AG; 10) gera o relatório HTML.</w:t>
      </w:r>
    </w:p>
    <w:p>
      <w:pPr>
        <w:pStyle w:val="ListBullet"/>
      </w:pPr>
      <w:r>
        <w:t>Regra principal: se a PRIMARY original estiver no escopo, a automação escolhe uma SECONDARY candidata saudável seguindo a regra do -MZ-, executa o failover para essa candidata sem patchá-la obrigatoriamente antes e, em seguida, aplica o patch na PRIMARY original, que passa a ser SECONDARY.</w:t>
      </w:r>
    </w:p>
    <w:p>
      <w:pPr>
        <w:pStyle w:val="ListBullet"/>
      </w:pPr>
      <w:r>
        <w:t>Quando o operador deseja levar o cluster inteiro para a nova versão, o comportamento recomendado é informar um nó seed em survey_hosts e habilitar ag_expand_to_all_nodes=true. Nesse cenário, o escopo de patch é expandido para todos os nós do AG descoberto.</w:t>
      </w:r>
    </w:p>
    <w:p>
      <w:pPr>
        <w:pStyle w:val="Heading1"/>
      </w:pPr>
      <w:r>
        <w:t>4. O que a automação realiza</w:t>
      </w:r>
    </w:p>
    <w:p>
      <w:pPr>
        <w:pStyle w:val="ListBullet"/>
      </w:pPr>
      <w:r>
        <w:t>Validação do Survey e normalização de variáveis amigáveis (single/cluster, sim/não).</w:t>
      </w:r>
    </w:p>
    <w:p>
      <w:pPr>
        <w:pStyle w:val="ListBullet"/>
      </w:pPr>
      <w:r>
        <w:t>Descoberta automática de instâncias SQL e identificação da instância efetiva do AG.</w:t>
      </w:r>
    </w:p>
    <w:p>
      <w:pPr>
        <w:pStyle w:val="ListBullet"/>
      </w:pPr>
      <w:r>
        <w:t>Preparação operacional do cluster com RemoteRegistry em todos os nós descobertos.</w:t>
      </w:r>
    </w:p>
    <w:p>
      <w:pPr>
        <w:pStyle w:val="ListBullet"/>
      </w:pPr>
      <w:r>
        <w:t>Pré-check de saúde: réplicas, databases, sincronização, suspensão e estado da PRIMARY.</w:t>
      </w:r>
    </w:p>
    <w:p>
      <w:pPr>
        <w:pStyle w:val="ListBullet"/>
      </w:pPr>
      <w:r>
        <w:t>Aplicação de patch em standalone e em cluster com suporte a múltiplas instâncias no mesmo host.</w:t>
      </w:r>
    </w:p>
    <w:p>
      <w:pPr>
        <w:pStyle w:val="ListBullet"/>
      </w:pPr>
      <w:r>
        <w:t>Failover controlado para secondary candidata quando a PRIMARY original está no escopo.</w:t>
      </w:r>
    </w:p>
    <w:p>
      <w:pPr>
        <w:pStyle w:val="ListBullet"/>
      </w:pPr>
      <w:r>
        <w:t>Espera de estabilização: instâncias standalone prontas e AG saudável entre etapas críticas.</w:t>
      </w:r>
    </w:p>
    <w:p>
      <w:pPr>
        <w:pStyle w:val="ListBullet"/>
      </w:pPr>
      <w:r>
        <w:t>Pós-check consolidado com versão final do SQL Server e estado final do cluster.</w:t>
      </w:r>
    </w:p>
    <w:p>
      <w:pPr>
        <w:pStyle w:val="ListBullet"/>
      </w:pPr>
      <w:r>
        <w:t>Publicação de send_mail_subject e send_mail_body para envio via job SMTP separado.</w:t>
      </w:r>
    </w:p>
    <w:p>
      <w:pPr>
        <w:pStyle w:val="Heading1"/>
      </w:pPr>
      <w:r>
        <w:t>5. Estrutura dos arquivos</w:t>
      </w:r>
    </w:p>
    <w:p>
      <w:pPr>
        <w:jc w:val="left"/>
      </w:pPr>
      <w:r>
        <w:rPr>
          <w:rFonts w:ascii="Consolas" w:hAnsi="Consolas"/>
          <w:sz w:val="18"/>
        </w:rPr>
        <w:t>SQL Patch Manager BRA/</w:t>
        <w:br/>
        <w:t>├── playbook.yml</w:t>
        <w:br/>
        <w:t>├── defaults/main.yml</w:t>
        <w:br/>
        <w:t>├── tasks/</w:t>
        <w:br/>
        <w:t>│   ├── 00_validate_inputs.yml</w:t>
        <w:br/>
        <w:t>│   ├── 10_plan_targets.yml</w:t>
        <w:br/>
        <w:t>│   ├── 11_register_seed_hosts.yml</w:t>
        <w:br/>
        <w:t>│   ├── 20_mount_cifs.yml</w:t>
        <w:br/>
        <w:t>│   ├── 30_discover_sql_topology.yml</w:t>
        <w:br/>
        <w:t>│   ├── 31_remote_registry_prepare.yml</w:t>
        <w:br/>
        <w:t>│   ├── 32_precheck_single.yml</w:t>
        <w:br/>
        <w:t>│   ├── 33_precheck_ag.yml</w:t>
        <w:br/>
        <w:t>│   ├── 34_register_ag_hosts.yml</w:t>
        <w:br/>
        <w:t>│   ├── 40_patch_single.yml</w:t>
        <w:br/>
        <w:t>│   ├── 41_patch_one_host.yml</w:t>
        <w:br/>
        <w:t>│   ├── 42_failover_to_candidate.yml</w:t>
        <w:br/>
        <w:t>│   ├── 43_patch_ag.yml</w:t>
        <w:br/>
        <w:t>│   ├── 44_wait_ag_healthy.yml</w:t>
        <w:br/>
        <w:t>│   ├── 45_wait_single_instances_ready.yml</w:t>
        <w:br/>
        <w:t>│   ├── 50_postcheck_sql.yml</w:t>
        <w:br/>
        <w:t>│   └── 60_build_report.yml</w:t>
        <w:br/>
        <w:t>├── templates/report.html.j2</w:t>
        <w:br/>
        <w:t>└── vars/queries/*.yml</w:t>
      </w:r>
    </w:p>
    <w:p>
      <w:pPr>
        <w:pStyle w:val="Heading1"/>
      </w:pPr>
      <w:r>
        <w:t>6. Resumo das tasks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tblHeader w:val="true"/>
        </w:trPr>
        <w:tc>
          <w:tcPr>
            <w:tcW w:type="dxa" w:w="48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2F3"/>
            <w:shd w:fill="D9E2F3"/>
          </w:tcPr>
          <w:p>
            <w:pPr>
              <w:jc w:val="left"/>
            </w:pPr>
            <w:r>
              <w:rPr>
                <w:b/>
                <w:sz w:val="19"/>
              </w:rPr>
              <w:t>Task</w:t>
            </w:r>
          </w:p>
        </w:tc>
        <w:tc>
          <w:tcPr>
            <w:tcW w:type="dxa" w:w="48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2F3"/>
            <w:shd w:fill="D9E2F3"/>
          </w:tcPr>
          <w:p>
            <w:pPr>
              <w:jc w:val="left"/>
            </w:pPr>
            <w:r>
              <w:rPr>
                <w:b/>
                <w:sz w:val="19"/>
              </w:rPr>
              <w:t>Função resumida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00_validate_inputs.yml</w:t>
            </w:r>
          </w:p>
        </w:tc>
        <w:tc>
          <w:tcPr>
            <w:tcW w:type="dxa" w:w="48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Valida entradas obrigatórias, normaliza variáveis do survey e inicializa patch_report.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10_plan_targets.yml</w:t>
            </w:r>
          </w:p>
        </w:tc>
        <w:tc>
          <w:tcPr>
            <w:tcW w:type="dxa" w:w="48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Monta os hosts alvo iniciais e a topologia efetiva da execução.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20_mount_cifs.yml</w:t>
            </w:r>
          </w:p>
        </w:tc>
        <w:tc>
          <w:tcPr>
            <w:tcW w:type="dxa" w:w="48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Monta o share CIFS e localiza o executável do patch.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30_discover_sql_topology.yml</w:t>
            </w:r>
          </w:p>
        </w:tc>
        <w:tc>
          <w:tcPr>
            <w:tcW w:type="dxa" w:w="48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Descobre instâncias, topologia standalone ou AG e monta os targets efetivos.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31_remote_registry_prepare.yml</w:t>
            </w:r>
          </w:p>
        </w:tc>
        <w:tc>
          <w:tcPr>
            <w:tcW w:type="dxa" w:w="48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Garante RemoteRegistry em todos os nós do AG.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32_precheck_single.yml</w:t>
            </w:r>
          </w:p>
        </w:tc>
        <w:tc>
          <w:tcPr>
            <w:tcW w:type="dxa" w:w="48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Coleta a versão anterior e valida acesso por instância no standalone.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33_precheck_ag.yml</w:t>
            </w:r>
          </w:p>
        </w:tc>
        <w:tc>
          <w:tcPr>
            <w:tcW w:type="dxa" w:w="48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Coleta health do AG, escolhe candidata ao failover e calcula o plano de patch do cluster.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41_patch_one_host.yml</w:t>
            </w:r>
          </w:p>
        </w:tc>
        <w:tc>
          <w:tcPr>
            <w:tcW w:type="dxa" w:w="48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Copia o patch para o Windows, executa o setup e registra a ação no relatório.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42_failover_to_candidate.yml</w:t>
            </w:r>
          </w:p>
        </w:tc>
        <w:tc>
          <w:tcPr>
            <w:tcW w:type="dxa" w:w="48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Executa o failover para a candidata selecionada e valida mudança de role.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43_patch_ag.yml</w:t>
            </w:r>
          </w:p>
        </w:tc>
        <w:tc>
          <w:tcPr>
            <w:tcW w:type="dxa" w:w="48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Orquestra o fluxo completo do patch no AG conforme o plano calculado.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44_wait_ag_healthy.yml</w:t>
            </w:r>
          </w:p>
        </w:tc>
        <w:tc>
          <w:tcPr>
            <w:tcW w:type="dxa" w:w="48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Aguarda o AG voltar a saudável após patch ou failover.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45_wait_single_instances_ready.yml</w:t>
            </w:r>
          </w:p>
        </w:tc>
        <w:tc>
          <w:tcPr>
            <w:tcW w:type="dxa" w:w="48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Aguarda as instâncias standalone responderem novamente após o patch.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50_postcheck_sql.yml</w:t>
            </w:r>
          </w:p>
        </w:tc>
        <w:tc>
          <w:tcPr>
            <w:tcW w:type="dxa" w:w="48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Coleta a versão final e o estado final do ambiente.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60_build_report.yml</w:t>
            </w:r>
          </w:p>
        </w:tc>
        <w:tc>
          <w:tcPr>
            <w:tcW w:type="dxa" w:w="487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Renderiza o HTML final e publica os dados para o job de e-mail.</w:t>
            </w:r>
          </w:p>
        </w:tc>
      </w:tr>
    </w:tbl>
    <w:p>
      <w:pPr>
        <w:pStyle w:val="Heading1"/>
      </w:pPr>
      <w:r>
        <w:t>7. Job de envio de e-mail</w:t>
      </w:r>
    </w:p>
    <w:p>
      <w:pPr>
        <w:jc w:val="both"/>
      </w:pPr>
      <w:r>
        <w:t>O envio de e-mail é executado por job separado. A automação principal publica send_mail_subject e send_mail_body ao final da execução.</w:t>
      </w:r>
    </w:p>
    <w:p>
      <w:pPr>
        <w:jc w:val="both"/>
      </w:pPr>
      <w:r>
        <w:t>Em sucesso, o relatório apresenta resumo da execução, estado inicial/final do ambiente, ações executadas e pós-check. Em falha, o relatório indica a task, a ação e a mensagem do erro capturado no bloco rescue do playbook.</w:t>
      </w:r>
    </w:p>
    <w:p>
      <w:pPr>
        <w:pStyle w:val="Heading1"/>
      </w:pPr>
      <w:r>
        <w:t>8. Observações operacionais</w:t>
      </w:r>
    </w:p>
    <w:p>
      <w:pPr>
        <w:pStyle w:val="ListBullet"/>
      </w:pPr>
      <w:r>
        <w:t>Em cluster, o discovery completo dos membros do AG sempre ocorre, mesmo quando o patch é parcial.</w:t>
      </w:r>
    </w:p>
    <w:p>
      <w:pPr>
        <w:pStyle w:val="ListBullet"/>
      </w:pPr>
      <w:r>
        <w:t>ag_expand_to_all_nodes controla a expansão do escopo de patch para todos os nós do AG, e não a descoberta dos nós.</w:t>
      </w:r>
    </w:p>
    <w:p>
      <w:pPr>
        <w:pStyle w:val="ListBullet"/>
      </w:pPr>
      <w:r>
        <w:t>sql_precheck_only permite validar o ambiente antes da janela de mudança, sem aplicar o patch.</w:t>
      </w:r>
    </w:p>
    <w:p>
      <w:pPr>
        <w:pStyle w:val="ListBullet"/>
      </w:pPr>
      <w:r>
        <w:t>Quando múltiplas instâncias são encontradas no mesmo host standalone e não existe filtro manual de instância, a automação usa /allinstances para reduzir risco de inconsistência entre execuções separadas.</w:t>
      </w:r>
    </w:p>
    <w:p>
      <w:pPr>
        <w:pStyle w:val="Heading1"/>
      </w:pPr>
      <w:r>
        <w:t>9. Controle de revisão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tblHeader w:val="true"/>
        </w:trPr>
        <w:tc>
          <w:tcPr>
            <w:tcW w:type="dxa" w:w="32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2F3"/>
            <w:shd w:fill="D9E2F3"/>
          </w:tcPr>
          <w:p>
            <w:pPr>
              <w:jc w:val="left"/>
            </w:pPr>
            <w:r>
              <w:rPr>
                <w:b/>
                <w:sz w:val="19"/>
              </w:rPr>
              <w:t>Data da Revisão</w:t>
            </w:r>
          </w:p>
        </w:tc>
        <w:tc>
          <w:tcPr>
            <w:tcW w:type="dxa" w:w="32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2F3"/>
            <w:shd w:fill="D9E2F3"/>
          </w:tcPr>
          <w:p>
            <w:pPr>
              <w:jc w:val="left"/>
            </w:pPr>
            <w:r>
              <w:rPr>
                <w:b/>
                <w:sz w:val="19"/>
              </w:rPr>
              <w:t>Cód. Responsável</w:t>
            </w:r>
          </w:p>
        </w:tc>
        <w:tc>
          <w:tcPr>
            <w:tcW w:type="dxa" w:w="32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2F3"/>
            <w:shd w:fill="D9E2F3"/>
          </w:tcPr>
          <w:p>
            <w:pPr>
              <w:jc w:val="left"/>
            </w:pPr>
            <w:r>
              <w:rPr>
                <w:b/>
                <w:sz w:val="19"/>
              </w:rPr>
              <w:t>Nome Responsável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14/04/2026</w:t>
            </w:r>
          </w:p>
        </w:tc>
        <w:tc>
          <w:tcPr>
            <w:tcW w:type="dxa" w:w="32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M564615</w:t>
            </w:r>
          </w:p>
        </w:tc>
        <w:tc>
          <w:tcPr>
            <w:tcW w:type="dxa" w:w="324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ALEX MAXWEL ALVES CARDOSO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Página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