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374151"/>
          <w:sz w:val="36"/>
        </w:rPr>
        <w:t>Controle de Automação</w:t>
      </w:r>
    </w:p>
    <w:p/>
    <w:p>
      <w:pPr>
        <w:pStyle w:val="Title"/>
        <w:jc w:val="center"/>
      </w:pPr>
      <w:r>
        <w:t>SQL Server Patch Manager</w:t>
      </w:r>
    </w:p>
    <w:p>
      <w:pPr>
        <w:pStyle w:val="CustomSubtitle"/>
        <w:jc w:val="center"/>
      </w:pPr>
      <w:r>
        <w:t>Automação de aplicação de patch em SQL Server standalone e Always On Availability Group</w:t>
      </w:r>
    </w:p>
    <w:p/>
    <w:p>
      <w:pPr>
        <w:jc w:val="center"/>
      </w:pPr>
      <w:r>
        <w:rPr>
          <w:color w:val="4B5563"/>
          <w:sz w:val="22"/>
        </w:rPr>
        <w:t>Este documento descreve como a automação realiza discovery, validação de saúde, patch controlado e geração de relatório consolidado para ambientes SQL Server em cenário standalone e clusterizado (AG), incluindo regras de failover, patch parcial e patch full.</w:t>
      </w:r>
    </w:p>
    <w:p>
      <w:r>
        <w:br/>
      </w:r>
    </w:p>
    <w:p>
      <w:pPr>
        <w:pStyle w:val="Heading1"/>
      </w:pPr>
      <w:r>
        <w:t>1. Sobre o Workflow</w:t>
      </w:r>
    </w:p>
    <w:p>
      <w:r>
        <w:rPr>
          <w:b w:val="0"/>
        </w:rPr>
        <w:t xml:space="preserve">O fluxo operacional do </w:t>
      </w:r>
      <w:r>
        <w:rPr>
          <w:b/>
        </w:rPr>
        <w:t>SQL Server Patch Manager</w:t>
      </w:r>
      <w:r>
        <w:t xml:space="preserve"> normalmente é composto por dois passos:</w:t>
      </w:r>
    </w:p>
    <w:p>
      <w:pPr>
        <w:spacing w:after="60"/>
        <w:ind w:left="340"/>
      </w:pPr>
      <w:r>
        <w:t>• SQL Server Patch Manager: executa o playbook principal responsável por validação, discovery, precheck, aplicação do patch, estabilização do AG, pós-check e montagem do report.</w:t>
      </w:r>
    </w:p>
    <w:p>
      <w:pPr>
        <w:spacing w:after="60"/>
        <w:ind w:left="340"/>
      </w:pPr>
      <w:r>
        <w:t>• Teste_Send_Email (ou job equivalente): realiza o envio do e-mail consolidado com o resultado da execução.</w:t>
      </w:r>
    </w:p>
    <w:p>
      <w:r>
        <w:rPr>
          <w:b w:val="0"/>
        </w:rPr>
        <w:t xml:space="preserve">A execução pode ser </w:t>
      </w:r>
      <w:r>
        <w:rPr>
          <w:b/>
        </w:rPr>
        <w:t>manual</w:t>
      </w:r>
      <w:r>
        <w:t xml:space="preserve">, por meio do template ou workflow no AAP, ou </w:t>
      </w:r>
      <w:r>
        <w:rPr>
          <w:b/>
        </w:rPr>
        <w:t>agendada</w:t>
      </w:r>
      <w:r>
        <w:t xml:space="preserve"> via schedule, seguindo o mesmo padrão operacional usado em outras automações do time.</w:t>
      </w:r>
    </w:p>
    <w:p>
      <w:pPr>
        <w:pStyle w:val="Heading1"/>
      </w:pPr>
      <w:r>
        <w:t>2. Sobre a automação SQL Server Patch Manager</w:t>
      </w:r>
    </w:p>
    <w:p>
      <w:r>
        <w:t>A automação foi desenhada para ficar aderente ao ambiente do cliente e já validada em laboratório com os seguintes comportamentos principais:</w:t>
      </w:r>
    </w:p>
    <w:p>
      <w:pPr>
        <w:ind w:left="340"/>
      </w:pPr>
      <w:r>
        <w:t>• Suporte a SQL Server standalone e Always On Availability Group (AG).</w:t>
      </w:r>
    </w:p>
    <w:p>
      <w:pPr>
        <w:ind w:left="340"/>
      </w:pPr>
      <w:r>
        <w:t>• Conexão em Windows / Integrated authentication, usando PowerShell com Invoke-Sqlcmd.</w:t>
      </w:r>
    </w:p>
    <w:p>
      <w:pPr>
        <w:ind w:left="340"/>
      </w:pPr>
      <w:r>
        <w:t>• Suporte a named instance no formato HOST\INSTANCIA.</w:t>
      </w:r>
    </w:p>
    <w:p>
      <w:pPr>
        <w:ind w:left="340"/>
      </w:pPr>
      <w:r>
        <w:t>• Recebimento dos hosts via survey_hosts, sem dependência de inventário estático fixo.</w:t>
      </w:r>
    </w:p>
    <w:p>
      <w:pPr>
        <w:ind w:left="340"/>
      </w:pPr>
      <w:r>
        <w:t>• Discovery dinâmico da topologia real do AG antes de decidir a ordem de execução.</w:t>
      </w:r>
    </w:p>
    <w:p>
      <w:pPr>
        <w:ind w:left="340"/>
      </w:pPr>
      <w:r>
        <w:t>• Patch parcial ou patch full em AG, respeitando a regra de patchar secondaries antes da primary.</w:t>
      </w:r>
    </w:p>
    <w:p>
      <w:pPr>
        <w:ind w:left="340"/>
      </w:pPr>
      <w:r>
        <w:t>• Fail-fast antes do patch: se o AG vier unhealthy no precheck, a execução falha e envia e-mail.</w:t>
      </w:r>
    </w:p>
    <w:p>
      <w:pPr>
        <w:ind w:left="340"/>
      </w:pPr>
      <w:r>
        <w:t>• Janela de estabilização pós-patch/pós-failover com polling: depois que a automação mexe no AG, ela espera o ambiente voltar a healthy antes de seguir.</w:t>
      </w:r>
    </w:p>
    <w:p>
      <w:pPr>
        <w:ind w:left="340"/>
      </w:pPr>
      <w:r>
        <w:t>• Geração de report HTML consolidado com estado inicial do AG, estado final, ações executadas e pós-check.</w:t>
      </w:r>
    </w:p>
    <w:p>
      <w:pPr>
        <w:pStyle w:val="Heading1"/>
      </w:pPr>
      <w:r>
        <w:t>3. Parâmetros principais do Survey</w:t>
      </w:r>
    </w:p>
    <w:p>
      <w:r>
        <w:t>Os parâmetros mais relevantes usados na execução 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  <w:sz w:val="21"/>
              </w:rPr>
              <w:t>Parâmetro</w:t>
            </w:r>
          </w:p>
        </w:tc>
        <w:tc>
          <w:tcPr>
            <w:tcW w:type="dxa" w:w="4873"/>
            <w:vAlign w:val="center"/>
            <w:shd w:fill="D9E1F2"/>
          </w:tcPr>
          <w:p>
            <w:r/>
            <w:r>
              <w:rPr>
                <w:b/>
                <w:sz w:val="21"/>
              </w:rPr>
              <w:t>Descrição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sz w:val="20"/>
              </w:rPr>
              <w:t>sql_topology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Define se o cenário é standalone (single) ou clusterizado (ag_cluster).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sz w:val="20"/>
              </w:rPr>
              <w:t>survey_hosts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Hosts informados pelo operador no survey. A automação normaliza essa entrada e registra os alvos dinamicamente.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sz w:val="20"/>
              </w:rPr>
              <w:t>sql_instance_name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Nome da instância SQL. No padrão do cliente, normalmente é uma named instance.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sz w:val="20"/>
              </w:rPr>
              <w:t>patch_package_name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Nome do pacote do patch que será localizado no share CIFS.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sz w:val="20"/>
              </w:rPr>
              <w:t>ag_expand_to_all_nodes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Quando verdadeiro, a automação descobre o AG e expande o escopo para todos os nós do cluster.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sz w:val="20"/>
              </w:rPr>
              <w:t>ag_allow_partial_patch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Permite patch parcial no AG, como apenas uma secondary ou a primary com failover controlado.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sz w:val="20"/>
              </w:rPr>
              <w:t>ag_auto_add_failover_candidate_when_primary_selected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Quando a primary está no escopo, permite adicionar automaticamente uma secondary candidata ao plano pré-failover.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sz w:val="20"/>
              </w:rPr>
              <w:t>sql_precheck_only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Executa apenas discovery e prechecks, sem aplicar patch.</w:t>
            </w:r>
          </w:p>
        </w:tc>
      </w:tr>
    </w:tbl>
    <w:p>
      <w:pPr>
        <w:pStyle w:val="Heading1"/>
      </w:pPr>
      <w:r>
        <w:t>4. Fluxo resumido de execução</w:t>
      </w:r>
    </w:p>
    <w:p>
      <w:r>
        <w:t>O fluxo padrão da automação segue esta ordem: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5896"/>
      </w:tblGrid>
      <w:tr>
        <w:tc>
          <w:tcPr>
            <w:tcW w:type="dxa" w:w="4873"/>
            <w:vAlign w:val="center"/>
            <w:shd w:fill="D9EAD3"/>
          </w:tcPr>
          <w:p>
            <w:r/>
            <w:r>
              <w:rPr>
                <w:b/>
                <w:sz w:val="21"/>
              </w:rPr>
              <w:t>Task / Arquivo</w:t>
            </w:r>
          </w:p>
        </w:tc>
        <w:tc>
          <w:tcPr>
            <w:tcW w:type="dxa" w:w="4873"/>
            <w:vAlign w:val="center"/>
            <w:shd w:fill="D9EAD3"/>
          </w:tcPr>
          <w:p>
            <w:r/>
            <w:r>
              <w:rPr>
                <w:b/>
                <w:sz w:val="21"/>
              </w:rPr>
              <w:t>Função resumida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00_validate_inputs.yml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Valida as entradas obrigatórias do survey e inicializa a estrutura do report.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10_plan_targets.yml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Normaliza survey_hosts, define a topologia efetiva e monta o plano inicial de execução.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11_register_seed_hosts.yml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Registra dinamicamente os hosts do survey para delegação WinRM.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20_mount_cifs.yml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Monta o CIFS, localiza o patch e registra o caminho do pacote encontrado.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30_discover_sql_topology.yml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Descobre a topologia SQL / AG: host seed, AG, PRIMARY, SECONDARY e atributos da réplica.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34_register_ag_hosts.yml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Quando o cenário é AG, registra todos os nós descobertos no cluster.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31_remote_registry_prepare.yml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Garante RemoteRegistry nos nós do AG, conforme exigência operacional do fluxo de patch.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32_precheck_single.yml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Precheck do standalone: conectividade e versão antes do patch.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33_precheck_ag.yml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Precheck do AG: valida discovery, health, databases, candidata a failover e regra de patch parcial. Se o AG estiver unhealthy antes do patch, a execução falha.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41_patch_one_host.yml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Executa o patch em um único host.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42_failover_to_candidate.yml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Executa o failover planejado para a secondary candidata e valida a troca de role.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44_wait_ag_healthy.yml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Espera o AG voltar a healthy após patch ou failover, usando polling até a janela máxima definida.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43_patch_ag.yml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Orquestra a ordem completa do patch AG: secondaries -&gt; espera -&gt; failover -&gt; espera -&gt; primary original -&gt; espera.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50_postcheck_sql.yml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Coleta a versão final do SQL e o estado final do AG.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rPr>
                <w:b/>
                <w:sz w:val="20"/>
              </w:rPr>
              <w:t>60_build_report.yml</w:t>
            </w:r>
          </w:p>
        </w:tc>
        <w:tc>
          <w:tcPr>
            <w:tcW w:type="dxa" w:w="5896"/>
            <w:vAlign w:val="center"/>
          </w:tcPr>
          <w:p>
            <w:r/>
            <w:r>
              <w:rPr>
                <w:b w:val="0"/>
                <w:sz w:val="20"/>
              </w:rPr>
              <w:t>Renderiza o HTML final e publica o conteúdo do e-mail.</w:t>
            </w:r>
          </w:p>
        </w:tc>
      </w:tr>
    </w:tbl>
    <w:p>
      <w:pPr>
        <w:pStyle w:val="Heading1"/>
      </w:pPr>
      <w:r>
        <w:t>5. Cenários suportados</w:t>
      </w:r>
    </w:p>
    <w:p>
      <w:pPr>
        <w:pStyle w:val="Heading2"/>
      </w:pPr>
      <w:r>
        <w:t>5.1 Standalone</w:t>
      </w:r>
    </w:p>
    <w:p>
      <w:pPr>
        <w:ind w:left="340"/>
      </w:pPr>
      <w:r>
        <w:t>• Executa discovery local, precheck da instância, aplicação do patch e pós-check de versão.</w:t>
      </w:r>
    </w:p>
    <w:p>
      <w:pPr>
        <w:ind w:left="340"/>
      </w:pPr>
      <w:r>
        <w:t>• Não há failover nem lógica de AG.</w:t>
      </w:r>
    </w:p>
    <w:p>
      <w:pPr>
        <w:pStyle w:val="Heading2"/>
      </w:pPr>
      <w:r>
        <w:t>5.2 AG full</w:t>
      </w:r>
    </w:p>
    <w:p>
      <w:pPr>
        <w:ind w:left="340"/>
      </w:pPr>
      <w:r>
        <w:t>• Patch nas secondaries pré-failover.</w:t>
      </w:r>
    </w:p>
    <w:p>
      <w:pPr>
        <w:ind w:left="340"/>
      </w:pPr>
      <w:r>
        <w:t>• Espera o AG estabilizar.</w:t>
      </w:r>
    </w:p>
    <w:p>
      <w:pPr>
        <w:ind w:left="340"/>
      </w:pPr>
      <w:r>
        <w:t>• Failover para a secondary candidata.</w:t>
      </w:r>
    </w:p>
    <w:p>
      <w:pPr>
        <w:ind w:left="340"/>
      </w:pPr>
      <w:r>
        <w:t>• Nova espera de estabilização.</w:t>
      </w:r>
    </w:p>
    <w:p>
      <w:pPr>
        <w:ind w:left="340"/>
      </w:pPr>
      <w:r>
        <w:t>• Patch da primary original, agora como secondary.</w:t>
      </w:r>
    </w:p>
    <w:p>
      <w:pPr>
        <w:ind w:left="340"/>
      </w:pPr>
      <w:r>
        <w:t>• Nova espera de estabilização e pós-check final.</w:t>
      </w:r>
    </w:p>
    <w:p>
      <w:pPr>
        <w:pStyle w:val="Heading2"/>
      </w:pPr>
      <w:r>
        <w:t>5.3 AG parcial</w:t>
      </w:r>
    </w:p>
    <w:p>
      <w:pPr>
        <w:ind w:left="340"/>
      </w:pPr>
      <w:r>
        <w:t>• Pode patchar apenas uma secondary, duas secondaries, apenas a primary (com failover controlado) ou um subconjunto do AG.</w:t>
      </w:r>
    </w:p>
    <w:p>
      <w:pPr>
        <w:ind w:left="340"/>
      </w:pPr>
      <w:r>
        <w:t>• Quando a primary está no escopo, a automação precisa encontrar uma secondary candidata saudável antes de seguir.</w:t>
      </w:r>
    </w:p>
    <w:p>
      <w:pPr>
        <w:pStyle w:val="Heading1"/>
      </w:pPr>
      <w:r>
        <w:t>6. Regras de negócio mais importantes</w:t>
      </w:r>
    </w:p>
    <w:p>
      <w:pPr>
        <w:ind w:left="340"/>
      </w:pPr>
      <w:r>
        <w:t>• Se o AG já vier unhealthy antes do patch, a automação falha e envia e-mail. Não há tentativa de seguir com ambiente instável.</w:t>
      </w:r>
    </w:p>
    <w:p>
      <w:pPr>
        <w:ind w:left="340"/>
      </w:pPr>
      <w:r>
        <w:t>• Quando a primary está no escopo, a automação não patcha a primary diretamente: ela escolhe uma secondary saudável, prefere nós -MZ-, faz failover e só depois patcha a primary original.</w:t>
      </w:r>
    </w:p>
    <w:p>
      <w:pPr>
        <w:ind w:left="340"/>
      </w:pPr>
      <w:r>
        <w:t>• Em AG, depois de patch ou failover, a automação sempre espera o AG voltar a healthy antes de seguir para a próxima fase.</w:t>
      </w:r>
    </w:p>
    <w:p>
      <w:pPr>
        <w:ind w:left="340"/>
      </w:pPr>
      <w:r>
        <w:t>• O pós-check coleta versão final e estado final do AG para todos os nós relevantes.</w:t>
      </w:r>
    </w:p>
    <w:p>
      <w:pPr>
        <w:pStyle w:val="Heading1"/>
      </w:pPr>
      <w:r>
        <w:t>7. Particularidades do laboratório</w:t>
      </w:r>
    </w:p>
    <w:p>
      <w:r>
        <w:t>Durante os testes em laboratório, alguns ajustes foram necessários por causa do ambiente AAP em CRC/OpenShift:</w:t>
      </w:r>
    </w:p>
    <w:p>
      <w:pPr>
        <w:ind w:left="340"/>
      </w:pPr>
      <w:r>
        <w:t>• Preservação de ansible_host com IP real, pois o pod do OpenShift não resolvia corretamente os hostnames Windows.</w:t>
      </w:r>
    </w:p>
    <w:p>
      <w:pPr>
        <w:ind w:left="340"/>
      </w:pPr>
      <w:r>
        <w:t>• Uso de -TrustServerCertificate nas chamadas Invoke-Sqlcmd no laboratório.</w:t>
      </w:r>
    </w:p>
    <w:p>
      <w:pPr>
        <w:ind w:left="340"/>
      </w:pPr>
      <w:r>
        <w:t>• Cópia do patch feita pelo próprio host Windows via share SMB, como adaptação ao ambiente do lab.</w:t>
      </w:r>
    </w:p>
    <w:p>
      <w:pPr>
        <w:ind w:left="340"/>
      </w:pPr>
      <w:r>
        <w:t>• Validação completa em WSFC com witness, domínio e três nós SQL, simulando o cenário do cliente.</w:t>
      </w:r>
    </w:p>
    <w:p>
      <w:pPr>
        <w:pStyle w:val="Heading1"/>
      </w:pPr>
      <w:r>
        <w:t>8. Job de envio de e-mail e relatório</w:t>
      </w:r>
    </w:p>
    <w:p>
      <w:r>
        <w:t>Ao final da execução, o SQL Server Patch Manager publica as variáveis de saída para envio do relatório HTML por e-mail. O report consolidado apresenta:</w:t>
      </w:r>
    </w:p>
    <w:p>
      <w:pPr>
        <w:ind w:left="340"/>
      </w:pPr>
      <w:r>
        <w:t>• Resumo da execução (executor, ambiente, topologia, hosts, instância e patch).</w:t>
      </w:r>
    </w:p>
    <w:p>
      <w:pPr>
        <w:ind w:left="340"/>
      </w:pPr>
      <w:r>
        <w:t>• Estado inicial do AG.</w:t>
      </w:r>
    </w:p>
    <w:p>
      <w:pPr>
        <w:ind w:left="340"/>
      </w:pPr>
      <w:r>
        <w:t>• Precheck e evidências operacionais, como RemoteRegistry.</w:t>
      </w:r>
    </w:p>
    <w:p>
      <w:pPr>
        <w:ind w:left="340"/>
      </w:pPr>
      <w:r>
        <w:t>• Estado final do AG.</w:t>
      </w:r>
    </w:p>
    <w:p>
      <w:pPr>
        <w:ind w:left="340"/>
      </w:pPr>
      <w:r>
        <w:t>• Ações executadas (patch, espera do AG saudável, failover, etc.).</w:t>
      </w:r>
    </w:p>
    <w:p>
      <w:pPr>
        <w:ind w:left="340"/>
      </w:pPr>
      <w:r>
        <w:t>• Pós-check com a versão final identificada em cada host.</w:t>
      </w:r>
    </w:p>
    <w:p>
      <w:r>
        <w:t>Em caso de falha, o report mostra a task que falhou, o motivo da falha e o ponto da execução em que a automação foi interrompida.</w:t>
      </w:r>
    </w:p>
    <w:p>
      <w:pPr>
        <w:pStyle w:val="Heading1"/>
      </w:pPr>
      <w:r>
        <w:t>9. Estrutura dos Arquivos</w:t>
      </w:r>
    </w:p>
    <w:p>
      <w:r>
        <w:t>Os arquivos estão organizados em formato simples de projeto Ansible:</w:t>
      </w:r>
    </w:p>
    <w:p>
      <w:r>
        <w:rPr>
          <w:rFonts w:ascii="Courier New" w:hAnsi="Courier New"/>
          <w:sz w:val="19"/>
        </w:rPr>
        <w:t>SQL Patch Manager/</w:t>
        <w:br/>
      </w:r>
      <w:r>
        <w:rPr>
          <w:rFonts w:ascii="Courier New" w:hAnsi="Courier New"/>
          <w:sz w:val="19"/>
        </w:rPr>
        <w:t>├── playbook.yml</w:t>
        <w:br/>
      </w:r>
      <w:r>
        <w:rPr>
          <w:rFonts w:ascii="Courier New" w:hAnsi="Courier New"/>
          <w:sz w:val="19"/>
        </w:rPr>
        <w:t>├── defaults/</w:t>
        <w:br/>
      </w:r>
      <w:r>
        <w:rPr>
          <w:rFonts w:ascii="Courier New" w:hAnsi="Courier New"/>
          <w:sz w:val="19"/>
        </w:rPr>
        <w:t>│   └── main.yml</w:t>
        <w:br/>
      </w:r>
      <w:r>
        <w:rPr>
          <w:rFonts w:ascii="Courier New" w:hAnsi="Courier New"/>
          <w:sz w:val="19"/>
        </w:rPr>
        <w:t>├── vars/</w:t>
        <w:br/>
      </w:r>
      <w:r>
        <w:rPr>
          <w:rFonts w:ascii="Courier New" w:hAnsi="Courier New"/>
          <w:sz w:val="19"/>
        </w:rPr>
        <w:t>│   └── queries/</w:t>
        <w:br/>
      </w:r>
      <w:r>
        <w:rPr>
          <w:rFonts w:ascii="Courier New" w:hAnsi="Courier New"/>
          <w:sz w:val="19"/>
        </w:rPr>
        <w:t>├── tasks/</w:t>
        <w:br/>
      </w:r>
      <w:r>
        <w:rPr>
          <w:rFonts w:ascii="Courier New" w:hAnsi="Courier New"/>
          <w:sz w:val="19"/>
        </w:rPr>
        <w:t>│   ├── 00_validate_inputs.yml</w:t>
        <w:br/>
      </w:r>
      <w:r>
        <w:rPr>
          <w:rFonts w:ascii="Courier New" w:hAnsi="Courier New"/>
          <w:sz w:val="19"/>
        </w:rPr>
        <w:t>│   ├── 10_plan_targets.yml</w:t>
        <w:br/>
      </w:r>
      <w:r>
        <w:rPr>
          <w:rFonts w:ascii="Courier New" w:hAnsi="Courier New"/>
          <w:sz w:val="19"/>
        </w:rPr>
        <w:t>│   ├── 11_register_seed_hosts.yml</w:t>
        <w:br/>
      </w:r>
      <w:r>
        <w:rPr>
          <w:rFonts w:ascii="Courier New" w:hAnsi="Courier New"/>
          <w:sz w:val="19"/>
        </w:rPr>
        <w:t>│   ├── 20_mount_cifs.yml</w:t>
        <w:br/>
      </w:r>
      <w:r>
        <w:rPr>
          <w:rFonts w:ascii="Courier New" w:hAnsi="Courier New"/>
          <w:sz w:val="19"/>
        </w:rPr>
        <w:t>│   ├── 30_discover_sql_topology.yml</w:t>
        <w:br/>
      </w:r>
      <w:r>
        <w:rPr>
          <w:rFonts w:ascii="Courier New" w:hAnsi="Courier New"/>
          <w:sz w:val="19"/>
        </w:rPr>
        <w:t>│   ├── 31_remote_registry_prepare.yml</w:t>
        <w:br/>
      </w:r>
      <w:r>
        <w:rPr>
          <w:rFonts w:ascii="Courier New" w:hAnsi="Courier New"/>
          <w:sz w:val="19"/>
        </w:rPr>
        <w:t>│   ├── 32_precheck_single.yml</w:t>
        <w:br/>
      </w:r>
      <w:r>
        <w:rPr>
          <w:rFonts w:ascii="Courier New" w:hAnsi="Courier New"/>
          <w:sz w:val="19"/>
        </w:rPr>
        <w:t>│   ├── 33_precheck_ag.yml</w:t>
        <w:br/>
      </w:r>
      <w:r>
        <w:rPr>
          <w:rFonts w:ascii="Courier New" w:hAnsi="Courier New"/>
          <w:sz w:val="19"/>
        </w:rPr>
        <w:t>│   ├── 34_register_ag_hosts.yml</w:t>
        <w:br/>
      </w:r>
      <w:r>
        <w:rPr>
          <w:rFonts w:ascii="Courier New" w:hAnsi="Courier New"/>
          <w:sz w:val="19"/>
        </w:rPr>
        <w:t>│   ├── 41_patch_one_host.yml</w:t>
        <w:br/>
      </w:r>
      <w:r>
        <w:rPr>
          <w:rFonts w:ascii="Courier New" w:hAnsi="Courier New"/>
          <w:sz w:val="19"/>
        </w:rPr>
        <w:t>│   ├── 42_failover_to_candidate.yml</w:t>
        <w:br/>
      </w:r>
      <w:r>
        <w:rPr>
          <w:rFonts w:ascii="Courier New" w:hAnsi="Courier New"/>
          <w:sz w:val="19"/>
        </w:rPr>
        <w:t>│   ├── 43_patch_ag.yml</w:t>
        <w:br/>
      </w:r>
      <w:r>
        <w:rPr>
          <w:rFonts w:ascii="Courier New" w:hAnsi="Courier New"/>
          <w:sz w:val="19"/>
        </w:rPr>
        <w:t>│   ├── 44_wait_ag_healthy.yml</w:t>
        <w:br/>
      </w:r>
      <w:r>
        <w:rPr>
          <w:rFonts w:ascii="Courier New" w:hAnsi="Courier New"/>
          <w:sz w:val="19"/>
        </w:rPr>
        <w:t>│   ├── 50_postcheck_sql.yml</w:t>
        <w:br/>
      </w:r>
      <w:r>
        <w:rPr>
          <w:rFonts w:ascii="Courier New" w:hAnsi="Courier New"/>
          <w:sz w:val="19"/>
        </w:rPr>
        <w:t>│   └── 60_build_report.yml</w:t>
        <w:br/>
      </w:r>
      <w:r>
        <w:rPr>
          <w:rFonts w:ascii="Courier New" w:hAnsi="Courier New"/>
          <w:sz w:val="19"/>
        </w:rPr>
        <w:t>└── templates/</w:t>
        <w:br/>
      </w:r>
      <w:r>
        <w:rPr>
          <w:rFonts w:ascii="Courier New" w:hAnsi="Courier New"/>
          <w:sz w:val="19"/>
        </w:rPr>
        <w:t xml:space="preserve">    └── report.html.j2</w:t>
      </w:r>
    </w:p>
    <w:p>
      <w:pPr>
        <w:pStyle w:val="Heading1"/>
      </w:pPr>
      <w:r>
        <w:t>10. Resultado atual do projeto</w:t>
      </w:r>
    </w:p>
    <w:p>
      <w:r>
        <w:t>Até o momento, já foram validados em laboratório:</w:t>
      </w:r>
    </w:p>
    <w:p>
      <w:pPr>
        <w:ind w:left="340"/>
      </w:pPr>
      <w:r>
        <w:t>• Cenário standalone com patch aplicado com sucesso.</w:t>
      </w:r>
    </w:p>
    <w:p>
      <w:pPr>
        <w:ind w:left="340"/>
      </w:pPr>
      <w:r>
        <w:t>• Cenário AG com discovery, precheck, failover e pós-check funcionais.</w:t>
      </w:r>
    </w:p>
    <w:p>
      <w:pPr>
        <w:ind w:left="340"/>
      </w:pPr>
      <w:r>
        <w:t>• Fluxo full AG com patch em secondaries, failover controlado, patch da primary original e pós-check nos três nós.</w:t>
      </w:r>
    </w:p>
    <w:p>
      <w:pPr>
        <w:ind w:left="340"/>
      </w:pPr>
      <w:r>
        <w:t>• Geração de report HTML consolidado.</w:t>
      </w:r>
    </w:p>
    <w:p>
      <w:pPr>
        <w:pStyle w:val="Heading1"/>
      </w:pPr>
      <w:r>
        <w:t>11. Data da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1F2"/>
          </w:tcPr>
          <w:p>
            <w:r/>
            <w:r>
              <w:rPr>
                <w:b/>
                <w:sz w:val="21"/>
              </w:rPr>
              <w:t>Data da Revisão</w:t>
            </w:r>
          </w:p>
        </w:tc>
        <w:tc>
          <w:tcPr>
            <w:tcW w:type="dxa" w:w="3249"/>
            <w:vAlign w:val="center"/>
            <w:shd w:fill="D9E1F2"/>
          </w:tcPr>
          <w:p>
            <w:r/>
            <w:r>
              <w:rPr>
                <w:b/>
                <w:sz w:val="21"/>
              </w:rPr>
              <w:t>Cód. Responsável</w:t>
            </w:r>
          </w:p>
        </w:tc>
        <w:tc>
          <w:tcPr>
            <w:tcW w:type="dxa" w:w="3249"/>
            <w:vAlign w:val="center"/>
            <w:shd w:fill="D9E1F2"/>
          </w:tcPr>
          <w:p>
            <w:r/>
            <w:r>
              <w:rPr>
                <w:b/>
                <w:sz w:val="21"/>
              </w:rPr>
              <w:t>Nome Responsável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  <w:sz w:val="21"/>
              </w:rPr>
              <w:t>07/04/2026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21"/>
              </w:rPr>
              <w:t>M564615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  <w:sz w:val="21"/>
              </w:rPr>
              <w:t>ALEX MAXWEL ALVES CARDOSO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Subtitle">
    <w:name w:val="Custom Subtitle"/>
    <w:rPr>
      <w:rFonts w:ascii="Calibri" w:hAnsi="Calibri"/>
      <w:b/>
      <w:color w:val="4B5563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