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144169"/>
          <w:sz w:val="68"/>
        </w:rPr>
        <w:t>SHARPEE</w:t>
      </w:r>
    </w:p>
    <w:p>
      <w:pPr>
        <w:jc w:val="center"/>
      </w:pPr>
      <w:r>
        <w:rPr>
          <w:b/>
          <w:color w:val="2D3741"/>
          <w:sz w:val="36"/>
        </w:rPr>
        <w:t>Deep Learning for Statistical Arbitrage</w:t>
      </w:r>
    </w:p>
    <w:p>
      <w:pPr>
        <w:spacing w:before="160"/>
        <w:jc w:val="center"/>
      </w:pPr>
      <w:r>
        <w:rPr>
          <w:i/>
          <w:color w:val="5A6978"/>
          <w:sz w:val="24"/>
        </w:rPr>
        <w:t xml:space="preserve">A four-week research and engineering project plan — revision 2</w:t>
      </w:r>
    </w:p>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PROJECT GOAL</w:t>
              <w:br/>
            </w:r>
            <w:r>
              <w:rPr>
                <w:sz w:val="18"/>
              </w:rPr>
              <w:t>Build a reproducible quantitative-finance research system that compares a classical mean-reversion strategy with neural trading models, optimizes portfolio-level risk-adjusted returns after estimated costs, and evaluates results using rigorous walk-forward backtesting.</w:t>
            </w:r>
          </w:p>
        </w:tc>
      </w:tr>
    </w:tbl>
    <w:p>
      <w:pPr>
        <w:spacing w:after="20"/>
      </w:pPr>
    </w:p>
    <w:p>
      <w:pPr>
        <w:spacing w:before="360"/>
        <w:jc w:val="center"/>
      </w:pPr>
      <w:r>
        <w:rPr>
          <w:color w:val="505F6E"/>
          <w:sz w:val="18"/>
        </w:rPr>
        <w:t>Python  |  PyTorch  |  PCA  |  Portfolio Optimization  |  Backtesting  |  Streamlit</w:t>
      </w:r>
    </w:p>
    <w:p>
      <w:r>
        <w:br w:type="page"/>
      </w:r>
    </w:p>
    <w:p>
      <w:pPr>
        <w:pStyle w:val="Heading1"/>
      </w:pPr>
      <w:r>
        <w:t>Executive Summary</w:t>
      </w:r>
    </w:p>
    <w:p>
      <w:r>
        <w:t>Sharpee is a portfolio project for a computer-science fresher aiming to enter quantitative research, quantitative development, or machine-learning engineering in finance. It combines financial time-series analysis, statistical arbitrage, deep learning, portfolio construction, software testing, and clear research communication.</w:t>
      </w:r>
    </w:p>
    <w:p>
      <w:r>
        <w:t>The project should not be judged by whether a Transformer beats every baseline. Its value comes from a sound research process: no look-ahead bias, consistent execution assumptions, honest out-of-sample evaluation, reproducible code, and clear reporting.</w:t>
      </w:r>
    </w:p>
    <w:p>
      <w:pPr>
        <w:pStyle w:val="Heading2"/>
      </w:pPr>
      <w:r>
        <w:t>Primary deliverables</w:t>
      </w:r>
    </w:p>
    <w:p>
      <w:pPr>
        <w:pStyle w:val="ListBullet"/>
        <w:spacing w:after="40"/>
      </w:pPr>
      <w:r>
        <w:t>Historical equity data pipeline with documented limitations.</w:t>
      </w:r>
    </w:p>
    <w:p>
      <w:pPr>
        <w:pStyle w:val="ListBullet"/>
        <w:spacing w:after="40"/>
      </w:pPr>
      <w:r>
        <w:t>Rolling PCA residual construction and diagnostics.</w:t>
      </w:r>
    </w:p>
    <w:p>
      <w:pPr>
        <w:pStyle w:val="ListBullet"/>
        <w:spacing w:after="40"/>
      </w:pPr>
      <w:r>
        <w:t>Classical OU / s-score mean-reversion baseline.</w:t>
      </w:r>
    </w:p>
    <w:p>
      <w:pPr>
        <w:pStyle w:val="ListBullet"/>
        <w:spacing w:after="40"/>
      </w:pPr>
      <w:r>
        <w:t xml:space="preserve">MLP baseline and a compact Transformer; temporal CNN if time permits.</w:t>
      </w:r>
    </w:p>
    <w:p>
      <w:pPr>
        <w:pStyle w:val="ListBullet"/>
        <w:spacing w:after="40"/>
      </w:pPr>
      <w:r>
        <w:t xml:space="preserve">Portfolio-level Sharpe objective, net of transaction costs, on factor-hedged weights, with the same constraints in training and backtesting.</w:t>
      </w:r>
    </w:p>
    <w:p>
      <w:pPr>
        <w:pStyle w:val="ListBullet"/>
        <w:spacing w:after="40"/>
      </w:pPr>
      <w:r>
        <w:t xml:space="preserve">Reusable walk-forward backtesting engine with embargoes, Sharpe significance tests (PSR, DSR), and unit tests.</w:t>
      </w:r>
    </w:p>
    <w:p>
      <w:pPr>
        <w:pStyle w:val="ListBullet"/>
        <w:spacing w:after="40"/>
      </w:pPr>
      <w:r>
        <w:t>Research report, plots, Streamlit dashboard, and clean GitHub repository.</w:t>
      </w:r>
    </w:p>
    <w:p>
      <w:pPr>
        <w:pStyle w:val="Heading2"/>
      </w:pPr>
      <w:r>
        <w:t xml:space="preserve">Revision notes (v2)</w:t>
      </w:r>
    </w:p>
    <w:p>
      <w:r>
        <w:t xml:space="preserve">This revision keeps the original scope, structure, and roadmap and resolves places where sections contradicted each other or a convention was left undefined. Each change below is applied in the section named.</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 xml:space="preserve">Section</w:t>
            </w:r>
          </w:p>
        </w:tc>
        <w:tc>
          <w:tcPr>
            <w:tcW w:type="dxa" w:w="4968"/>
            <w:shd w:fill="174A70"/>
          </w:tcPr>
          <w:p>
            <w:pPr>
              <w:spacing w:after="20"/>
            </w:pPr>
            <w:r/>
            <w:r>
              <w:rPr>
                <w:rFonts w:ascii="Aptos" w:hAnsi="Aptos"/>
                <w:b/>
                <w:color w:val="FFFFFF"/>
                <w:sz w:val="18"/>
              </w:rPr>
              <w:t xml:space="preserve">Revision</w:t>
            </w:r>
          </w:p>
        </w:tc>
      </w:tr>
      <w:tr>
        <w:tc>
          <w:tcPr>
            <w:tcW w:type="dxa" w:w="4968"/>
            <w:shd w:fill="174A70"/>
          </w:tcPr>
          <w:p>
            <w:pPr>
              <w:spacing w:after="20"/>
            </w:pPr>
            <w:r/>
            <w:r>
              <w:rPr>
                <w:rFonts w:ascii="Aptos" w:hAnsi="Aptos"/>
                <w:b/>
                <w:color w:val="FFFFFF"/>
                <w:sz w:val="18"/>
              </w:rPr>
              <w:t xml:space="preserve">4. Data</w:t>
            </w:r>
          </w:p>
        </w:tc>
        <w:tc>
          <w:tcPr>
            <w:tcW w:type="dxa" w:w="4968"/>
            <w:shd w:fill="174A70"/>
          </w:tcPr>
          <w:p>
            <w:pPr>
              <w:spacing w:after="20"/>
            </w:pPr>
            <w:r/>
            <w:r>
              <w:rPr>
                <w:rFonts w:ascii="Aptos" w:hAnsi="Aptos"/>
                <w:b/>
                <w:color w:val="FFFFFF"/>
                <w:sz w:val="18"/>
              </w:rPr>
              <w:t xml:space="preserve">Point-in-time membership and a per-date eligibility mask replace the whole-period history filter, which reintroduced survivorship bias. Data starts in 2008 so the PCA warm-up ends before the first training sample.</w:t>
            </w:r>
          </w:p>
        </w:tc>
      </w:tr>
      <w:tr>
        <w:tc>
          <w:tcPr>
            <w:tcW w:type="dxa" w:w="4968"/>
            <w:shd w:fill="174A70"/>
          </w:tcPr>
          <w:p>
            <w:pPr>
              <w:spacing w:after="20"/>
            </w:pPr>
            <w:r/>
            <w:r>
              <w:rPr>
                <w:rFonts w:ascii="Aptos" w:hAnsi="Aptos"/>
                <w:b/>
                <w:color w:val="FFFFFF"/>
                <w:sz w:val="18"/>
              </w:rPr>
              <w:t xml:space="preserve">5. Residuals</w:t>
            </w:r>
          </w:p>
        </w:tc>
        <w:tc>
          <w:tcPr>
            <w:tcW w:type="dxa" w:w="4968"/>
            <w:shd w:fill="174A70"/>
          </w:tcPr>
          <w:p>
            <w:pPr>
              <w:spacing w:after="20"/>
            </w:pPr>
            <w:r/>
            <w:r>
              <w:rPr>
                <w:rFonts w:ascii="Aptos" w:hAnsi="Aptos"/>
                <w:b/>
                <w:color w:val="FFFFFF"/>
                <w:sz w:val="18"/>
              </w:rPr>
              <w:t xml:space="preserve">Simple returns replace log returns, because portfolio returns are sums of weighted simple returns. Factor returns and the residual matrix Phi are defined explicitly.</w:t>
            </w:r>
          </w:p>
        </w:tc>
      </w:tr>
      <w:tr>
        <w:tc>
          <w:tcPr>
            <w:tcW w:type="dxa" w:w="4968"/>
            <w:shd w:fill="174A70"/>
          </w:tcPr>
          <w:p>
            <w:pPr>
              <w:spacing w:after="20"/>
            </w:pPr>
            <w:r/>
            <w:r>
              <w:rPr>
                <w:rFonts w:ascii="Aptos" w:hAnsi="Aptos"/>
                <w:b/>
                <w:color w:val="FFFFFF"/>
                <w:sz w:val="18"/>
              </w:rPr>
              <w:t xml:space="preserve">6. OU baseline</w:t>
            </w:r>
          </w:p>
        </w:tc>
        <w:tc>
          <w:tcPr>
            <w:tcW w:type="dxa" w:w="4968"/>
            <w:shd w:fill="174A70"/>
          </w:tcPr>
          <w:p>
            <w:pPr>
              <w:spacing w:after="20"/>
            </w:pPr>
            <w:r/>
            <w:r>
              <w:rPr>
                <w:rFonts w:ascii="Aptos" w:hAnsi="Aptos"/>
                <w:b/>
                <w:color w:val="FFFFFF"/>
                <w:sz w:val="18"/>
              </w:rPr>
              <w:t xml:space="preserve">The OU signal is the cumulative residual. The s-score divides by the equilibrium deviation sigma_eq, not the diffusion sigma. The AR(1) conversion, kappa filter, and default thresholds are stated.</w:t>
            </w:r>
          </w:p>
        </w:tc>
      </w:tr>
      <w:tr>
        <w:tc>
          <w:tcPr>
            <w:tcW w:type="dxa" w:w="4968"/>
            <w:shd w:fill="174A70"/>
          </w:tcPr>
          <w:p>
            <w:pPr>
              <w:spacing w:after="20"/>
            </w:pPr>
            <w:r/>
            <w:r>
              <w:rPr>
                <w:rFonts w:ascii="Aptos" w:hAnsi="Aptos"/>
                <w:b/>
                <w:color w:val="FFFFFF"/>
                <w:sz w:val="18"/>
              </w:rPr>
              <w:t xml:space="preserve">7. Dataset and splits</w:t>
            </w:r>
          </w:p>
        </w:tc>
        <w:tc>
          <w:tcPr>
            <w:tcW w:type="dxa" w:w="4968"/>
            <w:shd w:fill="174A70"/>
          </w:tcPr>
          <w:p>
            <w:pPr>
              <w:spacing w:after="20"/>
            </w:pPr>
            <w:r/>
            <w:r>
              <w:rPr>
                <w:rFonts w:ascii="Aptos" w:hAnsi="Aptos"/>
                <w:b/>
                <w:color w:val="FFFFFF"/>
                <w:sz w:val="18"/>
              </w:rPr>
              <w:t xml:space="preserve">Training input is a contiguous block of days covering all stocks, so a portfolio Sharpe can be computed. The fixed split table becomes expanding walk-forward folds with 30-day embargoes.</w:t>
            </w:r>
          </w:p>
        </w:tc>
      </w:tr>
      <w:tr>
        <w:tc>
          <w:tcPr>
            <w:tcW w:type="dxa" w:w="4968"/>
            <w:shd w:fill="174A70"/>
          </w:tcPr>
          <w:p>
            <w:pPr>
              <w:spacing w:after="20"/>
            </w:pPr>
            <w:r/>
            <w:r>
              <w:rPr>
                <w:rFonts w:ascii="Aptos" w:hAnsi="Aptos"/>
                <w:b/>
                <w:color w:val="FFFFFF"/>
                <w:sz w:val="18"/>
              </w:rPr>
              <w:t xml:space="preserve">9. Optimization</w:t>
            </w:r>
          </w:p>
        </w:tc>
        <w:tc>
          <w:tcPr>
            <w:tcW w:type="dxa" w:w="4968"/>
            <w:shd w:fill="174A70"/>
          </w:tcPr>
          <w:p>
            <w:pPr>
              <w:spacing w:after="20"/>
            </w:pPr>
            <w:r/>
            <w:r>
              <w:rPr>
                <w:rFonts w:ascii="Aptos" w:hAnsi="Aptos"/>
                <w:b/>
                <w:color w:val="FFFFFF"/>
                <w:sz w:val="18"/>
              </w:rPr>
              <w:t xml:space="preserve">Residual weights are mapped to stock weights (x = Phi^T w). The cost timing off-by-one is fixed; turnover is labeled as total traded notional; the exposure penalty is defined; no risk-free rate is subtracted in either the loss or the metrics.</w:t>
            </w:r>
          </w:p>
        </w:tc>
      </w:tr>
      <w:tr>
        <w:tc>
          <w:tcPr>
            <w:tcW w:type="dxa" w:w="4968"/>
            <w:shd w:fill="174A70"/>
          </w:tcPr>
          <w:p>
            <w:pPr>
              <w:spacing w:after="20"/>
            </w:pPr>
            <w:r/>
            <w:r>
              <w:rPr>
                <w:rFonts w:ascii="Aptos" w:hAnsi="Aptos"/>
                <w:b/>
                <w:color w:val="FFFFFF"/>
                <w:sz w:val="18"/>
              </w:rPr>
              <w:t xml:space="preserve">10. Constraints</w:t>
            </w:r>
          </w:p>
        </w:tc>
        <w:tc>
          <w:tcPr>
            <w:tcW w:type="dxa" w:w="4968"/>
            <w:shd w:fill="174A70"/>
          </w:tcPr>
          <w:p>
            <w:pPr>
              <w:spacing w:after="20"/>
            </w:pPr>
            <w:r/>
            <w:r>
              <w:rPr>
                <w:rFonts w:ascii="Aptos" w:hAnsi="Aptos"/>
                <w:b/>
                <w:color w:val="FFFFFF"/>
                <w:sz w:val="18"/>
              </w:rPr>
              <w:t xml:space="preserve">Constraints run inside one portfolio function shared by training and backtesting, so the model is trained on the portfolio it is judged on.</w:t>
            </w:r>
          </w:p>
        </w:tc>
      </w:tr>
      <w:tr>
        <w:tc>
          <w:tcPr>
            <w:tcW w:type="dxa" w:w="4968"/>
            <w:shd w:fill="174A70"/>
          </w:tcPr>
          <w:p>
            <w:pPr>
              <w:spacing w:after="20"/>
            </w:pPr>
            <w:r/>
            <w:r>
              <w:rPr>
                <w:rFonts w:ascii="Aptos" w:hAnsi="Aptos"/>
                <w:b/>
                <w:color w:val="FFFFFF"/>
                <w:sz w:val="18"/>
              </w:rPr>
              <w:t xml:space="preserve">11–12. Evaluation</w:t>
            </w:r>
          </w:p>
        </w:tc>
        <w:tc>
          <w:tcPr>
            <w:tcW w:type="dxa" w:w="4968"/>
            <w:shd w:fill="174A70"/>
          </w:tcPr>
          <w:p>
            <w:pPr>
              <w:spacing w:after="20"/>
            </w:pPr>
            <w:r/>
            <w:r>
              <w:rPr>
                <w:rFonts w:ascii="Aptos" w:hAnsi="Aptos"/>
                <w:b/>
                <w:color w:val="FFFFFF"/>
                <w:sz w:val="18"/>
              </w:rPr>
              <w:t xml:space="preserve">"Account for model selection" is made concrete: a trial log, PSR, DSR, and block-bootstrap Sharpe intervals. Added a one-day delay check and the matching unit tests.</w:t>
            </w:r>
          </w:p>
        </w:tc>
      </w:tr>
      <w:tr>
        <w:tc>
          <w:tcPr>
            <w:tcW w:type="dxa" w:w="4968"/>
            <w:shd w:fill="174A70"/>
          </w:tcPr>
          <w:p>
            <w:pPr>
              <w:spacing w:after="20"/>
            </w:pPr>
            <w:r/>
            <w:r>
              <w:rPr>
                <w:rFonts w:ascii="Aptos" w:hAnsi="Aptos"/>
                <w:b/>
                <w:color w:val="FFFFFF"/>
                <w:sz w:val="18"/>
              </w:rPr>
              <w:t xml:space="preserve">13–15. Roadmap</w:t>
            </w:r>
          </w:p>
        </w:tc>
        <w:tc>
          <w:tcPr>
            <w:tcW w:type="dxa" w:w="4968"/>
            <w:shd w:fill="174A70"/>
          </w:tcPr>
          <w:p>
            <w:pPr>
              <w:spacing w:after="20"/>
            </w:pPr>
            <w:r/>
            <w:r>
              <w:rPr>
                <w:rFonts w:ascii="Aptos" w:hAnsi="Aptos"/>
                <w:b/>
                <w:color w:val="FFFFFF"/>
                <w:sz w:val="18"/>
              </w:rPr>
              <w:t xml:space="preserve">Hyperparameters are tuned on Fold 1 only. Temporal CNN, lookback, and regime ablations are marked "if time permits". Repository tree updated.</w:t>
            </w:r>
          </w:p>
        </w:tc>
      </w:tr>
    </w:tbl>
    <w:p>
      <w:pPr>
        <w:pStyle w:val="Heading1"/>
      </w:pPr>
      <w:r>
        <w:t>1. Project Scope and Success Criteria</w:t>
      </w:r>
    </w:p>
    <w:p>
      <w:r>
        <w:t>Working title: Sharpee — A Cost-Aware ML Framework for Statistical Arbitrage.</w:t>
      </w:r>
    </w:p>
    <w:p>
      <w:r>
        <w:t>The system will estimate common return factors, isolate residual movements, form long/short positions, and compare classical and learned strategies on later unseen periods.</w:t>
      </w:r>
    </w:p>
    <w:p>
      <w:pPr>
        <w:pStyle w:val="Heading2"/>
      </w:pPr>
      <w:r>
        <w:t>Target roles</w:t>
      </w:r>
    </w:p>
    <w:p>
      <w:pPr>
        <w:pStyle w:val="ListBullet"/>
        <w:spacing w:after="40"/>
      </w:pPr>
      <w:r>
        <w:t>Quant research / quant trading: emphasize probability, statistics, time series, optimization, and careful empirical evaluation.</w:t>
      </w:r>
    </w:p>
    <w:p>
      <w:pPr>
        <w:pStyle w:val="ListBullet"/>
        <w:spacing w:after="40"/>
      </w:pPr>
      <w:r>
        <w:t>Quant development: emphasize modular architecture, numerical correctness, testing, performance, and maintainable Python; C++ can be a later extension.</w:t>
      </w:r>
    </w:p>
    <w:p>
      <w:pPr>
        <w:pStyle w:val="ListBullet"/>
        <w:spacing w:after="40"/>
      </w:pPr>
      <w:r>
        <w:t>Financial ML engineering: emphasize data pipelines, training reproducibility, evaluation, inference interfaces, and deployment.</w:t>
      </w:r>
    </w:p>
    <w:p>
      <w:pPr>
        <w:pStyle w:val="Heading2"/>
      </w:pPr>
      <w:r>
        <w:t>Definition of success</w:t>
      </w:r>
    </w:p>
    <w:p>
      <w:pPr>
        <w:pStyle w:val="ListBullet"/>
        <w:spacing w:after="40"/>
      </w:pPr>
      <w:r>
        <w:t>The baseline and neural models run end to end.</w:t>
      </w:r>
    </w:p>
    <w:p>
      <w:pPr>
        <w:pStyle w:val="ListBullet"/>
        <w:spacing w:after="40"/>
      </w:pPr>
      <w:r>
        <w:t>Portfolio accounting and costs are unit-tested.</w:t>
      </w:r>
    </w:p>
    <w:p>
      <w:pPr>
        <w:pStyle w:val="ListBullet"/>
        <w:spacing w:after="40"/>
      </w:pPr>
      <w:r>
        <w:t>Every model is evaluated on the same chronological out-of-sample windows.</w:t>
      </w:r>
    </w:p>
    <w:p>
      <w:pPr>
        <w:pStyle w:val="ListBullet"/>
        <w:spacing w:after="40"/>
      </w:pPr>
      <w:r>
        <w:t>The report includes net Sharpe, drawdown, turnover, exposure, and cost sensitivity.</w:t>
      </w:r>
    </w:p>
    <w:p>
      <w:pPr>
        <w:pStyle w:val="ListBullet"/>
        <w:spacing w:after="40"/>
      </w:pPr>
      <w:r>
        <w:t>The repository can be set up and run by another developer.</w:t>
      </w:r>
    </w:p>
    <w:p>
      <w:pPr>
        <w:pStyle w:val="ListBullet"/>
        <w:spacing w:after="40"/>
      </w:pPr>
      <w:r>
        <w:t>Claims are limited to what the measured experiments support.</w:t>
      </w:r>
    </w:p>
    <w:p>
      <w:pPr>
        <w:pStyle w:val="Heading1"/>
      </w:pPr>
      <w:r>
        <w:t>2. System Architecture</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Stage</w:t>
            </w:r>
          </w:p>
        </w:tc>
        <w:tc>
          <w:tcPr>
            <w:tcW w:type="dxa" w:w="4968"/>
            <w:shd w:fill="174A70"/>
          </w:tcPr>
          <w:p>
            <w:pPr>
              <w:spacing w:after="20"/>
            </w:pPr>
            <w:r/>
            <w:r>
              <w:rPr>
                <w:rFonts w:ascii="Aptos" w:hAnsi="Aptos"/>
                <w:b/>
                <w:color w:val="FFFFFF"/>
                <w:sz w:val="18"/>
              </w:rPr>
              <w:t>Responsibility</w:t>
            </w:r>
          </w:p>
        </w:tc>
      </w:tr>
      <w:tr>
        <w:tc>
          <w:tcPr>
            <w:tcW w:type="dxa" w:w="4968"/>
          </w:tcPr>
          <w:p>
            <w:pPr>
              <w:spacing w:after="20"/>
            </w:pPr>
            <w:r/>
            <w:r>
              <w:rPr>
                <w:rFonts w:ascii="Aptos" w:hAnsi="Aptos"/>
                <w:b/>
                <w:sz w:val="17"/>
              </w:rPr>
              <w:t>1. Data</w:t>
            </w:r>
          </w:p>
        </w:tc>
        <w:tc>
          <w:tcPr>
            <w:tcW w:type="dxa" w:w="4968"/>
          </w:tcPr>
          <w:p>
            <w:pPr>
              <w:spacing w:after="20"/>
            </w:pPr>
            <w:r/>
            <w:r>
              <w:rPr>
                <w:rFonts w:ascii="Aptos" w:hAnsi="Aptos"/>
                <w:b w:val="0"/>
                <w:sz w:val="17"/>
              </w:rPr>
              <w:t>Historical adjusted prices and a documented stock universe.</w:t>
            </w:r>
          </w:p>
        </w:tc>
      </w:tr>
      <w:tr>
        <w:tc>
          <w:tcPr>
            <w:tcW w:type="dxa" w:w="4968"/>
          </w:tcPr>
          <w:p>
            <w:pPr>
              <w:spacing w:after="20"/>
            </w:pPr>
            <w:r/>
            <w:r>
              <w:rPr>
                <w:rFonts w:ascii="Aptos" w:hAnsi="Aptos"/>
                <w:b/>
                <w:sz w:val="17"/>
              </w:rPr>
              <w:t>2. Validation</w:t>
            </w:r>
          </w:p>
        </w:tc>
        <w:tc>
          <w:tcPr>
            <w:tcW w:type="dxa" w:w="4968"/>
          </w:tcPr>
          <w:p>
            <w:pPr>
              <w:spacing w:after="20"/>
            </w:pPr>
            <w:r/>
            <w:r>
              <w:rPr>
                <w:rFonts w:ascii="Aptos" w:hAnsi="Aptos"/>
                <w:b w:val="0"/>
                <w:sz w:val="17"/>
              </w:rPr>
              <w:t>Calendar alignment, missing-value handling, outlier checks, and exclusions.</w:t>
            </w:r>
          </w:p>
        </w:tc>
      </w:tr>
      <w:tr>
        <w:tc>
          <w:tcPr>
            <w:tcW w:type="dxa" w:w="4968"/>
          </w:tcPr>
          <w:p>
            <w:pPr>
              <w:spacing w:after="20"/>
            </w:pPr>
            <w:r/>
            <w:r>
              <w:rPr>
                <w:rFonts w:ascii="Aptos" w:hAnsi="Aptos"/>
                <w:b/>
                <w:sz w:val="17"/>
              </w:rPr>
              <w:t xml:space="preserve">3. Returns and factors</w:t>
            </w:r>
          </w:p>
        </w:tc>
        <w:tc>
          <w:tcPr>
            <w:tcW w:type="dxa" w:w="4968"/>
          </w:tcPr>
          <w:p>
            <w:pPr>
              <w:spacing w:after="20"/>
            </w:pPr>
            <w:r/>
            <w:r>
              <w:rPr>
                <w:rFonts w:ascii="Aptos" w:hAnsi="Aptos"/>
                <w:b w:val="0"/>
                <w:sz w:val="17"/>
              </w:rPr>
              <w:t xml:space="preserve">Compute simple returns; fit rolling PCA eigenportfolios using past observations only.</w:t>
            </w:r>
          </w:p>
        </w:tc>
      </w:tr>
      <w:tr>
        <w:tc>
          <w:tcPr>
            <w:tcW w:type="dxa" w:w="4968"/>
          </w:tcPr>
          <w:p>
            <w:pPr>
              <w:spacing w:after="20"/>
            </w:pPr>
            <w:r/>
            <w:r>
              <w:rPr>
                <w:rFonts w:ascii="Aptos" w:hAnsi="Aptos"/>
                <w:b/>
                <w:sz w:val="17"/>
              </w:rPr>
              <w:t xml:space="preserve">4. Residuals</w:t>
            </w:r>
          </w:p>
        </w:tc>
        <w:tc>
          <w:tcPr>
            <w:tcW w:type="dxa" w:w="4968"/>
          </w:tcPr>
          <w:p>
            <w:pPr>
              <w:spacing w:after="20"/>
            </w:pPr>
            <w:r/>
            <w:r>
              <w:rPr>
                <w:rFonts w:ascii="Aptos" w:hAnsi="Aptos"/>
                <w:b w:val="0"/>
                <w:sz w:val="17"/>
              </w:rPr>
              <w:t xml:space="preserve">Residual = return minus factor-implied return, epsilon(t) = Phi(t) R(t).</w:t>
            </w:r>
          </w:p>
        </w:tc>
      </w:tr>
      <w:tr>
        <w:tc>
          <w:tcPr>
            <w:tcW w:type="dxa" w:w="4968"/>
          </w:tcPr>
          <w:p>
            <w:pPr>
              <w:spacing w:after="20"/>
            </w:pPr>
            <w:r/>
            <w:r>
              <w:rPr>
                <w:rFonts w:ascii="Aptos" w:hAnsi="Aptos"/>
                <w:b/>
                <w:sz w:val="17"/>
              </w:rPr>
              <w:t>5. Baseline</w:t>
            </w:r>
          </w:p>
        </w:tc>
        <w:tc>
          <w:tcPr>
            <w:tcW w:type="dxa" w:w="4968"/>
          </w:tcPr>
          <w:p>
            <w:pPr>
              <w:spacing w:after="20"/>
            </w:pPr>
            <w:r/>
            <w:r>
              <w:rPr>
                <w:rFonts w:ascii="Aptos" w:hAnsi="Aptos"/>
                <w:b w:val="0"/>
                <w:sz w:val="17"/>
              </w:rPr>
              <w:t>Estimate OU dynamics and generate s-score-based mean-reversion positions.</w:t>
            </w:r>
          </w:p>
        </w:tc>
      </w:tr>
      <w:tr>
        <w:tc>
          <w:tcPr>
            <w:tcW w:type="dxa" w:w="4968"/>
          </w:tcPr>
          <w:p>
            <w:pPr>
              <w:spacing w:after="20"/>
            </w:pPr>
            <w:r/>
            <w:r>
              <w:rPr>
                <w:rFonts w:ascii="Aptos" w:hAnsi="Aptos"/>
                <w:b/>
                <w:sz w:val="17"/>
              </w:rPr>
              <w:t xml:space="preserve">6. Neural models</w:t>
            </w:r>
          </w:p>
        </w:tc>
        <w:tc>
          <w:tcPr>
            <w:tcW w:type="dxa" w:w="4968"/>
          </w:tcPr>
          <w:p>
            <w:pPr>
              <w:spacing w:after="20"/>
            </w:pPr>
            <w:r/>
            <w:r>
              <w:rPr>
                <w:rFonts w:ascii="Aptos" w:hAnsi="Aptos"/>
                <w:b w:val="0"/>
                <w:sz w:val="17"/>
              </w:rPr>
              <w:t xml:space="preserve">Create trailing residual sequences in contiguous day blocks and predict scores.</w:t>
            </w:r>
          </w:p>
        </w:tc>
      </w:tr>
      <w:tr>
        <w:tc>
          <w:tcPr>
            <w:tcW w:type="dxa" w:w="4968"/>
          </w:tcPr>
          <w:p>
            <w:pPr>
              <w:spacing w:after="20"/>
            </w:pPr>
            <w:r/>
            <w:r>
              <w:rPr>
                <w:rFonts w:ascii="Aptos" w:hAnsi="Aptos"/>
                <w:b/>
                <w:sz w:val="17"/>
              </w:rPr>
              <w:t xml:space="preserve">7. Portfolio layer</w:t>
            </w:r>
          </w:p>
        </w:tc>
        <w:tc>
          <w:tcPr>
            <w:tcW w:type="dxa" w:w="4968"/>
          </w:tcPr>
          <w:p>
            <w:pPr>
              <w:spacing w:after="20"/>
            </w:pPr>
            <w:r/>
            <w:r>
              <w:rPr>
                <w:rFonts w:ascii="Aptos" w:hAnsi="Aptos"/>
                <w:b w:val="0"/>
                <w:sz w:val="17"/>
              </w:rPr>
              <w:t xml:space="preserve">Map scores to factor-hedged stock weights (x = Phi^T w) and apply constraints; the same function runs in training and backtesting.</w:t>
            </w:r>
          </w:p>
        </w:tc>
      </w:tr>
      <w:tr>
        <w:tc>
          <w:tcPr>
            <w:tcW w:type="dxa" w:w="4968"/>
          </w:tcPr>
          <w:p>
            <w:pPr>
              <w:spacing w:after="20"/>
            </w:pPr>
            <w:r/>
            <w:r>
              <w:rPr>
                <w:rFonts w:ascii="Aptos" w:hAnsi="Aptos"/>
                <w:b/>
                <w:sz w:val="17"/>
              </w:rPr>
              <w:t xml:space="preserve">8. Backtesting</w:t>
            </w:r>
          </w:p>
        </w:tc>
        <w:tc>
          <w:tcPr>
            <w:tcW w:type="dxa" w:w="4968"/>
          </w:tcPr>
          <w:p>
            <w:pPr>
              <w:spacing w:after="20"/>
            </w:pPr>
            <w:r/>
            <w:r>
              <w:rPr>
                <w:rFonts w:ascii="Aptos" w:hAnsi="Aptos"/>
                <w:b w:val="0"/>
                <w:sz w:val="17"/>
              </w:rPr>
              <w:t xml:space="preserve">Weights set at the close of t earn the t→t+1 return; deduct costs on traded notional.</w:t>
            </w:r>
          </w:p>
        </w:tc>
      </w:tr>
      <w:tr>
        <w:tc>
          <w:tcPr>
            <w:tcW w:type="dxa" w:w="4968"/>
          </w:tcPr>
          <w:p>
            <w:pPr>
              <w:spacing w:after="20"/>
            </w:pPr>
            <w:r/>
            <w:r>
              <w:rPr>
                <w:rFonts w:ascii="Aptos" w:hAnsi="Aptos"/>
                <w:b/>
                <w:sz w:val="17"/>
              </w:rPr>
              <w:t xml:space="preserve">9. Evaluation</w:t>
            </w:r>
          </w:p>
        </w:tc>
        <w:tc>
          <w:tcPr>
            <w:tcW w:type="dxa" w:w="4968"/>
          </w:tcPr>
          <w:p>
            <w:pPr>
              <w:spacing w:after="20"/>
            </w:pPr>
            <w:r/>
            <w:r>
              <w:rPr>
                <w:rFonts w:ascii="Aptos" w:hAnsi="Aptos"/>
                <w:b w:val="0"/>
                <w:sz w:val="17"/>
              </w:rPr>
              <w:t xml:space="preserve">Walk-forward tests with embargoes, metrics, Sharpe significance (PSR, DSR), robustness checks, and plots.</w:t>
            </w:r>
          </w:p>
        </w:tc>
      </w:tr>
      <w:tr>
        <w:tc>
          <w:tcPr>
            <w:tcW w:type="dxa" w:w="4968"/>
          </w:tcPr>
          <w:p>
            <w:pPr>
              <w:spacing w:after="20"/>
            </w:pPr>
            <w:r/>
            <w:r>
              <w:rPr>
                <w:rFonts w:ascii="Aptos" w:hAnsi="Aptos"/>
                <w:b/>
                <w:sz w:val="17"/>
              </w:rPr>
              <w:t>10. Presentation</w:t>
            </w:r>
          </w:p>
        </w:tc>
        <w:tc>
          <w:tcPr>
            <w:tcW w:type="dxa" w:w="4968"/>
          </w:tcPr>
          <w:p>
            <w:pPr>
              <w:spacing w:after="20"/>
            </w:pPr>
            <w:r/>
            <w:r>
              <w:rPr>
                <w:rFonts w:ascii="Aptos" w:hAnsi="Aptos"/>
                <w:b w:val="0"/>
                <w:sz w:val="17"/>
              </w:rPr>
              <w:t>Research report, Streamlit dashboard, and reproducible GitHub repository.</w:t>
            </w:r>
          </w:p>
        </w:tc>
      </w:tr>
    </w:tbl>
    <w:p>
      <w:pPr>
        <w:pStyle w:val="Heading1"/>
      </w:pPr>
      <w:r>
        <w:t>3.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A70"/>
          </w:tcPr>
          <w:p>
            <w:pPr>
              <w:spacing w:after="20"/>
            </w:pPr>
            <w:r/>
            <w:r>
              <w:rPr>
                <w:rFonts w:ascii="Aptos" w:hAnsi="Aptos"/>
                <w:b/>
                <w:color w:val="FFFFFF"/>
                <w:sz w:val="18"/>
              </w:rPr>
              <w:t>Component</w:t>
            </w:r>
          </w:p>
        </w:tc>
        <w:tc>
          <w:tcPr>
            <w:tcW w:type="dxa" w:w="3312"/>
            <w:shd w:fill="174A70"/>
          </w:tcPr>
          <w:p>
            <w:pPr>
              <w:spacing w:after="20"/>
            </w:pPr>
            <w:r/>
            <w:r>
              <w:rPr>
                <w:rFonts w:ascii="Aptos" w:hAnsi="Aptos"/>
                <w:b/>
                <w:color w:val="FFFFFF"/>
                <w:sz w:val="18"/>
              </w:rPr>
              <w:t>Tools</w:t>
            </w:r>
          </w:p>
        </w:tc>
        <w:tc>
          <w:tcPr>
            <w:tcW w:type="dxa" w:w="3312"/>
            <w:shd w:fill="174A70"/>
          </w:tcPr>
          <w:p>
            <w:pPr>
              <w:spacing w:after="20"/>
            </w:pPr>
            <w:r/>
            <w:r>
              <w:rPr>
                <w:rFonts w:ascii="Aptos" w:hAnsi="Aptos"/>
                <w:b/>
                <w:color w:val="FFFFFF"/>
                <w:sz w:val="18"/>
              </w:rPr>
              <w:t>Purpose</w:t>
            </w:r>
          </w:p>
        </w:tc>
      </w:tr>
      <w:tr>
        <w:tc>
          <w:tcPr>
            <w:tcW w:type="dxa" w:w="3312"/>
          </w:tcPr>
          <w:p>
            <w:pPr>
              <w:spacing w:after="20"/>
            </w:pPr>
            <w:r/>
            <w:r>
              <w:rPr>
                <w:rFonts w:ascii="Aptos" w:hAnsi="Aptos"/>
                <w:b/>
                <w:sz w:val="16"/>
              </w:rPr>
              <w:t>Data retrieval</w:t>
            </w:r>
          </w:p>
        </w:tc>
        <w:tc>
          <w:tcPr>
            <w:tcW w:type="dxa" w:w="3312"/>
          </w:tcPr>
          <w:p>
            <w:pPr>
              <w:spacing w:after="20"/>
            </w:pPr>
            <w:r/>
            <w:r>
              <w:rPr>
                <w:rFonts w:ascii="Aptos" w:hAnsi="Aptos"/>
                <w:b w:val="0"/>
                <w:sz w:val="16"/>
              </w:rPr>
              <w:t>yfinance</w:t>
            </w:r>
          </w:p>
        </w:tc>
        <w:tc>
          <w:tcPr>
            <w:tcW w:type="dxa" w:w="3312"/>
          </w:tcPr>
          <w:p>
            <w:pPr>
              <w:spacing w:after="20"/>
            </w:pPr>
            <w:r/>
            <w:r>
              <w:rPr>
                <w:rFonts w:ascii="Aptos" w:hAnsi="Aptos"/>
                <w:b w:val="0"/>
                <w:sz w:val="16"/>
              </w:rPr>
              <w:t>Prototype historical price retrieval.</w:t>
            </w:r>
          </w:p>
        </w:tc>
      </w:tr>
      <w:tr>
        <w:tc>
          <w:tcPr>
            <w:tcW w:type="dxa" w:w="3312"/>
          </w:tcPr>
          <w:p>
            <w:pPr>
              <w:spacing w:after="20"/>
            </w:pPr>
            <w:r/>
            <w:r>
              <w:rPr>
                <w:rFonts w:ascii="Aptos" w:hAnsi="Aptos"/>
                <w:b/>
                <w:sz w:val="16"/>
              </w:rPr>
              <w:t>Data processing</w:t>
            </w:r>
          </w:p>
        </w:tc>
        <w:tc>
          <w:tcPr>
            <w:tcW w:type="dxa" w:w="3312"/>
          </w:tcPr>
          <w:p>
            <w:pPr>
              <w:spacing w:after="20"/>
            </w:pPr>
            <w:r/>
            <w:r>
              <w:rPr>
                <w:rFonts w:ascii="Aptos" w:hAnsi="Aptos"/>
                <w:b w:val="0"/>
                <w:sz w:val="16"/>
              </w:rPr>
              <w:t>NumPy, pandas, PyArrow</w:t>
            </w:r>
          </w:p>
        </w:tc>
        <w:tc>
          <w:tcPr>
            <w:tcW w:type="dxa" w:w="3312"/>
          </w:tcPr>
          <w:p>
            <w:pPr>
              <w:spacing w:after="20"/>
            </w:pPr>
            <w:r/>
            <w:r>
              <w:rPr>
                <w:rFonts w:ascii="Aptos" w:hAnsi="Aptos"/>
                <w:b w:val="0"/>
                <w:sz w:val="16"/>
              </w:rPr>
              <w:t>Returns, alignment, cleaning, Parquet storage.</w:t>
            </w:r>
          </w:p>
        </w:tc>
      </w:tr>
      <w:tr>
        <w:tc>
          <w:tcPr>
            <w:tcW w:type="dxa" w:w="3312"/>
          </w:tcPr>
          <w:p>
            <w:pPr>
              <w:spacing w:after="20"/>
            </w:pPr>
            <w:r/>
            <w:r>
              <w:rPr>
                <w:rFonts w:ascii="Aptos" w:hAnsi="Aptos"/>
                <w:b/>
                <w:sz w:val="16"/>
              </w:rPr>
              <w:t>Factor modeling</w:t>
            </w:r>
          </w:p>
        </w:tc>
        <w:tc>
          <w:tcPr>
            <w:tcW w:type="dxa" w:w="3312"/>
          </w:tcPr>
          <w:p>
            <w:pPr>
              <w:spacing w:after="20"/>
            </w:pPr>
            <w:r/>
            <w:r>
              <w:rPr>
                <w:rFonts w:ascii="Aptos" w:hAnsi="Aptos"/>
                <w:b w:val="0"/>
                <w:sz w:val="16"/>
              </w:rPr>
              <w:t>scikit-learn</w:t>
            </w:r>
          </w:p>
        </w:tc>
        <w:tc>
          <w:tcPr>
            <w:tcW w:type="dxa" w:w="3312"/>
          </w:tcPr>
          <w:p>
            <w:pPr>
              <w:spacing w:after="20"/>
            </w:pPr>
            <w:r/>
            <w:r>
              <w:rPr>
                <w:rFonts w:ascii="Aptos" w:hAnsi="Aptos"/>
                <w:b w:val="0"/>
                <w:sz w:val="16"/>
              </w:rPr>
              <w:t>PCA and preprocessing.</w:t>
            </w:r>
          </w:p>
        </w:tc>
      </w:tr>
      <w:tr>
        <w:tc>
          <w:tcPr>
            <w:tcW w:type="dxa" w:w="3312"/>
          </w:tcPr>
          <w:p>
            <w:pPr>
              <w:spacing w:after="20"/>
            </w:pPr>
            <w:r/>
            <w:r>
              <w:rPr>
                <w:rFonts w:ascii="Aptos" w:hAnsi="Aptos"/>
                <w:b/>
                <w:sz w:val="16"/>
              </w:rPr>
              <w:t xml:space="preserve">Statistical modeling</w:t>
            </w:r>
          </w:p>
        </w:tc>
        <w:tc>
          <w:tcPr>
            <w:tcW w:type="dxa" w:w="3312"/>
          </w:tcPr>
          <w:p>
            <w:pPr>
              <w:spacing w:after="20"/>
            </w:pPr>
            <w:r/>
            <w:r>
              <w:rPr>
                <w:rFonts w:ascii="Aptos" w:hAnsi="Aptos"/>
                <w:b w:val="0"/>
                <w:sz w:val="16"/>
              </w:rPr>
              <w:t xml:space="preserve">statsmodels, SciPy</w:t>
            </w:r>
          </w:p>
        </w:tc>
        <w:tc>
          <w:tcPr>
            <w:tcW w:type="dxa" w:w="3312"/>
          </w:tcPr>
          <w:p>
            <w:pPr>
              <w:spacing w:after="20"/>
            </w:pPr>
            <w:r/>
            <w:r>
              <w:rPr>
                <w:rFonts w:ascii="Aptos" w:hAnsi="Aptos"/>
                <w:b w:val="0"/>
                <w:sz w:val="16"/>
              </w:rPr>
              <w:t xml:space="preserve">OU estimation via AR(1), PSR/DSR, and bootstrap diagnostics.</w:t>
            </w:r>
          </w:p>
        </w:tc>
      </w:tr>
      <w:tr>
        <w:tc>
          <w:tcPr>
            <w:tcW w:type="dxa" w:w="3312"/>
          </w:tcPr>
          <w:p>
            <w:pPr>
              <w:spacing w:after="20"/>
            </w:pPr>
            <w:r/>
            <w:r>
              <w:rPr>
                <w:rFonts w:ascii="Aptos" w:hAnsi="Aptos"/>
                <w:b/>
                <w:sz w:val="16"/>
              </w:rPr>
              <w:t xml:space="preserve">Deep learning</w:t>
            </w:r>
          </w:p>
        </w:tc>
        <w:tc>
          <w:tcPr>
            <w:tcW w:type="dxa" w:w="3312"/>
          </w:tcPr>
          <w:p>
            <w:pPr>
              <w:spacing w:after="20"/>
            </w:pPr>
            <w:r/>
            <w:r>
              <w:rPr>
                <w:rFonts w:ascii="Aptos" w:hAnsi="Aptos"/>
                <w:b w:val="0"/>
                <w:sz w:val="16"/>
              </w:rPr>
              <w:t xml:space="preserve">PyTorch</w:t>
            </w:r>
          </w:p>
        </w:tc>
        <w:tc>
          <w:tcPr>
            <w:tcW w:type="dxa" w:w="3312"/>
          </w:tcPr>
          <w:p>
            <w:pPr>
              <w:spacing w:after="20"/>
            </w:pPr>
            <w:r/>
            <w:r>
              <w:rPr>
                <w:rFonts w:ascii="Aptos" w:hAnsi="Aptos"/>
                <w:b w:val="0"/>
                <w:sz w:val="16"/>
              </w:rPr>
              <w:t xml:space="preserve">MLP, Transformer (encoder blocks reused from the author's transformer-from-scratch project), temporal CNN if time permits; differentiable Sharpe objective.</w:t>
            </w:r>
          </w:p>
        </w:tc>
      </w:tr>
      <w:tr>
        <w:tc>
          <w:tcPr>
            <w:tcW w:type="dxa" w:w="3312"/>
          </w:tcPr>
          <w:p>
            <w:pPr>
              <w:spacing w:after="20"/>
            </w:pPr>
            <w:r/>
            <w:r>
              <w:rPr>
                <w:rFonts w:ascii="Aptos" w:hAnsi="Aptos"/>
                <w:b/>
                <w:sz w:val="16"/>
              </w:rPr>
              <w:t>Backtesting / metrics</w:t>
            </w:r>
          </w:p>
        </w:tc>
        <w:tc>
          <w:tcPr>
            <w:tcW w:type="dxa" w:w="3312"/>
          </w:tcPr>
          <w:p>
            <w:pPr>
              <w:spacing w:after="20"/>
            </w:pPr>
            <w:r/>
            <w:r>
              <w:rPr>
                <w:rFonts w:ascii="Aptos" w:hAnsi="Aptos"/>
                <w:b w:val="0"/>
                <w:sz w:val="16"/>
              </w:rPr>
              <w:t>NumPy, pandas</w:t>
            </w:r>
          </w:p>
        </w:tc>
        <w:tc>
          <w:tcPr>
            <w:tcW w:type="dxa" w:w="3312"/>
          </w:tcPr>
          <w:p>
            <w:pPr>
              <w:spacing w:after="20"/>
            </w:pPr>
            <w:r/>
            <w:r>
              <w:rPr>
                <w:rFonts w:ascii="Aptos" w:hAnsi="Aptos"/>
                <w:b w:val="0"/>
                <w:sz w:val="16"/>
              </w:rPr>
              <w:t>Portfolio accounting and performance metrics.</w:t>
            </w:r>
          </w:p>
        </w:tc>
      </w:tr>
      <w:tr>
        <w:tc>
          <w:tcPr>
            <w:tcW w:type="dxa" w:w="3312"/>
          </w:tcPr>
          <w:p>
            <w:pPr>
              <w:spacing w:after="20"/>
            </w:pPr>
            <w:r/>
            <w:r>
              <w:rPr>
                <w:rFonts w:ascii="Aptos" w:hAnsi="Aptos"/>
                <w:b/>
                <w:sz w:val="16"/>
              </w:rPr>
              <w:t>Visualization</w:t>
            </w:r>
          </w:p>
        </w:tc>
        <w:tc>
          <w:tcPr>
            <w:tcW w:type="dxa" w:w="3312"/>
          </w:tcPr>
          <w:p>
            <w:pPr>
              <w:spacing w:after="20"/>
            </w:pPr>
            <w:r/>
            <w:r>
              <w:rPr>
                <w:rFonts w:ascii="Aptos" w:hAnsi="Aptos"/>
                <w:b w:val="0"/>
                <w:sz w:val="16"/>
              </w:rPr>
              <w:t>Matplotlib, Plotly</w:t>
            </w:r>
          </w:p>
        </w:tc>
        <w:tc>
          <w:tcPr>
            <w:tcW w:type="dxa" w:w="3312"/>
          </w:tcPr>
          <w:p>
            <w:pPr>
              <w:spacing w:after="20"/>
            </w:pPr>
            <w:r/>
            <w:r>
              <w:rPr>
                <w:rFonts w:ascii="Aptos" w:hAnsi="Aptos"/>
                <w:b w:val="0"/>
                <w:sz w:val="16"/>
              </w:rPr>
              <w:t>Equity, drawdown, residual and comparison plots.</w:t>
            </w:r>
          </w:p>
        </w:tc>
      </w:tr>
      <w:tr>
        <w:tc>
          <w:tcPr>
            <w:tcW w:type="dxa" w:w="3312"/>
          </w:tcPr>
          <w:p>
            <w:pPr>
              <w:spacing w:after="20"/>
            </w:pPr>
            <w:r/>
            <w:r>
              <w:rPr>
                <w:rFonts w:ascii="Aptos" w:hAnsi="Aptos"/>
                <w:b/>
                <w:sz w:val="16"/>
              </w:rPr>
              <w:t>Dashboard</w:t>
            </w:r>
          </w:p>
        </w:tc>
        <w:tc>
          <w:tcPr>
            <w:tcW w:type="dxa" w:w="3312"/>
          </w:tcPr>
          <w:p>
            <w:pPr>
              <w:spacing w:after="20"/>
            </w:pPr>
            <w:r/>
            <w:r>
              <w:rPr>
                <w:rFonts w:ascii="Aptos" w:hAnsi="Aptos"/>
                <w:b w:val="0"/>
                <w:sz w:val="16"/>
              </w:rPr>
              <w:t>Streamlit</w:t>
            </w:r>
          </w:p>
        </w:tc>
        <w:tc>
          <w:tcPr>
            <w:tcW w:type="dxa" w:w="3312"/>
          </w:tcPr>
          <w:p>
            <w:pPr>
              <w:spacing w:after="20"/>
            </w:pPr>
            <w:r/>
            <w:r>
              <w:rPr>
                <w:rFonts w:ascii="Aptos" w:hAnsi="Aptos"/>
                <w:b w:val="0"/>
                <w:sz w:val="16"/>
              </w:rPr>
              <w:t>Interactive exploration of recorded results.</w:t>
            </w:r>
          </w:p>
        </w:tc>
      </w:tr>
      <w:tr>
        <w:tc>
          <w:tcPr>
            <w:tcW w:type="dxa" w:w="3312"/>
          </w:tcPr>
          <w:p>
            <w:pPr>
              <w:spacing w:after="20"/>
            </w:pPr>
            <w:r/>
            <w:r>
              <w:rPr>
                <w:rFonts w:ascii="Aptos" w:hAnsi="Aptos"/>
                <w:b/>
                <w:sz w:val="16"/>
              </w:rPr>
              <w:t>Testing</w:t>
            </w:r>
          </w:p>
        </w:tc>
        <w:tc>
          <w:tcPr>
            <w:tcW w:type="dxa" w:w="3312"/>
          </w:tcPr>
          <w:p>
            <w:pPr>
              <w:spacing w:after="20"/>
            </w:pPr>
            <w:r/>
            <w:r>
              <w:rPr>
                <w:rFonts w:ascii="Aptos" w:hAnsi="Aptos"/>
                <w:b w:val="0"/>
                <w:sz w:val="16"/>
              </w:rPr>
              <w:t>pytest</w:t>
            </w:r>
          </w:p>
        </w:tc>
        <w:tc>
          <w:tcPr>
            <w:tcW w:type="dxa" w:w="3312"/>
          </w:tcPr>
          <w:p>
            <w:pPr>
              <w:spacing w:after="20"/>
            </w:pPr>
            <w:r/>
            <w:r>
              <w:rPr>
                <w:rFonts w:ascii="Aptos" w:hAnsi="Aptos"/>
                <w:b w:val="0"/>
                <w:sz w:val="16"/>
              </w:rPr>
              <w:t>Accounting, alignment, cost, and portfolio tests.</w:t>
            </w:r>
          </w:p>
        </w:tc>
      </w:tr>
      <w:tr>
        <w:tc>
          <w:tcPr>
            <w:tcW w:type="dxa" w:w="3312"/>
          </w:tcPr>
          <w:p>
            <w:pPr>
              <w:spacing w:after="20"/>
            </w:pPr>
            <w:r/>
            <w:r>
              <w:rPr>
                <w:rFonts w:ascii="Aptos" w:hAnsi="Aptos"/>
                <w:b/>
                <w:sz w:val="16"/>
              </w:rPr>
              <w:t>Reproducibility</w:t>
            </w:r>
          </w:p>
        </w:tc>
        <w:tc>
          <w:tcPr>
            <w:tcW w:type="dxa" w:w="3312"/>
          </w:tcPr>
          <w:p>
            <w:pPr>
              <w:spacing w:after="20"/>
            </w:pPr>
            <w:r/>
            <w:r>
              <w:rPr>
                <w:rFonts w:ascii="Aptos" w:hAnsi="Aptos"/>
                <w:b w:val="0"/>
                <w:sz w:val="16"/>
              </w:rPr>
              <w:t>Git, YAML/JSON configs</w:t>
            </w:r>
          </w:p>
        </w:tc>
        <w:tc>
          <w:tcPr>
            <w:tcW w:type="dxa" w:w="3312"/>
          </w:tcPr>
          <w:p>
            <w:pPr>
              <w:spacing w:after="20"/>
            </w:pPr>
            <w:r/>
            <w:r>
              <w:rPr>
                <w:rFonts w:ascii="Aptos" w:hAnsi="Aptos"/>
                <w:b w:val="0"/>
                <w:sz w:val="16"/>
              </w:rPr>
              <w:t>Versioning, experiment settings, and reruns.</w:t>
            </w:r>
          </w:p>
        </w:tc>
      </w:tr>
    </w:tbl>
    <w:p>
      <w:pPr>
        <w:pStyle w:val="Heading1"/>
      </w:pPr>
      <w:r>
        <w:t>4. Data Plan</w:t>
      </w:r>
    </w:p>
    <w:p>
      <w:pPr>
        <w:pStyle w:val="Heading2"/>
      </w:pPr>
      <w:r>
        <w:t>Universe and period</w:t>
      </w:r>
    </w:p>
    <w:p>
      <w:pPr>
        <w:pStyle w:val="ListBullet"/>
        <w:spacing w:after="40"/>
      </w:pPr>
      <w:r>
        <w:t xml:space="preserve">Start with 100–200 liquid US equities, chosen on each date by trailing dollar volume among point-in-time index members, not by today's liquidity; scale toward approximately 500 only after the pipeline is reliable.</w:t>
      </w:r>
    </w:p>
    <w:p>
      <w:pPr>
        <w:pStyle w:val="ListBullet"/>
        <w:spacing w:after="40"/>
      </w:pPr>
      <w:r>
        <w:t xml:space="preserve">Download 2008–2025, subject to source availability and data quality. 2008–2009 is warm-up only, so the 252-day PCA window is complete before the first training sample in 2010.</w:t>
      </w:r>
    </w:p>
    <w:p>
      <w:pPr>
        <w:pStyle w:val="ListBullet"/>
        <w:spacing w:after="40"/>
      </w:pPr>
      <w:r>
        <w:t>Use daily adjusted prices, and optionally daily volume and a broad-market reference such as SPY.</w:t>
      </w:r>
    </w:p>
    <w:p>
      <w:pPr>
        <w:pStyle w:val="ListBullet"/>
        <w:spacing w:after="40"/>
      </w:pPr>
      <w:r>
        <w:t>Sector ETFs can be used for exposure diagnostics, but PCA factors should not automatically be interpreted as named sectors.</w:t>
      </w:r>
    </w:p>
    <w:p>
      <w:pPr>
        <w:pStyle w:val="ListBullet"/>
        <w:spacing w:after="40"/>
      </w:pPr>
      <w:r>
        <w:t xml:space="preserve">Yahoo Finance data is useful for a prototype but does not guarantee point-in-time constituents or complete delisted-stock history. Use a public historical S&amp;P 500 membership list (for example the fja05680/sp500 dataset) and log which delisted tickers yfinance cannot supply.</w:t>
      </w:r>
    </w:p>
    <w:p>
      <w:pPr>
        <w:pStyle w:val="Heading2"/>
      </w:pPr>
      <w:r>
        <w:t>Data pipeline steps</w:t>
      </w:r>
    </w:p>
    <w:p>
      <w:pPr>
        <w:pStyle w:val="ListNumber"/>
        <w:spacing w:after="40"/>
      </w:pPr>
      <w:r>
        <w:t>Download data once and save immutable raw snapshots.</w:t>
      </w:r>
    </w:p>
    <w:p>
      <w:pPr>
        <w:pStyle w:val="ListNumber"/>
        <w:spacing w:after="40"/>
      </w:pPr>
      <w:r>
        <w:t>Check duplicates, missing dates, nonpositive prices, suspicious jumps, and ticker changes where identifiable.</w:t>
      </w:r>
    </w:p>
    <w:p>
      <w:pPr>
        <w:pStyle w:val="ListNumber"/>
        <w:spacing w:after="40"/>
      </w:pPr>
      <w:r>
        <w:t>Align the trading calendar and record excluded securities.</w:t>
      </w:r>
    </w:p>
    <w:p>
      <w:pPr>
        <w:pStyle w:val="ListNumber"/>
        <w:spacing w:after="40"/>
      </w:pPr>
      <w:r>
        <w:t xml:space="preserve">Calculate simple returns from adjusted prices: R(i,t) = P(i,t) / P(i,t-1) - 1.</w:t>
      </w:r>
    </w:p>
    <w:p>
      <w:pPr>
        <w:pStyle w:val="ListNumber"/>
        <w:spacing w:after="40"/>
      </w:pPr>
      <w:r>
        <w:t xml:space="preserve">Build a per-date eligibility mask instead of dropping securities that lack full-period history (that filter reintroduces survivorship bias). A stock is eligible on day t if it is an index member at t, has at least 312 trailing trading days (252 PCA + 60 OU), trades above $5, and ranks in the top N by 20-day median dollar volume. Fix these rules before testing.</w:t>
      </w:r>
    </w:p>
    <w:p>
      <w:pPr>
        <w:pStyle w:val="ListNumber"/>
        <w:spacing w:after="40"/>
      </w:pPr>
      <w:r>
        <w:t>Save cleaned data in Parquet format; exclude raw data and large artifacts from Git.</w:t>
      </w:r>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SURVIVORSHIP-BIAS WARNING</w:t>
              <w:br/>
            </w:r>
            <w:r>
              <w:rPr>
                <w:sz w:val="18"/>
              </w:rPr>
              <w:t xml:space="preserve">Using today's S&amp;P 500 constituents for all historical years excludes stocks that left the index, including historical losers. Prefer point-in-time constituents and delisted-stock coverage if available. If not, disclose the limitation and avoid presenting results as a fully unbiased historical simulation. A whole-period history filter has the same effect: a stock delisted in 2015 never has complete 2010–2025 data, so it silently disappears.</w:t>
            </w:r>
          </w:p>
        </w:tc>
      </w:tr>
    </w:tbl>
    <w:p>
      <w:pPr>
        <w:spacing w:after="20"/>
      </w:pPr>
    </w:p>
    <w:p>
      <w:pPr>
        <w:pStyle w:val="Heading1"/>
      </w:pPr>
      <w:r>
        <w:t>5. Rolling PCA Residuals</w:t>
      </w:r>
    </w:p>
    <w:p>
      <w:r>
        <w:t xml:space="preserve">Compute simple returns. Log returns may be used for diagnostic plots only, because a portfolio's return is the weighted sum of its stocks' simple returns:</w:t>
      </w:r>
    </w:p>
    <w:p>
      <w:r>
        <w:t xml:space="preserve">R(i,t) = P(i,t) / P(i,t-1) - 1</w:t>
      </w:r>
    </w:p>
    <w:p>
      <w:r>
        <w:t xml:space="preserve">Fit PCA on a rolling window (initially about 252 trading days) of standardized returns, using only observations up to t-1. Choose the number of components K on training/validation data, and refit periodically, for example monthly. Each eigenvector v_k defines an eigenportfolio with stock weights Q(i,k) = v_k(i) / sigma(i).</w:t>
      </w:r>
    </w:p>
    <w:p>
      <w:r>
        <w:t>Represent returns as:</w:t>
      </w:r>
    </w:p>
    <w:p>
      <w:r>
        <w:t xml:space="preserve">R(i,t) = beta(i)^T f(t) + epsilon(i,t),   where f(t) = Q^T R(t)</w:t>
      </w:r>
    </w:p>
    <w:p>
      <w:r>
        <w:t xml:space="preserve">Here f(t) are the eigenportfolio returns, computed on any day with the weights Q fixed at the last refit; beta(i) are the stock's exposures from an OLS regression of R(i) on f over the fitting window; and epsilon(i,t) is the residual return. In matrix form, with B the N×K matrix of exposures:</w:t>
      </w:r>
    </w:p>
    <w:p>
      <w:r>
        <w:t xml:space="preserve">Phi = I - B Q^T,   epsilon(t) = Phi R(t)</w:t>
      </w:r>
    </w:p>
    <w:p>
      <w:r>
        <w:t xml:space="preserve">Row i of Phi is a tradable portfolio: long stock i, short beta(i) units of each eigenportfolio. Section 9 uses Phi to turn residual positions into stock weights. Each day's residual uses the Phi in force on that day.</w:t>
      </w:r>
    </w:p>
    <w:p>
      <w:pPr>
        <w:pStyle w:val="Heading2"/>
      </w:pPr>
      <w:r>
        <w:t>Diagnostics</w:t>
      </w:r>
    </w:p>
    <w:p>
      <w:pPr>
        <w:pStyle w:val="ListBullet"/>
        <w:spacing w:after="40"/>
      </w:pPr>
      <w:r>
        <w:t>Plot residual distributions and autocorrelation functions.</w:t>
      </w:r>
    </w:p>
    <w:p>
      <w:pPr>
        <w:pStyle w:val="ListBullet"/>
        <w:spacing w:after="40"/>
      </w:pPr>
      <w:r>
        <w:t>Check whether residuals exhibit mean-reversion characteristics out of sample.</w:t>
      </w:r>
    </w:p>
    <w:p>
      <w:pPr>
        <w:pStyle w:val="ListBullet"/>
        <w:spacing w:after="40"/>
      </w:pPr>
      <w:r>
        <w:t>Compare residual behavior across market regimes.</w:t>
      </w:r>
    </w:p>
    <w:p>
      <w:pPr>
        <w:pStyle w:val="ListBullet"/>
        <w:spacing w:after="40"/>
      </w:pPr>
      <w:r>
        <w:t>Monitor factor and exposure stability.</w:t>
      </w:r>
    </w:p>
    <w:p>
      <w:pPr>
        <w:pStyle w:val="ListBullet"/>
        <w:spacing w:after="40"/>
      </w:pPr>
      <w:r>
        <w:t>Verify that scaling, PCA fitting, and component selection are performed within each training window.</w:t>
      </w:r>
    </w:p>
    <w:p>
      <w:r>
        <w:t>Residuals do not necessarily mean-revert. A large residual is not automatically a profitable reversal signal; test the signal's stability and whether it survives costs.</w:t>
      </w:r>
    </w:p>
    <w:p>
      <w:pPr>
        <w:pStyle w:val="Heading1"/>
      </w:pPr>
      <w:r>
        <w:t>6. Classical Baseline: OU and S-Score</w:t>
      </w:r>
    </w:p>
    <w:p>
      <w:r>
        <w:t xml:space="preserve">Use an Ornstein–Uhlenbeck process as a transparent baseline. The modeled signal x(t) is the cumulative residual (the residual "price") over a 60-day window. Residual returns themselves are close to white noise and are not fitted directly.</w:t>
      </w:r>
    </w:p>
    <w:p>
      <w:r>
        <w:t>dx(t) = kappa * (mu - x(t)) dt + sigma dW(t)</w:t>
      </w:r>
    </w:p>
    <w:p>
      <w:r>
        <w:t xml:space="preserve">kappa is the mean-reversion speed, mu the long-run mean, and sigma the diffusion volatility. If kappa &gt; 0, the half-life is ln(2)/kappa. For daily data, fit the AR(1) regression x(n+1) = a + b x(n) + zeta(n+1) and convert: kappa = -ln(b) × 252, mu = a / (1 - b), sigma_eq = sqrt(Var(zeta) / (1 - b²)). sigma_eq is the equilibrium standard deviation of x.</w:t>
      </w:r>
    </w:p>
    <w:p>
      <w:r>
        <w:t xml:space="preserve">The s-score divides by the equilibrium standard deviation, not by the diffusion parameter sigma (which is measured per square root of time):</w:t>
      </w:r>
    </w:p>
    <w:p>
      <w:r>
        <w:t xml:space="preserve">s(i,t) = (x(i,t) - mu(i)) / sigma_eq(i)</w:t>
      </w:r>
    </w:p>
    <w:p>
      <w:pPr>
        <w:pStyle w:val="Heading2"/>
      </w:pPr>
      <w:r>
        <w:t>Illustrative trading rules</w:t>
      </w:r>
    </w:p>
    <w:p>
      <w:pPr>
        <w:pStyle w:val="ListBullet"/>
        <w:spacing w:after="40"/>
      </w:pPr>
      <w:r>
        <w:t xml:space="preserve">Enter long when s &lt; -1.25 (Avellaneda–Lee default).</w:t>
      </w:r>
    </w:p>
    <w:p>
      <w:pPr>
        <w:pStyle w:val="ListBullet"/>
        <w:spacing w:after="40"/>
      </w:pPr>
      <w:r>
        <w:t xml:space="preserve">Enter short when s &gt; +1.25.</w:t>
      </w:r>
    </w:p>
    <w:p>
      <w:pPr>
        <w:pStyle w:val="ListBullet"/>
        <w:spacing w:after="40"/>
      </w:pPr>
      <w:r>
        <w:t xml:space="preserve">Close a short when s &lt; +0.75; close a long when s &gt; -0.50.</w:t>
      </w:r>
    </w:p>
    <w:p>
      <w:pPr>
        <w:pStyle w:val="ListBullet"/>
        <w:spacing w:after="40"/>
      </w:pPr>
      <w:r>
        <w:t xml:space="preserve">Trade only stocks with fast estimated mean reversion: kappa &gt; 252/30, i.e. a half-life under about 21 trading days.</w:t>
      </w:r>
    </w:p>
    <w:p>
      <w:pPr>
        <w:pStyle w:val="ListBullet"/>
        <w:spacing w:after="40"/>
      </w:pPr>
      <w:r>
        <w:t>Apply liquidity, position-size, exposure, and risk limits.</w:t>
      </w:r>
    </w:p>
    <w:p>
      <w:pPr>
        <w:pStyle w:val="ListBullet"/>
        <w:spacing w:after="40"/>
      </w:pPr>
      <w:r>
        <w:t xml:space="preserve">Choose thresholds on validation data only; log every threshold setting evaluated as a trial (Section 12).</w:t>
      </w:r>
    </w:p>
    <w:p>
      <w:r>
        <w:t>Document which elements are reproduced from Avellaneda–Lee and which are simplified adaptations. The original research uses specific residual construction and trading methods.</w:t>
      </w:r>
    </w:p>
    <w:p>
      <w:r>
        <w:t xml:space="preserve">OU positions are residual positions (+1, -1, or 0 per stock). They pass through the same portfolio layer (Section 9) and backtester as the neural models.</w:t>
      </w:r>
    </w:p>
    <w:p>
      <w:pPr>
        <w:pStyle w:val="Heading1"/>
      </w:pPr>
      <w:r>
        <w:t>7. Sequence Dataset and Chronological Splits</w:t>
      </w:r>
    </w:p>
    <w:p>
      <w:r>
        <w:t xml:space="preserve">For each eligible stock and decision date, construct a trailing 30-trading-day residual sequence. The final input observation must be available before the position is formed: with close-to-close execution, the sequence ends at the close of day t and the position earns the return from t to t+1.</w:t>
      </w:r>
    </w:p>
    <w:p>
      <w:r>
        <w:t xml:space="preserve">Training input: (T_days, N_stocks, 30, 1) plus an eligibility mask of shape (T_days, N_stocks). Each batch is a contiguous block of about 64–128 trading days covering every eligible stock, because the Sharpe loss is computed on the portfolio's daily return series and turnover costs link consecutive days. The encoder still sees (T_days × N_stocks, 30, 1) sequences. Optional features include past residual volatility and rolling z-scores, provided they use past data only.</w:t>
      </w:r>
    </w:p>
    <w:p>
      <w:r>
        <w:t>The model does not require a conventional next-day price label. It learns from portfolio returns generated by its weights, with the future return interval beginning only after the position could have been established.</w:t>
      </w:r>
    </w:p>
    <w:p>
      <w:pPr>
        <w:pStyle w:val="Heading2"/>
      </w:pPr>
      <w:r>
        <w:t xml:space="preserve">Walk-forward folds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 xml:space="preserve">Period</w:t>
            </w:r>
          </w:p>
        </w:tc>
        <w:tc>
          <w:tcPr>
            <w:tcW w:type="dxa" w:w="4968"/>
            <w:shd w:fill="174A70"/>
          </w:tcPr>
          <w:p>
            <w:pPr>
              <w:spacing w:after="20"/>
            </w:pPr>
            <w:r/>
            <w:r>
              <w:rPr>
                <w:rFonts w:ascii="Aptos" w:hAnsi="Aptos"/>
                <w:b/>
                <w:color w:val="FFFFFF"/>
                <w:sz w:val="18"/>
              </w:rPr>
              <w:t xml:space="preserve">Purpose</w:t>
            </w:r>
          </w:p>
        </w:tc>
      </w:tr>
      <w:tr>
        <w:tc>
          <w:tcPr>
            <w:tcW w:type="dxa" w:w="4968"/>
          </w:tcPr>
          <w:p>
            <w:pPr>
              <w:spacing w:after="20"/>
            </w:pPr>
            <w:r/>
            <w:r>
              <w:rPr>
                <w:rFonts w:ascii="Aptos" w:hAnsi="Aptos"/>
                <w:b/>
                <w:sz w:val="17"/>
              </w:rPr>
              <w:t xml:space="preserve">2008–2009</w:t>
            </w:r>
          </w:p>
        </w:tc>
        <w:tc>
          <w:tcPr>
            <w:tcW w:type="dxa" w:w="4968"/>
          </w:tcPr>
          <w:p>
            <w:pPr>
              <w:spacing w:after="20"/>
            </w:pPr>
            <w:r/>
            <w:r>
              <w:rPr>
                <w:rFonts w:ascii="Aptos" w:hAnsi="Aptos"/>
                <w:b w:val="0"/>
                <w:sz w:val="17"/>
              </w:rPr>
              <w:t xml:space="preserve">Warm-up only: PCA and OU estimation windows; no samples.</w:t>
            </w:r>
          </w:p>
        </w:tc>
      </w:tr>
      <w:tr>
        <w:tc>
          <w:tcPr>
            <w:tcW w:type="dxa" w:w="4968"/>
          </w:tcPr>
          <w:p>
            <w:pPr>
              <w:spacing w:after="20"/>
            </w:pPr>
            <w:r/>
            <w:r>
              <w:rPr>
                <w:rFonts w:ascii="Aptos" w:hAnsi="Aptos"/>
                <w:b/>
                <w:sz w:val="17"/>
              </w:rPr>
              <w:t xml:space="preserve">Fold 1: train 2010–2017, validate 2018–2019</w:t>
            </w:r>
          </w:p>
        </w:tc>
        <w:tc>
          <w:tcPr>
            <w:tcW w:type="dxa" w:w="4968"/>
          </w:tcPr>
          <w:p>
            <w:pPr>
              <w:spacing w:after="20"/>
            </w:pPr>
            <w:r/>
            <w:r>
              <w:rPr>
                <w:rFonts w:ascii="Aptos" w:hAnsi="Aptos"/>
                <w:b w:val="0"/>
                <w:sz w:val="17"/>
              </w:rPr>
              <w:t xml:space="preserve">Test 2020. Hyperparameters are tuned on this fold only, then frozen.</w:t>
            </w:r>
          </w:p>
        </w:tc>
      </w:tr>
      <w:tr>
        <w:tc>
          <w:tcPr>
            <w:tcW w:type="dxa" w:w="4968"/>
          </w:tcPr>
          <w:p>
            <w:pPr>
              <w:spacing w:after="20"/>
            </w:pPr>
            <w:r/>
            <w:r>
              <w:rPr>
                <w:rFonts w:ascii="Aptos" w:hAnsi="Aptos"/>
                <w:b/>
                <w:sz w:val="17"/>
              </w:rPr>
              <w:t xml:space="preserve">Fold 2: train 2010–2018, validate 2019–2020</w:t>
            </w:r>
          </w:p>
        </w:tc>
        <w:tc>
          <w:tcPr>
            <w:tcW w:type="dxa" w:w="4968"/>
          </w:tcPr>
          <w:p>
            <w:pPr>
              <w:spacing w:after="20"/>
            </w:pPr>
            <w:r/>
            <w:r>
              <w:rPr>
                <w:rFonts w:ascii="Aptos" w:hAnsi="Aptos"/>
                <w:b w:val="0"/>
                <w:sz w:val="17"/>
              </w:rPr>
              <w:t xml:space="preserve">Test 2021. Retrain weights; validation is used for early stopping only.</w:t>
            </w:r>
          </w:p>
        </w:tc>
      </w:tr>
      <w:tr>
        <w:tc>
          <w:tcPr>
            <w:tcW w:type="dxa" w:w="4968"/>
          </w:tcPr>
          <w:p>
            <w:pPr>
              <w:spacing w:after="20"/>
            </w:pPr>
            <w:r/>
            <w:r>
              <w:rPr>
                <w:rFonts w:ascii="Aptos" w:hAnsi="Aptos"/>
                <w:b/>
                <w:sz w:val="17"/>
              </w:rPr>
              <w:t xml:space="preserve">Fold 3: train 2010–2019, validate 2020–2021</w:t>
            </w:r>
          </w:p>
        </w:tc>
        <w:tc>
          <w:tcPr>
            <w:tcW w:type="dxa" w:w="4968"/>
          </w:tcPr>
          <w:p>
            <w:pPr>
              <w:spacing w:after="20"/>
            </w:pPr>
            <w:r/>
            <w:r>
              <w:rPr>
                <w:rFonts w:ascii="Aptos" w:hAnsi="Aptos"/>
                <w:b w:val="0"/>
                <w:sz w:val="17"/>
              </w:rPr>
              <w:t xml:space="preserve">Test 2022.</w:t>
            </w:r>
          </w:p>
        </w:tc>
      </w:tr>
      <w:tr>
        <w:tc>
          <w:tcPr>
            <w:tcW w:type="dxa" w:w="4968"/>
          </w:tcPr>
          <w:p>
            <w:pPr>
              <w:spacing w:after="20"/>
            </w:pPr>
            <w:r/>
            <w:r>
              <w:rPr>
                <w:rFonts w:ascii="Aptos" w:hAnsi="Aptos"/>
                <w:b/>
                <w:sz w:val="17"/>
              </w:rPr>
              <w:t xml:space="preserve">Fold 4: train 2010–2020, validate 2021–2022</w:t>
            </w:r>
          </w:p>
        </w:tc>
        <w:tc>
          <w:tcPr>
            <w:tcW w:type="dxa" w:w="4968"/>
          </w:tcPr>
          <w:p>
            <w:pPr>
              <w:spacing w:after="20"/>
            </w:pPr>
            <w:r/>
            <w:r>
              <w:rPr>
                <w:rFonts w:ascii="Aptos" w:hAnsi="Aptos"/>
                <w:b w:val="0"/>
                <w:sz w:val="17"/>
              </w:rPr>
              <w:t xml:space="preserve">Test 2023.</w:t>
            </w:r>
          </w:p>
        </w:tc>
      </w:tr>
      <w:tr>
        <w:tc>
          <w:tcPr>
            <w:tcW w:type="dxa" w:w="4968"/>
          </w:tcPr>
          <w:p>
            <w:pPr>
              <w:spacing w:after="20"/>
            </w:pPr>
            <w:r/>
            <w:r>
              <w:rPr>
                <w:rFonts w:ascii="Aptos" w:hAnsi="Aptos"/>
                <w:b/>
                <w:sz w:val="17"/>
              </w:rPr>
              <w:t xml:space="preserve">2024–2025</w:t>
            </w:r>
          </w:p>
        </w:tc>
        <w:tc>
          <w:tcPr>
            <w:tcW w:type="dxa" w:w="4968"/>
          </w:tcPr>
          <w:p>
            <w:pPr>
              <w:spacing w:after="20"/>
            </w:pPr>
            <w:r/>
            <w:r>
              <w:rPr>
                <w:rFonts w:ascii="Aptos" w:hAnsi="Aptos"/>
                <w:b w:val="0"/>
                <w:sz w:val="17"/>
              </w:rPr>
              <w:t xml:space="preserve">Final holdout: run once, after every setting is frozen.</w:t>
            </w:r>
          </w:p>
        </w:tc>
      </w:tr>
    </w:tbl>
    <w:p>
      <w:r>
        <w:t xml:space="preserve">Expanding walk-forward with yearly retraining. Leave a 30-trading-day embargo at every train | validation | test boundary, at least the lookback length, so no input window straddles two partitions. Never randomly split overlapping time-series windows. Exact years may shift with data coverage.</w:t>
      </w:r>
    </w:p>
    <w:p>
      <w:pPr>
        <w:pStyle w:val="Heading1"/>
      </w:pPr>
      <w:r>
        <w:t>8. Models to Implement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A70"/>
          </w:tcPr>
          <w:p>
            <w:pPr>
              <w:spacing w:after="20"/>
            </w:pPr>
            <w:r/>
            <w:r>
              <w:rPr>
                <w:rFonts w:ascii="Aptos" w:hAnsi="Aptos"/>
                <w:b/>
                <w:color w:val="FFFFFF"/>
                <w:sz w:val="18"/>
              </w:rPr>
              <w:t>Model</w:t>
            </w:r>
          </w:p>
        </w:tc>
        <w:tc>
          <w:tcPr>
            <w:tcW w:type="dxa" w:w="3312"/>
            <w:shd w:fill="174A70"/>
          </w:tcPr>
          <w:p>
            <w:pPr>
              <w:spacing w:after="20"/>
            </w:pPr>
            <w:r/>
            <w:r>
              <w:rPr>
                <w:rFonts w:ascii="Aptos" w:hAnsi="Aptos"/>
                <w:b/>
                <w:color w:val="FFFFFF"/>
                <w:sz w:val="18"/>
              </w:rPr>
              <w:t>Role</w:t>
            </w:r>
          </w:p>
        </w:tc>
        <w:tc>
          <w:tcPr>
            <w:tcW w:type="dxa" w:w="3312"/>
            <w:shd w:fill="174A70"/>
          </w:tcPr>
          <w:p>
            <w:pPr>
              <w:spacing w:after="20"/>
            </w:pPr>
            <w:r/>
            <w:r>
              <w:rPr>
                <w:rFonts w:ascii="Aptos" w:hAnsi="Aptos"/>
                <w:b/>
                <w:color w:val="FFFFFF"/>
                <w:sz w:val="18"/>
              </w:rPr>
              <w:t>Description</w:t>
            </w:r>
          </w:p>
        </w:tc>
      </w:tr>
      <w:tr>
        <w:tc>
          <w:tcPr>
            <w:tcW w:type="dxa" w:w="3312"/>
          </w:tcPr>
          <w:p>
            <w:pPr>
              <w:spacing w:after="20"/>
            </w:pPr>
            <w:r/>
            <w:r>
              <w:rPr>
                <w:rFonts w:ascii="Aptos" w:hAnsi="Aptos"/>
                <w:b/>
                <w:sz w:val="16"/>
              </w:rPr>
              <w:t>A. Classical OU</w:t>
            </w:r>
          </w:p>
        </w:tc>
        <w:tc>
          <w:tcPr>
            <w:tcW w:type="dxa" w:w="3312"/>
          </w:tcPr>
          <w:p>
            <w:pPr>
              <w:spacing w:after="20"/>
            </w:pPr>
            <w:r/>
            <w:r>
              <w:rPr>
                <w:rFonts w:ascii="Aptos" w:hAnsi="Aptos"/>
                <w:b w:val="0"/>
                <w:sz w:val="16"/>
              </w:rPr>
              <w:t>Required benchmark</w:t>
            </w:r>
          </w:p>
        </w:tc>
        <w:tc>
          <w:tcPr>
            <w:tcW w:type="dxa" w:w="3312"/>
          </w:tcPr>
          <w:p>
            <w:pPr>
              <w:spacing w:after="20"/>
            </w:pPr>
            <w:r/>
            <w:r>
              <w:rPr>
                <w:rFonts w:ascii="Aptos" w:hAnsi="Aptos"/>
                <w:b w:val="0"/>
                <w:sz w:val="16"/>
              </w:rPr>
              <w:t>Rule-based mean-reversion positions based on estimated signal dynamics.</w:t>
            </w:r>
          </w:p>
        </w:tc>
      </w:tr>
      <w:tr>
        <w:tc>
          <w:tcPr>
            <w:tcW w:type="dxa" w:w="3312"/>
          </w:tcPr>
          <w:p>
            <w:pPr>
              <w:spacing w:after="20"/>
            </w:pPr>
            <w:r/>
            <w:r>
              <w:rPr>
                <w:rFonts w:ascii="Aptos" w:hAnsi="Aptos"/>
                <w:b/>
                <w:sz w:val="16"/>
              </w:rPr>
              <w:t>B. MLP</w:t>
            </w:r>
          </w:p>
        </w:tc>
        <w:tc>
          <w:tcPr>
            <w:tcW w:type="dxa" w:w="3312"/>
          </w:tcPr>
          <w:p>
            <w:pPr>
              <w:spacing w:after="20"/>
            </w:pPr>
            <w:r/>
            <w:r>
              <w:rPr>
                <w:rFonts w:ascii="Aptos" w:hAnsi="Aptos"/>
                <w:b w:val="0"/>
                <w:sz w:val="16"/>
              </w:rPr>
              <w:t>Simple neural baseline</w:t>
            </w:r>
          </w:p>
        </w:tc>
        <w:tc>
          <w:tcPr>
            <w:tcW w:type="dxa" w:w="3312"/>
          </w:tcPr>
          <w:p>
            <w:pPr>
              <w:spacing w:after="20"/>
            </w:pPr>
            <w:r/>
            <w:r>
              <w:rPr>
                <w:rFonts w:ascii="Aptos" w:hAnsi="Aptos"/>
                <w:b w:val="0"/>
                <w:sz w:val="16"/>
              </w:rPr>
              <w:t>Feed-forward network on the residual sequence or summary features.</w:t>
            </w:r>
          </w:p>
        </w:tc>
      </w:tr>
      <w:tr>
        <w:tc>
          <w:tcPr>
            <w:tcW w:type="dxa" w:w="3312"/>
          </w:tcPr>
          <w:p>
            <w:pPr>
              <w:spacing w:after="20"/>
            </w:pPr>
            <w:r/>
            <w:r>
              <w:rPr>
                <w:rFonts w:ascii="Aptos" w:hAnsi="Aptos"/>
                <w:b/>
                <w:sz w:val="16"/>
              </w:rPr>
              <w:t xml:space="preserve">C. Temporal CNN</w:t>
            </w:r>
          </w:p>
        </w:tc>
        <w:tc>
          <w:tcPr>
            <w:tcW w:type="dxa" w:w="3312"/>
          </w:tcPr>
          <w:p>
            <w:pPr>
              <w:spacing w:after="20"/>
            </w:pPr>
            <w:r/>
            <w:r>
              <w:rPr>
                <w:rFonts w:ascii="Aptos" w:hAnsi="Aptos"/>
                <w:b w:val="0"/>
                <w:sz w:val="16"/>
              </w:rPr>
              <w:t xml:space="preserve">Local temporal patterns (if time permits)</w:t>
            </w:r>
          </w:p>
        </w:tc>
        <w:tc>
          <w:tcPr>
            <w:tcW w:type="dxa" w:w="3312"/>
          </w:tcPr>
          <w:p>
            <w:pPr>
              <w:spacing w:after="20"/>
            </w:pPr>
            <w:r/>
            <w:r>
              <w:rPr>
                <w:rFonts w:ascii="Aptos" w:hAnsi="Aptos"/>
                <w:b w:val="0"/>
                <w:sz w:val="16"/>
              </w:rPr>
              <w:t xml:space="preserve">1D convolutions for reversals, persistence, and volatility changes.</w:t>
            </w:r>
          </w:p>
        </w:tc>
      </w:tr>
      <w:tr>
        <w:tc>
          <w:tcPr>
            <w:tcW w:type="dxa" w:w="3312"/>
          </w:tcPr>
          <w:p>
            <w:pPr>
              <w:spacing w:after="20"/>
            </w:pPr>
            <w:r/>
            <w:r>
              <w:rPr>
                <w:rFonts w:ascii="Aptos" w:hAnsi="Aptos"/>
                <w:b/>
                <w:sz w:val="16"/>
              </w:rPr>
              <w:t xml:space="preserve">D. Transformer</w:t>
            </w:r>
          </w:p>
        </w:tc>
        <w:tc>
          <w:tcPr>
            <w:tcW w:type="dxa" w:w="3312"/>
          </w:tcPr>
          <w:p>
            <w:pPr>
              <w:spacing w:after="20"/>
            </w:pPr>
            <w:r/>
            <w:r>
              <w:rPr>
                <w:rFonts w:ascii="Aptos" w:hAnsi="Aptos"/>
                <w:b w:val="0"/>
                <w:sz w:val="16"/>
              </w:rPr>
              <w:t xml:space="preserve">Main deep-learning model</w:t>
            </w:r>
          </w:p>
        </w:tc>
        <w:tc>
          <w:tcPr>
            <w:tcW w:type="dxa" w:w="3312"/>
          </w:tcPr>
          <w:p>
            <w:pPr>
              <w:spacing w:after="20"/>
            </w:pPr>
            <w:r/>
            <w:r>
              <w:rPr>
                <w:rFonts w:ascii="Aptos" w:hAnsi="Aptos"/>
                <w:b w:val="0"/>
                <w:sz w:val="16"/>
              </w:rPr>
              <w:t xml:space="preserve">Compact encoder with positional encoding and a score head; encoder blocks reused from the author's transformer-from-scratch project.</w:t>
            </w:r>
          </w:p>
        </w:tc>
      </w:tr>
    </w:tbl>
    <w:p>
      <w:r>
        <w:t>Start with a compact Transformer: 2–3 encoder layers, 4 attention heads, and model dimension 64. These are starting hyperparameters, not guaranteed optimal settings. Use dropout, modest model size, fixed seeds where practical, and validation-based early stopping.</w:t>
      </w:r>
    </w:p>
    <w:p>
      <w:r>
        <w:t>All models must share the same data, portfolio construction, execution assumptions, and test dates. A simpler model outperforming the Transformer is a valid research result.</w:t>
      </w:r>
    </w:p>
    <w:p>
      <w:pPr>
        <w:pStyle w:val="Heading1"/>
      </w:pPr>
      <w:r>
        <w:t>9. Portfolio-Level Sharpe Optimization</w:t>
      </w:r>
    </w:p>
    <w:p>
      <w:r>
        <w:t>The model outputs a score:</w:t>
      </w:r>
    </w:p>
    <w:p>
      <w:r>
        <w:t>s(i,t) = f_theta(X(i,t))</w:t>
      </w:r>
    </w:p>
    <w:p>
      <w:r>
        <w:t xml:space="preserve">Convert scores into portfolio weights in two steps. First, in residual space, center the scores across eligible stocks and L1-normalize them to get residual weights w(t). Second, map them to stock weights through the residual matrix from Section 5:</w:t>
      </w:r>
    </w:p>
    <w:p>
      <w:r>
        <w:t xml:space="preserve">x(t) = normalize_L1( Phi(t)^T w(t) ),   then cap single names and renormalize</w:t>
      </w:r>
    </w:p>
    <w:p>
      <w:r>
        <w:t xml:space="preserve">Holding residual i means holding stock i and shorting beta(i) units of each eigenportfolio, so x(t) is close to factor-neutral by construction. One PyTorch function implements this mapping and the constraints of Section 10, and both training and backtesting call it, so the model is trained on exactly the portfolio it is judged on.</w:t>
      </w:r>
    </w:p>
    <w:p>
      <w:r>
        <w:t xml:space="preserve">Stock weights formed at the close of day t earn the next-period simple returns:</w:t>
      </w:r>
    </w:p>
    <w:p>
      <w:r>
        <w:t xml:space="preserve">R_gross(p,t+1) = sum_i x(i,t) * R(i,t+1)</w:t>
      </w:r>
    </w:p>
    <w:p>
      <w:r>
        <w:t xml:space="preserve">Turnover is the total traded notional, counting both sides (one-way turnover would be half of this):</w:t>
      </w:r>
    </w:p>
    <w:p>
      <w:r>
        <w:t xml:space="preserve">TO(t) = sum_i abs(x(i,t) - x(i,t-1))</w:t>
      </w:r>
    </w:p>
    <w:p>
      <w:r>
        <w:t xml:space="preserve">With proportional cost c per unit of traded notional (default 5 bps), the trade made at t is charged against the return of the position it creates:</w:t>
      </w:r>
    </w:p>
    <w:p>
      <w:r>
        <w:t xml:space="preserve">R_net(p,t+1) = R_gross(p,t+1) - c * TO(t)</w:t>
      </w:r>
    </w:p>
    <w:p>
      <w:r>
        <w:t xml:space="preserve">Weight drift between daily rebalances is ignored, as a documented simplification. Because the portfolio is a self-financing long/short book, R_net is already an excess return: no risk-free rate is subtracted, in the loss or in the reported metrics.</w:t>
      </w:r>
    </w:p>
    <w:p>
      <w:r>
        <w:t xml:space="preserve">A practical differentiable training objective, computed over each contiguous block of days:</w:t>
      </w:r>
    </w:p>
    <w:p>
      <w:r>
        <w:t xml:space="preserve">Loss(theta) = - mean(R_net) / (std(R_net) + epsilon) + lambda * mean_t( (sum_i x(i,t))^2 )</w:t>
      </w:r>
    </w:p>
    <w:p>
      <w:r>
        <w:t xml:space="preserve">The penalty is the squared net dollar exposure; lambda = 0 by default, and lambda &gt; 0 is an ablation. Costs are already inside R_net, so no separate turnover penalty is used by default; adding one is an ablation and must not double-count costs. Use gradient clipping, numerical safeguards, and validation-based early stopping.</w:t>
      </w:r>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ALIGNMENT IS CRITICAL</w:t>
              <w:br/>
            </w:r>
            <w:r>
              <w:rPr>
                <w:sz w:val="18"/>
              </w:rPr>
              <w:t xml:space="preserve">Weights created with information available at time t must be applied to subsequent returns. Never use the same already-realized return to generate a position and claim it as the position's profit. As a robustness check, also run every strategy with a one-day execution delay (weights formed at t earn the t+1→t+2 return).</w:t>
            </w:r>
          </w:p>
        </w:tc>
      </w:tr>
    </w:tbl>
    <w:p>
      <w:pPr>
        <w:spacing w:after="20"/>
      </w:pPr>
    </w:p>
    <w:p>
      <w:pPr>
        <w:pStyle w:val="Heading1"/>
      </w:pPr>
      <w:r>
        <w:t>10. Portfolio Constraints and Risk Controls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Control</w:t>
            </w:r>
          </w:p>
        </w:tc>
        <w:tc>
          <w:tcPr>
            <w:tcW w:type="dxa" w:w="4968"/>
            <w:shd w:fill="174A70"/>
          </w:tcPr>
          <w:p>
            <w:pPr>
              <w:spacing w:after="20"/>
            </w:pPr>
            <w:r/>
            <w:r>
              <w:rPr>
                <w:rFonts w:ascii="Aptos" w:hAnsi="Aptos"/>
                <w:b/>
                <w:color w:val="FFFFFF"/>
                <w:sz w:val="18"/>
              </w:rPr>
              <w:t>Initial design</w:t>
            </w:r>
          </w:p>
        </w:tc>
      </w:tr>
      <w:tr>
        <w:tc>
          <w:tcPr>
            <w:tcW w:type="dxa" w:w="4968"/>
          </w:tcPr>
          <w:p>
            <w:pPr>
              <w:spacing w:after="20"/>
            </w:pPr>
            <w:r/>
            <w:r>
              <w:rPr>
                <w:rFonts w:ascii="Aptos" w:hAnsi="Aptos"/>
                <w:b/>
                <w:sz w:val="17"/>
              </w:rPr>
              <w:t xml:space="preserve">Net exposure</w:t>
            </w:r>
          </w:p>
        </w:tc>
        <w:tc>
          <w:tcPr>
            <w:tcW w:type="dxa" w:w="4968"/>
          </w:tcPr>
          <w:p>
            <w:pPr>
              <w:spacing w:after="20"/>
            </w:pPr>
            <w:r/>
            <w:r>
              <w:rPr>
                <w:rFonts w:ascii="Aptos" w:hAnsi="Aptos"/>
                <w:b w:val="0"/>
                <w:sz w:val="17"/>
              </w:rPr>
              <w:t xml:space="preserve">Close to factor-neutral by construction (x = Phi^T w); net dollar exposure is reported and optionally penalized (lambda).</w:t>
            </w:r>
          </w:p>
        </w:tc>
      </w:tr>
      <w:tr>
        <w:tc>
          <w:tcPr>
            <w:tcW w:type="dxa" w:w="4968"/>
          </w:tcPr>
          <w:p>
            <w:pPr>
              <w:spacing w:after="20"/>
            </w:pPr>
            <w:r/>
            <w:r>
              <w:rPr>
                <w:rFonts w:ascii="Aptos" w:hAnsi="Aptos"/>
                <w:b/>
                <w:sz w:val="17"/>
              </w:rPr>
              <w:t xml:space="preserve">Gross exposure</w:t>
            </w:r>
          </w:p>
        </w:tc>
        <w:tc>
          <w:tcPr>
            <w:tcW w:type="dxa" w:w="4968"/>
          </w:tcPr>
          <w:p>
            <w:pPr>
              <w:spacing w:after="20"/>
            </w:pPr>
            <w:r/>
            <w:r>
              <w:rPr>
                <w:rFonts w:ascii="Aptos" w:hAnsi="Aptos"/>
                <w:b w:val="0"/>
                <w:sz w:val="17"/>
              </w:rPr>
              <w:t xml:space="preserve">L1-normalize stock weights x to 1.0.</w:t>
            </w:r>
          </w:p>
        </w:tc>
      </w:tr>
      <w:tr>
        <w:tc>
          <w:tcPr>
            <w:tcW w:type="dxa" w:w="4968"/>
          </w:tcPr>
          <w:p>
            <w:pPr>
              <w:spacing w:after="20"/>
            </w:pPr>
            <w:r/>
            <w:r>
              <w:rPr>
                <w:rFonts w:ascii="Aptos" w:hAnsi="Aptos"/>
                <w:b/>
                <w:sz w:val="17"/>
              </w:rPr>
              <w:t xml:space="preserve">Single-name limit</w:t>
            </w:r>
          </w:p>
        </w:tc>
        <w:tc>
          <w:tcPr>
            <w:tcW w:type="dxa" w:w="4968"/>
          </w:tcPr>
          <w:p>
            <w:pPr>
              <w:spacing w:after="20"/>
            </w:pPr>
            <w:r/>
            <w:r>
              <w:rPr>
                <w:rFonts w:ascii="Aptos" w:hAnsi="Aptos"/>
                <w:b w:val="0"/>
                <w:sz w:val="17"/>
              </w:rPr>
              <w:t xml:space="preserve">Illustrative 2% cap on |x(i,t)|, applied inside the shared portfolio function, then renormalize; test sensitivity.</w:t>
            </w:r>
          </w:p>
        </w:tc>
      </w:tr>
      <w:tr>
        <w:tc>
          <w:tcPr>
            <w:tcW w:type="dxa" w:w="4968"/>
          </w:tcPr>
          <w:p>
            <w:pPr>
              <w:spacing w:after="20"/>
            </w:pPr>
            <w:r/>
            <w:r>
              <w:rPr>
                <w:rFonts w:ascii="Aptos" w:hAnsi="Aptos"/>
                <w:b/>
                <w:sz w:val="17"/>
              </w:rPr>
              <w:t>Sector exposure</w:t>
            </w:r>
          </w:p>
        </w:tc>
        <w:tc>
          <w:tcPr>
            <w:tcW w:type="dxa" w:w="4968"/>
          </w:tcPr>
          <w:p>
            <w:pPr>
              <w:spacing w:after="20"/>
            </w:pPr>
            <w:r/>
            <w:r>
              <w:rPr>
                <w:rFonts w:ascii="Aptos" w:hAnsi="Aptos"/>
                <w:b w:val="0"/>
                <w:sz w:val="17"/>
              </w:rPr>
              <w:t>Monitor and constrain where reliable classifications exist.</w:t>
            </w:r>
          </w:p>
        </w:tc>
      </w:tr>
      <w:tr>
        <w:tc>
          <w:tcPr>
            <w:tcW w:type="dxa" w:w="4968"/>
          </w:tcPr>
          <w:p>
            <w:pPr>
              <w:spacing w:after="20"/>
            </w:pPr>
            <w:r/>
            <w:r>
              <w:rPr>
                <w:rFonts w:ascii="Aptos" w:hAnsi="Aptos"/>
                <w:b/>
                <w:sz w:val="17"/>
              </w:rPr>
              <w:t xml:space="preserve">Turnover</w:t>
            </w:r>
          </w:p>
        </w:tc>
        <w:tc>
          <w:tcPr>
            <w:tcW w:type="dxa" w:w="4968"/>
          </w:tcPr>
          <w:p>
            <w:pPr>
              <w:spacing w:after="20"/>
            </w:pPr>
            <w:r/>
            <w:r>
              <w:rPr>
                <w:rFonts w:ascii="Aptos" w:hAnsi="Aptos"/>
                <w:b w:val="0"/>
                <w:sz w:val="17"/>
              </w:rPr>
              <w:t xml:space="preserve">Track daily; costs are deducted inside R_net (no separate penalty by default).</w:t>
            </w:r>
          </w:p>
        </w:tc>
      </w:tr>
      <w:tr>
        <w:tc>
          <w:tcPr>
            <w:tcW w:type="dxa" w:w="4968"/>
          </w:tcPr>
          <w:p>
            <w:pPr>
              <w:spacing w:after="20"/>
            </w:pPr>
            <w:r/>
            <w:r>
              <w:rPr>
                <w:rFonts w:ascii="Aptos" w:hAnsi="Aptos"/>
                <w:b/>
                <w:sz w:val="17"/>
              </w:rPr>
              <w:t>Leverage</w:t>
            </w:r>
          </w:p>
        </w:tc>
        <w:tc>
          <w:tcPr>
            <w:tcW w:type="dxa" w:w="4968"/>
          </w:tcPr>
          <w:p>
            <w:pPr>
              <w:spacing w:after="20"/>
            </w:pPr>
            <w:r/>
            <w:r>
              <w:rPr>
                <w:rFonts w:ascii="Aptos" w:hAnsi="Aptos"/>
                <w:b w:val="0"/>
                <w:sz w:val="17"/>
              </w:rPr>
              <w:t>Keep fixed and report explicitly.</w:t>
            </w:r>
          </w:p>
        </w:tc>
      </w:tr>
      <w:tr>
        <w:tc>
          <w:tcPr>
            <w:tcW w:type="dxa" w:w="4968"/>
          </w:tcPr>
          <w:p>
            <w:pPr>
              <w:spacing w:after="20"/>
            </w:pPr>
            <w:r/>
            <w:r>
              <w:rPr>
                <w:rFonts w:ascii="Aptos" w:hAnsi="Aptos"/>
                <w:b/>
                <w:sz w:val="17"/>
              </w:rPr>
              <w:t xml:space="preserve">Missing data</w:t>
            </w:r>
          </w:p>
        </w:tc>
        <w:tc>
          <w:tcPr>
            <w:tcW w:type="dxa" w:w="4968"/>
          </w:tcPr>
          <w:p>
            <w:pPr>
              <w:spacing w:after="20"/>
            </w:pPr>
            <w:r/>
            <w:r>
              <w:rPr>
                <w:rFonts w:ascii="Aptos" w:hAnsi="Aptos"/>
                <w:b w:val="0"/>
                <w:sz w:val="17"/>
              </w:rPr>
              <w:t xml:space="preserve">Mask ineligible stocks to zero weight before normalization.</w:t>
            </w:r>
          </w:p>
        </w:tc>
      </w:tr>
    </w:tbl>
    <w:p>
      <w:r>
        <w:t xml:space="preserve">These are initial experimental settings, not universal recommendations. Neutrality to the estimated PCA factors does not imply risk neutrality: measure market beta, factor exposure, sector concentration, and other relevant risks.</w:t>
      </w:r>
    </w:p>
    <w:p>
      <w:pPr>
        <w:pStyle w:val="Heading1"/>
      </w:pPr>
      <w:r>
        <w:t>11. Backtesting Engine</w:t>
      </w:r>
    </w:p>
    <w:p>
      <w:pPr>
        <w:pStyle w:val="Heading2"/>
      </w:pPr>
      <w:r>
        <w:t>Daily execution sequence</w:t>
      </w:r>
    </w:p>
    <w:p>
      <w:pPr>
        <w:pStyle w:val="ListNumber"/>
        <w:spacing w:after="40"/>
      </w:pPr>
      <w:r>
        <w:t xml:space="preserve">Load only features available at the decision time (the close of day t).</w:t>
      </w:r>
    </w:p>
    <w:p>
      <w:pPr>
        <w:pStyle w:val="ListNumber"/>
        <w:spacing w:after="40"/>
      </w:pPr>
      <w:r>
        <w:t>Generate target positions.</w:t>
      </w:r>
    </w:p>
    <w:p>
      <w:pPr>
        <w:pStyle w:val="ListNumber"/>
        <w:spacing w:after="40"/>
      </w:pPr>
      <w:r>
        <w:t xml:space="preserve">Apply position, exposure, and risk constraints with the same function used in training.</w:t>
      </w:r>
    </w:p>
    <w:p>
      <w:pPr>
        <w:pStyle w:val="ListNumber"/>
        <w:spacing w:after="40"/>
      </w:pPr>
      <w:r>
        <w:t>Calculate trades relative to the previous portfolio.</w:t>
      </w:r>
    </w:p>
    <w:p>
      <w:pPr>
        <w:pStyle w:val="ListNumber"/>
        <w:spacing w:after="40"/>
      </w:pPr>
      <w:r>
        <w:t xml:space="preserve">Deduct transaction costs: c × total traded notional, charged to the t→t+1 return.</w:t>
      </w:r>
    </w:p>
    <w:p>
      <w:pPr>
        <w:pStyle w:val="ListNumber"/>
        <w:spacing w:after="40"/>
      </w:pPr>
      <w:r>
        <w:t xml:space="preserve">Apply positions formed at t to the t→t+1 returns.</w:t>
      </w:r>
    </w:p>
    <w:p>
      <w:pPr>
        <w:pStyle w:val="ListNumber"/>
        <w:spacing w:after="40"/>
      </w:pPr>
      <w:r>
        <w:t>Record gross/net returns, costs, turnover, positions, and exposures.</w:t>
      </w:r>
    </w:p>
    <w:p>
      <w:pPr>
        <w:pStyle w:val="ListNumber"/>
        <w:spacing w:after="40"/>
      </w:pPr>
      <w:r>
        <w:t>Continue chronologically without retuning on future test outcomes.</w:t>
      </w:r>
    </w:p>
    <w:p>
      <w:pPr>
        <w:pStyle w:val="Heading2"/>
      </w:pPr>
      <w:r>
        <w:t>Walk-forward loop</w:t>
      </w:r>
    </w:p>
    <w:p>
      <w:pPr>
        <w:pStyle w:val="ListBullet"/>
        <w:spacing w:after="40"/>
      </w:pPr>
      <w:r>
        <w:t xml:space="preserve">Use an expanding training window starting in 2010.</w:t>
      </w:r>
    </w:p>
    <w:p>
      <w:pPr>
        <w:pStyle w:val="ListBullet"/>
        <w:spacing w:after="40"/>
      </w:pPr>
      <w:r>
        <w:t>Fit preprocessing and model using training data only.</w:t>
      </w:r>
    </w:p>
    <w:p>
      <w:pPr>
        <w:pStyle w:val="ListBullet"/>
        <w:spacing w:after="40"/>
      </w:pPr>
      <w:r>
        <w:t xml:space="preserve">Leave a 30-trading-day embargo between training, validation, and test periods.</w:t>
      </w:r>
    </w:p>
    <w:p>
      <w:pPr>
        <w:pStyle w:val="ListBullet"/>
        <w:spacing w:after="40"/>
      </w:pPr>
      <w:r>
        <w:t xml:space="preserve">Select hyperparameters on Fold 1's validation period, then freeze them.</w:t>
      </w:r>
    </w:p>
    <w:p>
      <w:pPr>
        <w:pStyle w:val="ListBullet"/>
        <w:spacing w:after="40"/>
      </w:pPr>
      <w:r>
        <w:t>Freeze model and settings for the next unseen evaluation interval.</w:t>
      </w:r>
    </w:p>
    <w:p>
      <w:pPr>
        <w:pStyle w:val="ListBullet"/>
        <w:spacing w:after="40"/>
      </w:pPr>
      <w:r>
        <w:t>Record performance, advance the calendar, and repeat.</w:t>
      </w:r>
    </w:p>
    <w:p>
      <w:pPr>
        <w:pStyle w:val="ListBullet"/>
        <w:spacing w:after="40"/>
      </w:pPr>
      <w:r>
        <w:t xml:space="preserve">Append every evaluated configuration and its validation return series to a trial log, which feeds the Deflated Sharpe Ratio.</w:t>
      </w:r>
    </w:p>
    <w:p>
      <w:pPr>
        <w:pStyle w:val="Heading2"/>
      </w:pPr>
      <w:r>
        <w:t>Required unit tests</w:t>
      </w:r>
    </w:p>
    <w:p>
      <w:pPr>
        <w:pStyle w:val="ListBullet"/>
        <w:spacing w:after="40"/>
      </w:pPr>
      <w:r>
        <w:t xml:space="preserve">Date alignment and no future features: perturbing returns after date t leaves every residual, score, and weight at or before t unchanged.</w:t>
      </w:r>
    </w:p>
    <w:p>
      <w:pPr>
        <w:pStyle w:val="ListBullet"/>
        <w:spacing w:after="40"/>
      </w:pPr>
      <w:r>
        <w:t xml:space="preserve">Residual identity: w^T (Phi R) equals (Phi^T w)^T R.</w:t>
      </w:r>
    </w:p>
    <w:p>
      <w:pPr>
        <w:pStyle w:val="ListBullet"/>
        <w:spacing w:after="40"/>
      </w:pPr>
      <w:r>
        <w:t>Transaction-cost calculations and turnover conventions.</w:t>
      </w:r>
    </w:p>
    <w:p>
      <w:pPr>
        <w:pStyle w:val="ListBullet"/>
        <w:spacing w:after="40"/>
      </w:pPr>
      <w:r>
        <w:t>Portfolio return accounting and position timing.</w:t>
      </w:r>
    </w:p>
    <w:p>
      <w:pPr>
        <w:pStyle w:val="ListBullet"/>
        <w:spacing w:after="40"/>
      </w:pPr>
      <w:r>
        <w:t>Exposure constraints and position limits.</w:t>
      </w:r>
    </w:p>
    <w:p>
      <w:pPr>
        <w:pStyle w:val="ListBullet"/>
        <w:spacing w:after="40"/>
      </w:pPr>
      <w:r>
        <w:t>Missing-data behavior and deterministic small examples.</w:t>
      </w:r>
    </w:p>
    <w:p>
      <w:pPr>
        <w:pStyle w:val="ListBullet"/>
        <w:spacing w:after="40"/>
      </w:pPr>
      <w:r>
        <w:t xml:space="preserve">PSR, DSR, and loss values against hand-computed examples.</w:t>
      </w:r>
    </w:p>
    <w:p>
      <w:pPr>
        <w:pStyle w:val="Heading1"/>
      </w:pPr>
      <w:r>
        <w:t>12. Evaluation Metrics and Research Analysis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Metric</w:t>
            </w:r>
          </w:p>
        </w:tc>
        <w:tc>
          <w:tcPr>
            <w:tcW w:type="dxa" w:w="4968"/>
            <w:shd w:fill="174A70"/>
          </w:tcPr>
          <w:p>
            <w:pPr>
              <w:spacing w:after="20"/>
            </w:pPr>
            <w:r/>
            <w:r>
              <w:rPr>
                <w:rFonts w:ascii="Aptos" w:hAnsi="Aptos"/>
                <w:b/>
                <w:color w:val="FFFFFF"/>
                <w:sz w:val="18"/>
              </w:rPr>
              <w:t>Purpose</w:t>
            </w:r>
          </w:p>
        </w:tc>
      </w:tr>
      <w:tr>
        <w:tc>
          <w:tcPr>
            <w:tcW w:type="dxa" w:w="4968"/>
          </w:tcPr>
          <w:p>
            <w:pPr>
              <w:spacing w:after="20"/>
            </w:pPr>
            <w:r/>
            <w:r>
              <w:rPr>
                <w:rFonts w:ascii="Aptos" w:hAnsi="Aptos"/>
                <w:b/>
                <w:sz w:val="16"/>
              </w:rPr>
              <w:t>Annualized return</w:t>
            </w:r>
          </w:p>
        </w:tc>
        <w:tc>
          <w:tcPr>
            <w:tcW w:type="dxa" w:w="4968"/>
          </w:tcPr>
          <w:p>
            <w:pPr>
              <w:spacing w:after="20"/>
            </w:pPr>
            <w:r/>
            <w:r>
              <w:rPr>
                <w:rFonts w:ascii="Aptos" w:hAnsi="Aptos"/>
                <w:b w:val="0"/>
                <w:sz w:val="16"/>
              </w:rPr>
              <w:t>Disclose whether arithmetic annualization or CAGR is used.</w:t>
            </w:r>
          </w:p>
        </w:tc>
      </w:tr>
      <w:tr>
        <w:tc>
          <w:tcPr>
            <w:tcW w:type="dxa" w:w="4968"/>
          </w:tcPr>
          <w:p>
            <w:pPr>
              <w:spacing w:after="20"/>
            </w:pPr>
            <w:r/>
            <w:r>
              <w:rPr>
                <w:rFonts w:ascii="Aptos" w:hAnsi="Aptos"/>
                <w:b/>
                <w:sz w:val="16"/>
              </w:rPr>
              <w:t>Annualized volatility</w:t>
            </w:r>
          </w:p>
        </w:tc>
        <w:tc>
          <w:tcPr>
            <w:tcW w:type="dxa" w:w="4968"/>
          </w:tcPr>
          <w:p>
            <w:pPr>
              <w:spacing w:after="20"/>
            </w:pPr>
            <w:r/>
            <w:r>
              <w:rPr>
                <w:rFonts w:ascii="Aptos" w:hAnsi="Aptos"/>
                <w:b w:val="0"/>
                <w:sz w:val="16"/>
              </w:rPr>
              <w:t>Standard deviation scaled consistently.</w:t>
            </w:r>
          </w:p>
        </w:tc>
      </w:tr>
      <w:tr>
        <w:tc>
          <w:tcPr>
            <w:tcW w:type="dxa" w:w="4968"/>
          </w:tcPr>
          <w:p>
            <w:pPr>
              <w:spacing w:after="20"/>
            </w:pPr>
            <w:r/>
            <w:r>
              <w:rPr>
                <w:rFonts w:ascii="Aptos" w:hAnsi="Aptos"/>
                <w:b/>
                <w:sz w:val="16"/>
              </w:rPr>
              <w:t xml:space="preserve">Net Sharpe ratio</w:t>
            </w:r>
          </w:p>
        </w:tc>
        <w:tc>
          <w:tcPr>
            <w:tcW w:type="dxa" w:w="4968"/>
          </w:tcPr>
          <w:p>
            <w:pPr>
              <w:spacing w:after="20"/>
            </w:pPr>
            <w:r/>
            <w:r>
              <w:rPr>
                <w:rFonts w:ascii="Aptos" w:hAnsi="Aptos"/>
                <w:b w:val="0"/>
                <w:sz w:val="16"/>
              </w:rPr>
              <w:t xml:space="preserve">mean(R_net) / std(R_net) × sqrt(252); R_net is already an excess return, so no risk-free rate is subtracted.</w:t>
            </w:r>
          </w:p>
        </w:tc>
      </w:tr>
      <w:tr>
        <w:tc>
          <w:tcPr>
            <w:tcW w:type="dxa" w:w="4968"/>
          </w:tcPr>
          <w:p>
            <w:pPr>
              <w:spacing w:after="20"/>
            </w:pPr>
            <w:r/>
            <w:r>
              <w:rPr>
                <w:rFonts w:ascii="Aptos" w:hAnsi="Aptos"/>
                <w:b/>
                <w:sz w:val="16"/>
              </w:rPr>
              <w:t>Maximum drawdown</w:t>
            </w:r>
          </w:p>
        </w:tc>
        <w:tc>
          <w:tcPr>
            <w:tcW w:type="dxa" w:w="4968"/>
          </w:tcPr>
          <w:p>
            <w:pPr>
              <w:spacing w:after="20"/>
            </w:pPr>
            <w:r/>
            <w:r>
              <w:rPr>
                <w:rFonts w:ascii="Aptos" w:hAnsi="Aptos"/>
                <w:b w:val="0"/>
                <w:sz w:val="16"/>
              </w:rPr>
              <w:t>Largest peak-to-trough equity decline.</w:t>
            </w:r>
          </w:p>
        </w:tc>
      </w:tr>
      <w:tr>
        <w:tc>
          <w:tcPr>
            <w:tcW w:type="dxa" w:w="4968"/>
          </w:tcPr>
          <w:p>
            <w:pPr>
              <w:spacing w:after="20"/>
            </w:pPr>
            <w:r/>
            <w:r>
              <w:rPr>
                <w:rFonts w:ascii="Aptos" w:hAnsi="Aptos"/>
                <w:b/>
                <w:sz w:val="16"/>
              </w:rPr>
              <w:t xml:space="preserve">Turnover</w:t>
            </w:r>
          </w:p>
        </w:tc>
        <w:tc>
          <w:tcPr>
            <w:tcW w:type="dxa" w:w="4968"/>
          </w:tcPr>
          <w:p>
            <w:pPr>
              <w:spacing w:after="20"/>
            </w:pPr>
            <w:r/>
            <w:r>
              <w:rPr>
                <w:rFonts w:ascii="Aptos" w:hAnsi="Aptos"/>
                <w:b w:val="0"/>
                <w:sz w:val="16"/>
              </w:rPr>
              <w:t xml:space="preserve">Average daily total traded notional (both sides), as defined in Section 9.</w:t>
            </w:r>
          </w:p>
        </w:tc>
      </w:tr>
      <w:tr>
        <w:tc>
          <w:tcPr>
            <w:tcW w:type="dxa" w:w="4968"/>
          </w:tcPr>
          <w:p>
            <w:pPr>
              <w:spacing w:after="20"/>
            </w:pPr>
            <w:r/>
            <w:r>
              <w:rPr>
                <w:rFonts w:ascii="Aptos" w:hAnsi="Aptos"/>
                <w:b/>
                <w:sz w:val="16"/>
              </w:rPr>
              <w:t>Cost drag</w:t>
            </w:r>
          </w:p>
        </w:tc>
        <w:tc>
          <w:tcPr>
            <w:tcW w:type="dxa" w:w="4968"/>
          </w:tcPr>
          <w:p>
            <w:pPr>
              <w:spacing w:after="20"/>
            </w:pPr>
            <w:r/>
            <w:r>
              <w:rPr>
                <w:rFonts w:ascii="Aptos" w:hAnsi="Aptos"/>
                <w:b w:val="0"/>
                <w:sz w:val="16"/>
              </w:rPr>
              <w:t>Difference between gross and net performance.</w:t>
            </w:r>
          </w:p>
        </w:tc>
      </w:tr>
      <w:tr>
        <w:tc>
          <w:tcPr>
            <w:tcW w:type="dxa" w:w="4968"/>
          </w:tcPr>
          <w:p>
            <w:pPr>
              <w:spacing w:after="20"/>
            </w:pPr>
            <w:r/>
            <w:r>
              <w:rPr>
                <w:rFonts w:ascii="Aptos" w:hAnsi="Aptos"/>
                <w:b/>
                <w:sz w:val="16"/>
              </w:rPr>
              <w:t>Market beta</w:t>
            </w:r>
          </w:p>
        </w:tc>
        <w:tc>
          <w:tcPr>
            <w:tcW w:type="dxa" w:w="4968"/>
          </w:tcPr>
          <w:p>
            <w:pPr>
              <w:spacing w:after="20"/>
            </w:pPr>
            <w:r/>
            <w:r>
              <w:rPr>
                <w:rFonts w:ascii="Aptos" w:hAnsi="Aptos"/>
                <w:b w:val="0"/>
                <w:sz w:val="16"/>
              </w:rPr>
              <w:t>Sensitivity to the market benchmark.</w:t>
            </w:r>
          </w:p>
        </w:tc>
      </w:tr>
      <w:tr>
        <w:tc>
          <w:tcPr>
            <w:tcW w:type="dxa" w:w="4968"/>
          </w:tcPr>
          <w:p>
            <w:pPr>
              <w:spacing w:after="20"/>
            </w:pPr>
            <w:r/>
            <w:r>
              <w:rPr>
                <w:rFonts w:ascii="Aptos" w:hAnsi="Aptos"/>
                <w:b/>
                <w:sz w:val="16"/>
              </w:rPr>
              <w:t>Win rate</w:t>
            </w:r>
          </w:p>
        </w:tc>
        <w:tc>
          <w:tcPr>
            <w:tcW w:type="dxa" w:w="4968"/>
          </w:tcPr>
          <w:p>
            <w:pPr>
              <w:spacing w:after="20"/>
            </w:pPr>
            <w:r/>
            <w:r>
              <w:rPr>
                <w:rFonts w:ascii="Aptos" w:hAnsi="Aptos"/>
                <w:b w:val="0"/>
                <w:sz w:val="16"/>
              </w:rPr>
              <w:t>Fraction of positive portfolio-return periods.</w:t>
            </w:r>
          </w:p>
        </w:tc>
      </w:tr>
      <w:tr>
        <w:tc>
          <w:tcPr>
            <w:tcW w:type="dxa" w:w="4968"/>
          </w:tcPr>
          <w:p>
            <w:pPr>
              <w:spacing w:after="20"/>
            </w:pPr>
            <w:r/>
            <w:r>
              <w:rPr>
                <w:rFonts w:ascii="Aptos" w:hAnsi="Aptos"/>
                <w:b/>
                <w:sz w:val="16"/>
              </w:rPr>
              <w:t>Cost sensitivity</w:t>
            </w:r>
          </w:p>
        </w:tc>
        <w:tc>
          <w:tcPr>
            <w:tcW w:type="dxa" w:w="4968"/>
          </w:tcPr>
          <w:p>
            <w:pPr>
              <w:spacing w:after="20"/>
            </w:pPr>
            <w:r/>
            <w:r>
              <w:rPr>
                <w:rFonts w:ascii="Aptos" w:hAnsi="Aptos"/>
                <w:b w:val="0"/>
                <w:sz w:val="16"/>
              </w:rPr>
              <w:t>Performance under higher spread/slippage assumptions.</w:t>
            </w:r>
          </w:p>
        </w:tc>
      </w:tr>
      <w:tr>
        <w:tc>
          <w:tcPr>
            <w:tcW w:type="dxa" w:w="4968"/>
          </w:tcPr>
          <w:p>
            <w:pPr>
              <w:spacing w:after="20"/>
            </w:pPr>
            <w:r/>
            <w:r>
              <w:rPr>
                <w:rFonts w:ascii="Aptos" w:hAnsi="Aptos"/>
                <w:b/>
                <w:sz w:val="16"/>
              </w:rPr>
              <w:t xml:space="preserve">Net dollar exposure</w:t>
            </w:r>
          </w:p>
        </w:tc>
        <w:tc>
          <w:tcPr>
            <w:tcW w:type="dxa" w:w="4968"/>
          </w:tcPr>
          <w:p>
            <w:pPr>
              <w:spacing w:after="20"/>
            </w:pPr>
            <w:r/>
            <w:r>
              <w:rPr>
                <w:rFonts w:ascii="Aptos" w:hAnsi="Aptos"/>
                <w:b w:val="0"/>
                <w:sz w:val="16"/>
              </w:rPr>
              <w:t xml:space="preserve">Mean and range of sum_i x(i,t).</w:t>
            </w:r>
          </w:p>
        </w:tc>
      </w:tr>
      <w:tr>
        <w:tc>
          <w:tcPr>
            <w:tcW w:type="dxa" w:w="4968"/>
          </w:tcPr>
          <w:p>
            <w:pPr>
              <w:spacing w:after="20"/>
            </w:pPr>
            <w:r/>
            <w:r>
              <w:rPr>
                <w:rFonts w:ascii="Aptos" w:hAnsi="Aptos"/>
                <w:b/>
                <w:sz w:val="16"/>
              </w:rPr>
              <w:t xml:space="preserve">Probabilistic Sharpe (PSR)</w:t>
            </w:r>
          </w:p>
        </w:tc>
        <w:tc>
          <w:tcPr>
            <w:tcW w:type="dxa" w:w="4968"/>
          </w:tcPr>
          <w:p>
            <w:pPr>
              <w:spacing w:after="20"/>
            </w:pPr>
            <w:r/>
            <w:r>
              <w:rPr>
                <w:rFonts w:ascii="Aptos" w:hAnsi="Aptos"/>
                <w:b w:val="0"/>
                <w:sz w:val="16"/>
              </w:rPr>
              <w:t xml:space="preserve">Probability that the true Sharpe exceeds a benchmark, adjusting for sample length, skewness, and kurtosis.</w:t>
            </w:r>
          </w:p>
        </w:tc>
      </w:tr>
      <w:tr>
        <w:tc>
          <w:tcPr>
            <w:tcW w:type="dxa" w:w="4968"/>
          </w:tcPr>
          <w:p>
            <w:pPr>
              <w:spacing w:after="20"/>
            </w:pPr>
            <w:r/>
            <w:r>
              <w:rPr>
                <w:rFonts w:ascii="Aptos" w:hAnsi="Aptos"/>
                <w:b/>
                <w:sz w:val="16"/>
              </w:rPr>
              <w:t xml:space="preserve">Deflated Sharpe (DSR)</w:t>
            </w:r>
          </w:p>
        </w:tc>
        <w:tc>
          <w:tcPr>
            <w:tcW w:type="dxa" w:w="4968"/>
          </w:tcPr>
          <w:p>
            <w:pPr>
              <w:spacing w:after="20"/>
            </w:pPr>
            <w:r/>
            <w:r>
              <w:rPr>
                <w:rFonts w:ascii="Aptos" w:hAnsi="Aptos"/>
                <w:b w:val="0"/>
                <w:sz w:val="16"/>
              </w:rPr>
              <w:t xml:space="preserve">PSR with the benchmark raised for the number of trials and the variance of their Sharpes, both taken from the trial log.</w:t>
            </w:r>
          </w:p>
        </w:tc>
      </w:tr>
      <w:tr>
        <w:tc>
          <w:tcPr>
            <w:tcW w:type="dxa" w:w="4968"/>
          </w:tcPr>
          <w:p>
            <w:pPr>
              <w:spacing w:after="20"/>
            </w:pPr>
            <w:r/>
            <w:r>
              <w:rPr>
                <w:rFonts w:ascii="Aptos" w:hAnsi="Aptos"/>
                <w:b/>
                <w:sz w:val="16"/>
              </w:rPr>
              <w:t xml:space="preserve">Sharpe interval</w:t>
            </w:r>
          </w:p>
        </w:tc>
        <w:tc>
          <w:tcPr>
            <w:tcW w:type="dxa" w:w="4968"/>
          </w:tcPr>
          <w:p>
            <w:pPr>
              <w:spacing w:after="20"/>
            </w:pPr>
            <w:r/>
            <w:r>
              <w:rPr>
                <w:rFonts w:ascii="Aptos" w:hAnsi="Aptos"/>
                <w:b w:val="0"/>
                <w:sz w:val="16"/>
              </w:rPr>
              <w:t xml:space="preserve">Stationary block-bootstrap 95% interval, which respects serial correlation.</w:t>
            </w:r>
          </w:p>
        </w:tc>
      </w:tr>
    </w:tbl>
    <w:p>
      <w:pPr>
        <w:pStyle w:val="Heading2"/>
      </w:pPr>
      <w:r>
        <w:t>Required plots</w:t>
      </w:r>
    </w:p>
    <w:p>
      <w:pPr>
        <w:pStyle w:val="ListBullet"/>
        <w:spacing w:after="40"/>
      </w:pPr>
      <w:r>
        <w:t xml:space="preserve">Net equity curves for OU, MLP, Transformer, and temporal CNN (if implemented).</w:t>
      </w:r>
    </w:p>
    <w:p>
      <w:pPr>
        <w:pStyle w:val="ListBullet"/>
        <w:spacing w:after="40"/>
      </w:pPr>
      <w:r>
        <w:t>Drawdown or underwater curves.</w:t>
      </w:r>
    </w:p>
    <w:p>
      <w:pPr>
        <w:pStyle w:val="ListBullet"/>
        <w:spacing w:after="40"/>
      </w:pPr>
      <w:r>
        <w:t>Comparison chart for net Sharpe, volatility, return, and turnover.</w:t>
      </w:r>
    </w:p>
    <w:p>
      <w:pPr>
        <w:pStyle w:val="ListBullet"/>
        <w:spacing w:after="40"/>
      </w:pPr>
      <w:r>
        <w:t>Residual distribution and autocorrelation diagnostics.</w:t>
      </w:r>
    </w:p>
    <w:p>
      <w:pPr>
        <w:pStyle w:val="ListBullet"/>
        <w:spacing w:after="40"/>
      </w:pPr>
      <w:r>
        <w:t>Portfolio exposure and turnover over time.</w:t>
      </w:r>
    </w:p>
    <w:p>
      <w:pPr>
        <w:pStyle w:val="ListBullet"/>
        <w:spacing w:after="40"/>
      </w:pPr>
      <w:r>
        <w:t>Exploratory attention visualizations, explicitly not treated as causal explanations.</w:t>
      </w:r>
    </w:p>
    <w:p>
      <w:pPr>
        <w:pStyle w:val="Heading2"/>
      </w:pPr>
      <w:r>
        <w:t>Ablation studies</w:t>
      </w:r>
    </w:p>
    <w:p>
      <w:pPr>
        <w:pStyle w:val="ListBullet"/>
        <w:spacing w:after="40"/>
      </w:pPr>
      <w:r>
        <w:t xml:space="preserve">Training on gross versus net returns (costs inside or outside the loss).</w:t>
      </w:r>
    </w:p>
    <w:p>
      <w:pPr>
        <w:pStyle w:val="ListBullet"/>
        <w:spacing w:after="40"/>
      </w:pPr>
      <w:r>
        <w:t xml:space="preserve">With versus without an additional turnover penalty.</w:t>
      </w:r>
    </w:p>
    <w:p>
      <w:pPr>
        <w:pStyle w:val="ListBullet"/>
        <w:spacing w:after="40"/>
      </w:pPr>
      <w:r>
        <w:t xml:space="preserve">Lookback lengths such as 15, 30, and 60 trading days (if time permits).</w:t>
      </w:r>
    </w:p>
    <w:p>
      <w:pPr>
        <w:pStyle w:val="ListBullet"/>
        <w:spacing w:after="40"/>
      </w:pPr>
      <w:r>
        <w:t xml:space="preserve">Transaction costs of 0, 5, 10, and 20 bps.</w:t>
      </w:r>
    </w:p>
    <w:p>
      <w:pPr>
        <w:pStyle w:val="ListBullet"/>
        <w:spacing w:after="40"/>
      </w:pPr>
      <w:r>
        <w:t xml:space="preserve">OU versus MLP, Transformer, and temporal CNN (if implemented).</w:t>
      </w:r>
    </w:p>
    <w:p>
      <w:pPr>
        <w:pStyle w:val="ListBullet"/>
        <w:spacing w:after="40"/>
      </w:pPr>
      <w:r>
        <w:t xml:space="preserve">Factor-hedged weights (Phi^T w) versus unhedged stock weights, and lambda = 0 versus lambda &gt; 0, as diagnostics.</w:t>
      </w:r>
    </w:p>
    <w:p>
      <w:pPr>
        <w:pStyle w:val="ListBullet"/>
        <w:spacing w:after="40"/>
      </w:pPr>
      <w:r>
        <w:t xml:space="preserve">One-day execution delay.</w:t>
      </w:r>
    </w:p>
    <w:p>
      <w:pPr>
        <w:pStyle w:val="ListBullet"/>
        <w:spacing w:after="40"/>
      </w:pPr>
      <w:r>
        <w:t xml:space="preserve">Performance across different historical regimes (if time permits).</w:t>
      </w:r>
    </w:p>
    <w:p>
      <w:r>
        <w:t xml:space="preserve">Daily returns can be serially correlated, and multiple model trials create selection bias. Every evaluated configuration is therefore logged, and results report the Deflated Sharpe Ratio and a block-bootstrap interval. A high backtest Sharpe alone does not establish a durable investment edge.</w:t>
      </w:r>
    </w:p>
    <w:p>
      <w:pPr>
        <w:pStyle w:val="Heading1"/>
      </w:pPr>
      <w:r>
        <w:t>13. Four-Week Implementation Roadmap</w:t>
      </w:r>
    </w:p>
    <w:p>
      <w:pPr>
        <w:pStyle w:val="Heading2"/>
      </w:pPr>
      <w:r>
        <w:t>Week 1 — Data and baseline</w:t>
      </w:r>
    </w:p>
    <w:p>
      <w:pPr>
        <w:pStyle w:val="ListBullet"/>
        <w:spacing w:after="40"/>
      </w:pPr>
      <w:r>
        <w:t xml:space="preserve">Download (from 2008), validate, and store historical prices; build the per-date eligibility mask.</w:t>
      </w:r>
    </w:p>
    <w:p>
      <w:pPr>
        <w:pStyle w:val="ListBullet"/>
        <w:spacing w:after="40"/>
      </w:pPr>
      <w:r>
        <w:t xml:space="preserve">Implement simple returns, rolling PCA eigenportfolios, Phi, and residual diagnostics.</w:t>
      </w:r>
    </w:p>
    <w:p>
      <w:pPr>
        <w:pStyle w:val="ListBullet"/>
        <w:spacing w:after="40"/>
      </w:pPr>
      <w:r>
        <w:t>Estimate OU parameters and build s-score signals.</w:t>
      </w:r>
    </w:p>
    <w:p>
      <w:pPr>
        <w:pStyle w:val="ListBullet"/>
        <w:spacing w:after="40"/>
      </w:pPr>
      <w:r>
        <w:t xml:space="preserve">Build the shared portfolio layer (Phi^T w and constraints) and the first cost-aware backtest.</w:t>
      </w:r>
    </w:p>
    <w:p>
      <w:pPr>
        <w:pStyle w:val="ListBullet"/>
        <w:spacing w:after="40"/>
      </w:pPr>
      <w:r>
        <w:t xml:space="preserve">Test date alignment, the residual identity, positions, costs, and no-look-ahead behavior.</w:t>
      </w:r>
    </w:p>
    <w:p>
      <w:r>
        <w:rPr>
          <w:i/>
          <w:color w:val="375F78"/>
        </w:rPr>
        <w:t>Deliverable: reproducible classical strategy and initial metrics.</w:t>
      </w:r>
    </w:p>
    <w:p>
      <w:pPr>
        <w:pStyle w:val="Heading2"/>
      </w:pPr>
      <w:r>
        <w:t>Week 2 — Deep learning</w:t>
      </w:r>
    </w:p>
    <w:p>
      <w:pPr>
        <w:pStyle w:val="ListBullet"/>
        <w:spacing w:after="40"/>
      </w:pPr>
      <w:r>
        <w:t xml:space="preserve">Build sequence datasets as contiguous day blocks (T_days, N_stocks, 30, 1).</w:t>
      </w:r>
    </w:p>
    <w:p>
      <w:pPr>
        <w:pStyle w:val="ListBullet"/>
        <w:spacing w:after="40"/>
      </w:pPr>
      <w:r>
        <w:t xml:space="preserve">Implement the MLP baseline; temporal CNN if time permits.</w:t>
      </w:r>
    </w:p>
    <w:p>
      <w:pPr>
        <w:pStyle w:val="ListBullet"/>
        <w:spacing w:after="40"/>
      </w:pPr>
      <w:r>
        <w:t xml:space="preserve">Implement the compact Transformer, reusing the existing from-scratch encoder blocks.</w:t>
      </w:r>
    </w:p>
    <w:p>
      <w:pPr>
        <w:pStyle w:val="ListBullet"/>
        <w:spacing w:after="40"/>
      </w:pPr>
      <w:r>
        <w:t>Add cost-aware portfolio-level training loss.</w:t>
      </w:r>
    </w:p>
    <w:p>
      <w:pPr>
        <w:pStyle w:val="ListBullet"/>
        <w:spacing w:after="40"/>
      </w:pPr>
      <w:r>
        <w:t xml:space="preserve">Log every configuration as a trial; tune hyperparameters on Fold 1 only.</w:t>
      </w:r>
    </w:p>
    <w:p>
      <w:r>
        <w:rPr>
          <w:i/>
          <w:color w:val="375F78"/>
        </w:rPr>
        <w:t>Deliverable: trained models, saved configurations, and validation results.</w:t>
      </w:r>
    </w:p>
    <w:p>
      <w:pPr>
        <w:pStyle w:val="Heading2"/>
      </w:pPr>
      <w:r>
        <w:t>Week 3 — Evaluation</w:t>
      </w:r>
    </w:p>
    <w:p>
      <w:pPr>
        <w:pStyle w:val="ListBullet"/>
        <w:spacing w:after="40"/>
      </w:pPr>
      <w:r>
        <w:t xml:space="preserve">Implement expanding walk-forward retraining with 30-day embargoes.</w:t>
      </w:r>
    </w:p>
    <w:p>
      <w:pPr>
        <w:pStyle w:val="ListBullet"/>
        <w:spacing w:after="40"/>
      </w:pPr>
      <w:r>
        <w:t>Apply identical execution assumptions to all models.</w:t>
      </w:r>
    </w:p>
    <w:p>
      <w:pPr>
        <w:pStyle w:val="ListBullet"/>
        <w:spacing w:after="40"/>
      </w:pPr>
      <w:r>
        <w:t xml:space="preserve">Calculate net Sharpe, PSR, DSR, bootstrap intervals, drawdown, turnover, and exposures.</w:t>
      </w:r>
    </w:p>
    <w:p>
      <w:pPr>
        <w:pStyle w:val="ListBullet"/>
        <w:spacing w:after="40"/>
      </w:pPr>
      <w:r>
        <w:t xml:space="preserve">Run cost sensitivity, the one-day delay check, and ablations.</w:t>
      </w:r>
    </w:p>
    <w:p>
      <w:pPr>
        <w:pStyle w:val="ListBullet"/>
        <w:spacing w:after="40"/>
      </w:pPr>
      <w:r>
        <w:t xml:space="preserve">Audit leakage, freeze every setting, then run the 2024–2025 holdout once.</w:t>
      </w:r>
    </w:p>
    <w:p>
      <w:r>
        <w:rPr>
          <w:i/>
          <w:color w:val="375F78"/>
        </w:rPr>
        <w:t>Deliverable: out-of-sample comparison tables and research plots.</w:t>
      </w:r>
    </w:p>
    <w:p>
      <w:pPr>
        <w:pStyle w:val="Heading2"/>
      </w:pPr>
      <w:r>
        <w:t>Week 4 — Delivery</w:t>
      </w:r>
    </w:p>
    <w:p>
      <w:pPr>
        <w:pStyle w:val="ListBullet"/>
        <w:spacing w:after="40"/>
      </w:pPr>
      <w:r>
        <w:t>Build the Streamlit dashboard.</w:t>
      </w:r>
    </w:p>
    <w:p>
      <w:pPr>
        <w:pStyle w:val="ListBullet"/>
        <w:spacing w:after="40"/>
      </w:pPr>
      <w:r>
        <w:t>Add reproducible commands and configuration files.</w:t>
      </w:r>
    </w:p>
    <w:p>
      <w:pPr>
        <w:pStyle w:val="ListBullet"/>
        <w:spacing w:after="40"/>
      </w:pPr>
      <w:r>
        <w:t>Finish unit tests and document limitations.</w:t>
      </w:r>
    </w:p>
    <w:p>
      <w:pPr>
        <w:pStyle w:val="ListBullet"/>
        <w:spacing w:after="40"/>
      </w:pPr>
      <w:r>
        <w:t>Write the methodology and results report.</w:t>
      </w:r>
    </w:p>
    <w:p>
      <w:pPr>
        <w:pStyle w:val="ListBullet"/>
        <w:spacing w:after="40"/>
      </w:pPr>
      <w:r>
        <w:t>Publish the GitHub repository and resume entry.</w:t>
      </w:r>
    </w:p>
    <w:p>
      <w:r>
        <w:rPr>
          <w:i/>
          <w:color w:val="375F78"/>
        </w:rPr>
        <w:t>Deliverable: portfolio-ready repository another person can run.</w:t>
      </w:r>
    </w:p>
    <w:p>
      <w:r>
        <w:t>If only two weeks are available, prioritize a correct baseline, one neural model, and credible out-of-sample evaluation. Add the dashboard and additional models later.</w:t>
      </w:r>
    </w:p>
    <w:p>
      <w:pPr>
        <w:pStyle w:val="Heading1"/>
      </w:pPr>
      <w:r>
        <w:t>14. GitHub Repository Structure</w:t>
      </w:r>
    </w:p>
    <w:p>
      <w:r>
        <w:rPr>
          <w:rFonts w:ascii="Consolas" w:hAnsi="Consolas"/>
          <w:sz w:val="16"/>
        </w:rPr>
        <w:t xml:space="preserve">Sharpee/</w:t>
        <w:br/>
        <w:t xml:space="preserve">├── README.md</w:t>
        <w:br/>
        <w:t xml:space="preserve">├── requirements.txt</w:t>
        <w:br/>
        <w:t xml:space="preserve">├── pyproject.toml</w:t>
        <w:br/>
        <w:t xml:space="preserve">├── configs/</w:t>
        <w:br/>
        <w:t xml:space="preserve">│   ├── data.yaml</w:t>
        <w:br/>
        <w:t xml:space="preserve">│   ├── baseline.yaml</w:t>
        <w:br/>
        <w:t xml:space="preserve">│   └── transformer.yaml</w:t>
        <w:br/>
        <w:t xml:space="preserve">├── data/</w:t>
        <w:br/>
        <w:t xml:space="preserve">│   ├── raw/                 # downloaded data; gitignored</w:t>
        <w:br/>
        <w:t xml:space="preserve">│   └── processed/           # processed data; gitignored</w:t>
        <w:br/>
        <w:t xml:space="preserve">├── docs/                    # this plan</w:t>
        <w:br/>
        <w:t xml:space="preserve">├── notebooks/</w:t>
        <w:br/>
        <w:t xml:space="preserve">│   ├── 01_data_exploration.ipynb</w:t>
        <w:br/>
        <w:t xml:space="preserve">│   └── 02_residual_analysis.ipynb</w:t>
        <w:br/>
        <w:t xml:space="preserve">├── src/sharpee/</w:t>
        <w:br/>
        <w:t xml:space="preserve">│   ├── data/                # download.py, universe.py, preprocess.py</w:t>
        <w:br/>
        <w:t xml:space="preserve">│   ├── features/            # returns.py, pca_residuals.py</w:t>
        <w:br/>
        <w:t xml:space="preserve">│   ├── strategies/          # ou_strategy.py</w:t>
        <w:br/>
        <w:t xml:space="preserve">│   ├── models/              # blocks.py, mlp.py, transformer.py, temporal_cnn.py</w:t>
        <w:br/>
        <w:t xml:space="preserve">│   ├── portfolio/           # construction.py, risk.py</w:t>
        <w:br/>
        <w:t xml:space="preserve">│   ├── backtest/            # engine.py, costs.py</w:t>
        <w:br/>
        <w:t xml:space="preserve">│   ├── training/            # dataset.py, loss.py, train.py, trials.py</w:t>
        <w:br/>
        <w:t xml:space="preserve">│   └── evaluation/          # metrics.py, walk_forward.py, significance.py</w:t>
        <w:br/>
        <w:t xml:space="preserve">├── app/</w:t>
        <w:br/>
        <w:t xml:space="preserve">│   └── dashboard.py</w:t>
        <w:br/>
        <w:t xml:space="preserve">├── tests/</w:t>
        <w:br/>
        <w:t xml:space="preserve">│   ├── test_data.py</w:t>
        <w:br/>
        <w:t xml:space="preserve">│   ├── test_residuals.py</w:t>
        <w:br/>
        <w:t xml:space="preserve">│   ├── test_portfolio.py</w:t>
        <w:br/>
        <w:t xml:space="preserve">│   ├── test_backtest.py</w:t>
        <w:br/>
        <w:t xml:space="preserve">│   ├── test_no_lookahead.py</w:t>
        <w:br/>
        <w:t xml:space="preserve">│   ├── test_metrics.py</w:t>
        <w:br/>
        <w:t xml:space="preserve">│   └── test_loss.py</w:t>
        <w:br/>
        <w:t xml:space="preserve">├── runs/                    # trial log and checkpoints; gitignored</w:t>
        <w:br/>
        <w:t xml:space="preserve">├── reports/</w:t>
        <w:br/>
        <w:t xml:space="preserve">│   ├── figures/</w:t>
        <w:br/>
        <w:t xml:space="preserve">│   └── research_report.md</w:t>
        <w:br/>
        <w:t xml:space="preserve">└── scripts/</w:t>
        <w:br/>
        <w:t xml:space="preserve">    ├── download_data.py</w:t>
        <w:br/>
        <w:t xml:space="preserve">    ├── run_baseline.py</w:t>
        <w:br/>
        <w:t xml:space="preserve">    ├── train_model.py</w:t>
        <w:br/>
        <w:t xml:space="preserve">    └── run_backtest.py</w:t>
      </w:r>
    </w:p>
    <w:p>
      <w:r>
        <w:t>Keep large datasets, checkpoints, and generated artifacts out of Git. Provide small sample data or a documented download procedure so reviewers can reproduce a minimal run.</w:t>
      </w:r>
    </w:p>
    <w:p>
      <w:pPr>
        <w:pStyle w:val="Heading1"/>
      </w:pPr>
      <w:r>
        <w:t>15. Dashboard Specification</w:t>
      </w:r>
    </w:p>
    <w:p>
      <w:pPr>
        <w:pStyle w:val="ListBullet"/>
        <w:spacing w:after="40"/>
      </w:pPr>
      <w:r>
        <w:t xml:space="preserve">Model selector: OU, MLP, Transformer, and temporal CNN if implemented.</w:t>
      </w:r>
    </w:p>
    <w:p>
      <w:pPr>
        <w:pStyle w:val="ListBullet"/>
        <w:spacing w:after="40"/>
      </w:pPr>
      <w:r>
        <w:t>Date-range selector restricted to saved evaluation results.</w:t>
      </w:r>
    </w:p>
    <w:p>
      <w:pPr>
        <w:pStyle w:val="ListBullet"/>
        <w:spacing w:after="40"/>
      </w:pPr>
      <w:r>
        <w:t>Equity curve and drawdown panels.</w:t>
      </w:r>
    </w:p>
    <w:p>
      <w:pPr>
        <w:pStyle w:val="ListBullet"/>
        <w:spacing w:after="40"/>
      </w:pPr>
      <w:r>
        <w:t xml:space="preserve">Metrics panel: net Sharpe with bootstrap interval, PSR, DSR, annualized return/volatility, drawdown, turnover, costs, beta.</w:t>
      </w:r>
    </w:p>
    <w:p>
      <w:pPr>
        <w:pStyle w:val="ListBullet"/>
        <w:spacing w:after="40"/>
      </w:pPr>
      <w:r>
        <w:t>Cost sensitivity panel.</w:t>
      </w:r>
    </w:p>
    <w:p>
      <w:pPr>
        <w:pStyle w:val="ListBullet"/>
        <w:spacing w:after="40"/>
      </w:pPr>
      <w:r>
        <w:t>Residual diagnostics and exploratory attention visualization.</w:t>
      </w:r>
    </w:p>
    <w:p>
      <w:pPr>
        <w:pStyle w:val="ListBullet"/>
        <w:spacing w:after="40"/>
      </w:pPr>
      <w:r>
        <w:t>Experiment metadata: training dates, test dates, configuration, universe, and cost assumptions.</w:t>
      </w:r>
    </w:p>
    <w:p>
      <w:r>
        <w:t>The dashboard should display precomputed results by default; it does not need to train models on demand.</w:t>
      </w:r>
    </w:p>
    <w:p>
      <w:pPr>
        <w:pStyle w:val="Heading1"/>
      </w:pPr>
      <w:r>
        <w:t>16.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174A70"/>
          </w:tcPr>
          <w:p>
            <w:pPr>
              <w:spacing w:after="20"/>
            </w:pPr>
            <w:r/>
            <w:r>
              <w:rPr>
                <w:rFonts w:ascii="Aptos" w:hAnsi="Aptos"/>
                <w:b/>
                <w:color w:val="FFFFFF"/>
                <w:sz w:val="18"/>
              </w:rPr>
              <w:t>Risk</w:t>
            </w:r>
          </w:p>
        </w:tc>
        <w:tc>
          <w:tcPr>
            <w:tcW w:type="dxa" w:w="4968"/>
            <w:shd w:fill="174A70"/>
          </w:tcPr>
          <w:p>
            <w:pPr>
              <w:spacing w:after="20"/>
            </w:pPr>
            <w:r/>
            <w:r>
              <w:rPr>
                <w:rFonts w:ascii="Aptos" w:hAnsi="Aptos"/>
                <w:b/>
                <w:color w:val="FFFFFF"/>
                <w:sz w:val="18"/>
              </w:rPr>
              <w:t>Mitigation</w:t>
            </w:r>
          </w:p>
        </w:tc>
      </w:tr>
      <w:tr>
        <w:tc>
          <w:tcPr>
            <w:tcW w:type="dxa" w:w="4968"/>
          </w:tcPr>
          <w:p>
            <w:pPr>
              <w:spacing w:after="20"/>
            </w:pPr>
            <w:r/>
            <w:r>
              <w:rPr>
                <w:rFonts w:ascii="Aptos" w:hAnsi="Aptos"/>
                <w:b/>
                <w:sz w:val="16"/>
              </w:rPr>
              <w:t>Transformer underperforms OU</w:t>
            </w:r>
          </w:p>
        </w:tc>
        <w:tc>
          <w:tcPr>
            <w:tcW w:type="dxa" w:w="4968"/>
          </w:tcPr>
          <w:p>
            <w:pPr>
              <w:spacing w:after="20"/>
            </w:pPr>
            <w:r/>
            <w:r>
              <w:rPr>
                <w:rFonts w:ascii="Aptos" w:hAnsi="Aptos"/>
                <w:b w:val="0"/>
                <w:sz w:val="16"/>
              </w:rPr>
              <w:t>Report honestly; test simpler models and explain the evidence.</w:t>
            </w:r>
          </w:p>
        </w:tc>
      </w:tr>
      <w:tr>
        <w:tc>
          <w:tcPr>
            <w:tcW w:type="dxa" w:w="4968"/>
          </w:tcPr>
          <w:p>
            <w:pPr>
              <w:spacing w:after="20"/>
            </w:pPr>
            <w:r/>
            <w:r>
              <w:rPr>
                <w:rFonts w:ascii="Aptos" w:hAnsi="Aptos"/>
                <w:b/>
                <w:sz w:val="16"/>
              </w:rPr>
              <w:t>Look-ahead bias</w:t>
            </w:r>
          </w:p>
        </w:tc>
        <w:tc>
          <w:tcPr>
            <w:tcW w:type="dxa" w:w="4968"/>
          </w:tcPr>
          <w:p>
            <w:pPr>
              <w:spacing w:after="20"/>
            </w:pPr>
            <w:r/>
            <w:r>
              <w:rPr>
                <w:rFonts w:ascii="Aptos" w:hAnsi="Aptos"/>
                <w:b w:val="0"/>
                <w:sz w:val="16"/>
              </w:rPr>
              <w:t>Fit each transform and model on past data only; audit feature timestamps.</w:t>
            </w:r>
          </w:p>
        </w:tc>
      </w:tr>
      <w:tr>
        <w:tc>
          <w:tcPr>
            <w:tcW w:type="dxa" w:w="4968"/>
          </w:tcPr>
          <w:p>
            <w:pPr>
              <w:spacing w:after="20"/>
            </w:pPr>
            <w:r/>
            <w:r>
              <w:rPr>
                <w:rFonts w:ascii="Aptos" w:hAnsi="Aptos"/>
                <w:b/>
                <w:sz w:val="16"/>
              </w:rPr>
              <w:t xml:space="preserve">Survivorship bias</w:t>
            </w:r>
          </w:p>
        </w:tc>
        <w:tc>
          <w:tcPr>
            <w:tcW w:type="dxa" w:w="4968"/>
          </w:tcPr>
          <w:p>
            <w:pPr>
              <w:spacing w:after="20"/>
            </w:pPr>
            <w:r/>
            <w:r>
              <w:rPr>
                <w:rFonts w:ascii="Aptos" w:hAnsi="Aptos"/>
                <w:b w:val="0"/>
                <w:sz w:val="16"/>
              </w:rPr>
              <w:t xml:space="preserve">Point-in-time membership and per-date eligibility, with no whole-period history filter; disclose missing delisted tickers.</w:t>
            </w:r>
          </w:p>
        </w:tc>
      </w:tr>
      <w:tr>
        <w:tc>
          <w:tcPr>
            <w:tcW w:type="dxa" w:w="4968"/>
          </w:tcPr>
          <w:p>
            <w:pPr>
              <w:spacing w:after="20"/>
            </w:pPr>
            <w:r/>
            <w:r>
              <w:rPr>
                <w:rFonts w:ascii="Aptos" w:hAnsi="Aptos"/>
                <w:b/>
                <w:sz w:val="16"/>
              </w:rPr>
              <w:t xml:space="preserve">Inflated Sharpe</w:t>
            </w:r>
          </w:p>
        </w:tc>
        <w:tc>
          <w:tcPr>
            <w:tcW w:type="dxa" w:w="4968"/>
          </w:tcPr>
          <w:p>
            <w:pPr>
              <w:spacing w:after="20"/>
            </w:pPr>
            <w:r/>
            <w:r>
              <w:rPr>
                <w:rFonts w:ascii="Aptos" w:hAnsi="Aptos"/>
                <w:b w:val="0"/>
                <w:sz w:val="16"/>
              </w:rPr>
              <w:t xml:space="preserve">Deduct costs, constrain positions, test multiple periods, log every trial, and report the Deflated Sharpe Ratio.</w:t>
            </w:r>
          </w:p>
        </w:tc>
      </w:tr>
      <w:tr>
        <w:tc>
          <w:tcPr>
            <w:tcW w:type="dxa" w:w="4968"/>
          </w:tcPr>
          <w:p>
            <w:pPr>
              <w:spacing w:after="20"/>
            </w:pPr>
            <w:r/>
            <w:r>
              <w:rPr>
                <w:rFonts w:ascii="Aptos" w:hAnsi="Aptos"/>
                <w:b/>
                <w:sz w:val="16"/>
              </w:rPr>
              <w:t>Unstable optimization</w:t>
            </w:r>
          </w:p>
        </w:tc>
        <w:tc>
          <w:tcPr>
            <w:tcW w:type="dxa" w:w="4968"/>
          </w:tcPr>
          <w:p>
            <w:pPr>
              <w:spacing w:after="20"/>
            </w:pPr>
            <w:r/>
            <w:r>
              <w:rPr>
                <w:rFonts w:ascii="Aptos" w:hAnsi="Aptos"/>
                <w:b w:val="0"/>
                <w:sz w:val="16"/>
              </w:rPr>
              <w:t>Start small, clip gradients, use validation, and compare alternative objectives.</w:t>
            </w:r>
          </w:p>
        </w:tc>
      </w:tr>
      <w:tr>
        <w:tc>
          <w:tcPr>
            <w:tcW w:type="dxa" w:w="4968"/>
          </w:tcPr>
          <w:p>
            <w:pPr>
              <w:spacing w:after="20"/>
            </w:pPr>
            <w:r/>
            <w:r>
              <w:rPr>
                <w:rFonts w:ascii="Aptos" w:hAnsi="Aptos"/>
                <w:b/>
                <w:sz w:val="16"/>
              </w:rPr>
              <w:t>Scope creep</w:t>
            </w:r>
          </w:p>
        </w:tc>
        <w:tc>
          <w:tcPr>
            <w:tcW w:type="dxa" w:w="4968"/>
          </w:tcPr>
          <w:p>
            <w:pPr>
              <w:spacing w:after="20"/>
            </w:pPr>
            <w:r/>
            <w:r>
              <w:rPr>
                <w:rFonts w:ascii="Aptos" w:hAnsi="Aptos"/>
                <w:b w:val="0"/>
                <w:sz w:val="16"/>
              </w:rPr>
              <w:t>Complete the baseline and backtester before adding model complexity.</w:t>
            </w:r>
          </w:p>
        </w:tc>
      </w:tr>
      <w:tr>
        <w:tc>
          <w:tcPr>
            <w:tcW w:type="dxa" w:w="4968"/>
          </w:tcPr>
          <w:p>
            <w:pPr>
              <w:spacing w:after="20"/>
            </w:pPr>
            <w:r/>
            <w:r>
              <w:rPr>
                <w:rFonts w:ascii="Aptos" w:hAnsi="Aptos"/>
                <w:b/>
                <w:sz w:val="16"/>
              </w:rPr>
              <w:t>Poor reproducibility</w:t>
            </w:r>
          </w:p>
        </w:tc>
        <w:tc>
          <w:tcPr>
            <w:tcW w:type="dxa" w:w="4968"/>
          </w:tcPr>
          <w:p>
            <w:pPr>
              <w:spacing w:after="20"/>
            </w:pPr>
            <w:r/>
            <w:r>
              <w:rPr>
                <w:rFonts w:ascii="Aptos" w:hAnsi="Aptos"/>
                <w:b w:val="0"/>
                <w:sz w:val="16"/>
              </w:rPr>
              <w:t>Save configs, seeds, data snapshots/metadata, package versions, and experiment outputs.</w:t>
            </w:r>
          </w:p>
        </w:tc>
      </w:tr>
      <w:tr>
        <w:tc>
          <w:tcPr>
            <w:tcW w:type="dxa" w:w="4968"/>
          </w:tcPr>
          <w:p>
            <w:pPr>
              <w:spacing w:after="20"/>
            </w:pPr>
            <w:r/>
            <w:r>
              <w:rPr>
                <w:rFonts w:ascii="Aptos" w:hAnsi="Aptos"/>
                <w:b/>
                <w:sz w:val="16"/>
              </w:rPr>
              <w:t>False neutrality claims</w:t>
            </w:r>
          </w:p>
        </w:tc>
        <w:tc>
          <w:tcPr>
            <w:tcW w:type="dxa" w:w="4968"/>
          </w:tcPr>
          <w:p>
            <w:pPr>
              <w:spacing w:after="20"/>
            </w:pPr>
            <w:r/>
            <w:r>
              <w:rPr>
                <w:rFonts w:ascii="Aptos" w:hAnsi="Aptos"/>
                <w:b w:val="0"/>
                <w:sz w:val="16"/>
              </w:rPr>
              <w:t>Measure market beta, factor exposures, and sector concentration.</w:t>
            </w:r>
          </w:p>
        </w:tc>
      </w:tr>
    </w:tbl>
    <w:p>
      <w:pPr>
        <w:pStyle w:val="Heading1"/>
      </w:pPr>
      <w:r>
        <w:t>17. Resume Presentation</w:t>
      </w:r>
    </w:p>
    <w:tbl>
      <w:tblPr>
        <w:tblW w:type="auto" w:w="0"/>
        <w:tblLayout w:type="autofit"/>
        <w:tblLook w:firstColumn="1" w:firstRow="1" w:lastColumn="0" w:lastRow="0" w:noHBand="0" w:noVBand="1" w:val="04A0"/>
      </w:tblPr>
      <w:tblGrid>
        <w:gridCol w:w="9936"/>
      </w:tblGrid>
      <w:tr>
        <w:tc>
          <w:tcPr>
            <w:tcW w:type="dxa" w:w="9936"/>
            <w:shd w:fill="EAF2F8"/>
          </w:tcPr>
          <w:p>
            <w:pPr>
              <w:spacing w:after="60"/>
            </w:pPr>
            <w:r>
              <w:rPr>
                <w:b/>
                <w:color w:val="144169"/>
                <w:sz w:val="20"/>
              </w:rPr>
              <w:t>USE ONLY AFTER IMPLEMENTATION</w:t>
              <w:br/>
            </w:r>
            <w:r>
              <w:rPr>
                <w:sz w:val="18"/>
              </w:rPr>
              <w:t>Sharpee — Deep Learning for Statistical Arbitrage | Python, PyTorch, NumPy, pandas, Streamlit</w:t>
              <w:br/>
              <w:t>• Developed a quantitative research framework combining rolling PCA factor removal, OU mean-reversion signals, and deep-learning-based portfolio allocation.</w:t>
              <w:br/>
              <w:t>• Implemented portfolio-level risk-adjusted optimization with transaction-cost and turnover considerations, evaluated through walk-forward backtesting.</w:t>
              <w:br/>
              <w:t>• Benchmarked classical and neural strategies using net Sharpe, maximum drawdown, turnover, and exposure analysis; documented out-of-sample performance and limitations.</w:t>
              <w:br/>
              <w:t>• Built an interactive dashboard for portfolio performance analysis and reproducible strategy comparisons.</w:t>
            </w:r>
          </w:p>
        </w:tc>
      </w:tr>
    </w:tbl>
    <w:p>
      <w:pPr>
        <w:spacing w:after="20"/>
      </w:pPr>
    </w:p>
    <w:p>
      <w:r>
        <w:t>Add numerical results only after measuring them. Do not claim profitability, statistical significance, or superior performance unless your experiments support those claims.</w:t>
      </w:r>
    </w:p>
    <w:p>
      <w:pPr>
        <w:pStyle w:val="Heading1"/>
      </w:pPr>
      <w:r>
        <w:t>18. Reference Material</w:t>
      </w:r>
    </w:p>
    <w:p>
      <w:pPr>
        <w:pStyle w:val="ListBullet"/>
        <w:spacing w:after="40"/>
      </w:pPr>
      <w:r>
        <w:rPr>
          <w:b/>
        </w:rPr>
        <w:t xml:space="preserve">Deep Learning Statistical Arbitrage — research paper: </w:t>
      </w:r>
      <w:r>
        <w:t>https://arxiv.org/abs/2106.04028</w:t>
      </w:r>
    </w:p>
    <w:p>
      <w:pPr>
        <w:pStyle w:val="ListBullet"/>
        <w:spacing w:after="40"/>
      </w:pPr>
      <w:r>
        <w:rPr>
          <w:b/>
        </w:rPr>
        <w:t xml:space="preserve">Public code associated with the research: </w:t>
      </w:r>
      <w:r>
        <w:t>https://github.com/gregzanotti/dlsa-public</w:t>
      </w:r>
    </w:p>
    <w:p>
      <w:pPr>
        <w:pStyle w:val="ListBullet"/>
        <w:spacing w:after="40"/>
      </w:pPr>
      <w:r>
        <w:rPr>
          <w:b/>
        </w:rPr>
        <w:t xml:space="preserve">Avellaneda and Lee, Statistical Arbitrage in the U.S. Equities Market: </w:t>
      </w:r>
      <w:r>
        <w:t>https://doi.org/10.1080/14697680903124632</w:t>
      </w:r>
    </w:p>
    <w:p>
      <w:pPr>
        <w:pStyle w:val="ListBullet"/>
        <w:spacing w:after="40"/>
      </w:pPr>
      <w:r>
        <w:rPr>
          <w:b/>
        </w:rPr>
        <w:t xml:space="preserve">PyTorch documentation: </w:t>
      </w:r>
      <w:r>
        <w:t>https://pytorch.org/docs/stable/index.html</w:t>
      </w:r>
    </w:p>
    <w:p>
      <w:pPr>
        <w:pStyle w:val="ListBullet"/>
        <w:spacing w:after="40"/>
      </w:pPr>
      <w:r>
        <w:rPr>
          <w:b/>
        </w:rPr>
        <w:t xml:space="preserve">scikit-learn PCA documentation: </w:t>
      </w:r>
      <w:r>
        <w:t>https://scikit-learn.org/stable/modules/generated/sklearn.decomposition.PCA.html</w:t>
      </w:r>
    </w:p>
    <w:p>
      <w:pPr>
        <w:pStyle w:val="ListBullet"/>
        <w:spacing w:after="40"/>
      </w:pPr>
      <w:r>
        <w:rPr>
          <w:b/>
        </w:rPr>
        <w:t xml:space="preserve">yfinance documentation: </w:t>
      </w:r>
      <w:r>
        <w:t>https://ranaroussi.github.io/yfinance/</w:t>
      </w:r>
    </w:p>
    <w:p>
      <w:pPr>
        <w:pStyle w:val="Heading1"/>
      </w:pPr>
      <w:r>
        <w:t>19. Final Completion Checklist</w:t>
      </w:r>
    </w:p>
    <w:p>
      <w:pPr>
        <w:pStyle w:val="ListBullet"/>
        <w:spacing w:after="60"/>
      </w:pPr>
      <w:r>
        <w:t>☐ The classical strategy runs end to end.</w:t>
      </w:r>
    </w:p>
    <w:p>
      <w:pPr>
        <w:pStyle w:val="ListBullet"/>
        <w:spacing w:after="60"/>
      </w:pPr>
      <w:r>
        <w:t>☐ The Transformer trains and produces valid portfolio weights.</w:t>
      </w:r>
    </w:p>
    <w:p>
      <w:pPr>
        <w:pStyle w:val="ListBullet"/>
        <w:spacing w:after="60"/>
      </w:pPr>
      <w:r>
        <w:t>☐ Portfolio return calculations and transaction costs are tested.</w:t>
      </w:r>
    </w:p>
    <w:p>
      <w:pPr>
        <w:pStyle w:val="ListBullet"/>
        <w:spacing w:after="60"/>
      </w:pPr>
      <w:r>
        <w:t>☐ The backtest is chronological and free from known look-ahead leakage.</w:t>
      </w:r>
    </w:p>
    <w:p>
      <w:pPr>
        <w:pStyle w:val="ListBullet"/>
        <w:spacing w:after="60"/>
      </w:pPr>
      <w:r>
        <w:t>☐ All models use the same out-of-sample periods and execution assumptions.</w:t>
      </w:r>
    </w:p>
    <w:p>
      <w:pPr>
        <w:pStyle w:val="ListBullet"/>
        <w:spacing w:after="60"/>
      </w:pPr>
      <w:r>
        <w:t>☐ Results include net Sharpe, drawdown, turnover, cost drag, and exposures.</w:t>
      </w:r>
    </w:p>
    <w:p>
      <w:pPr>
        <w:pStyle w:val="ListBullet"/>
        <w:spacing w:after="60"/>
      </w:pPr>
      <w:r>
        <w:t xml:space="preserve">☐ Every evaluated configuration is in the trial log, and PSR/DSR are reported.</w:t>
      </w:r>
    </w:p>
    <w:p>
      <w:pPr>
        <w:pStyle w:val="ListBullet"/>
        <w:spacing w:after="60"/>
      </w:pPr>
      <w:r>
        <w:t>☐ The setup process is reproducible.</w:t>
      </w:r>
    </w:p>
    <w:p>
      <w:pPr>
        <w:pStyle w:val="ListBullet"/>
        <w:spacing w:after="60"/>
      </w:pPr>
      <w:r>
        <w:t>☐ The report explains limitations and does not overstate profitability.</w:t>
      </w:r>
    </w:p>
    <w:p>
      <w:pPr>
        <w:pStyle w:val="Heading1"/>
      </w:pPr>
      <w:r>
        <w:t>Closing Recommendation</w:t>
      </w:r>
    </w:p>
    <w:p>
      <w:r>
        <w:t>Build in sequence: data quality → residual diagnostics → classical baseline → backtesting correctness → one neural model → Transformer → robustness → dashboard. A rigorous, reproducible project with honest results is more valuable than a complex model trained on a flawed backtest.</w:t>
      </w:r>
    </w:p>
    <w:p>
      <w:r>
        <w:t>This is a research and educational project, not an investment recommendation or evidence that a strategy will be profitable in live markets.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Sharpee Project Plan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5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4B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