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Helvetica" w:hAnsi="Helvetica"/>
          <w:b/>
          <w:color w:val="4F46E5"/>
          <w:sz w:val="28"/>
        </w:rPr>
        <w:t>GRAVITYAI</w:t>
      </w:r>
    </w:p>
    <w:p>
      <w:r>
        <w:rPr>
          <w:rFonts w:ascii="Helvetica" w:hAnsi="Helvetica"/>
          <w:b/>
          <w:color w:val="4F46E5"/>
          <w:sz w:val="52"/>
        </w:rPr>
        <w:t>Corporate Research Dossier:</w:t>
        <w:br/>
        <w:t>Stripe</w:t>
      </w:r>
    </w:p>
    <w:p>
      <w:r>
        <w:rPr>
          <w:rFonts w:ascii="Helvetica" w:hAnsi="Helvetica"/>
          <w:color w:val="7C3AED"/>
          <w:sz w:val="24"/>
        </w:rPr>
        <w:t>Autonomously compiled via LangGraph Multi-Agent Research System.</w:t>
      </w:r>
    </w:p>
    <w:p>
      <w:r>
        <w:br/>
        <w:br/>
        <w:br/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Session ID</w:t>
            </w:r>
          </w:p>
        </w:tc>
        <w:tc>
          <w:tcPr>
            <w:tcW w:type="dxa" w:w="4680"/>
          </w:tcPr>
          <w:p>
            <w:r>
              <w:t>test-session-720e6467-8f73-47bb-be34-234063edc1a0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 compiled</w:t>
            </w:r>
          </w:p>
        </w:tc>
        <w:tc>
          <w:tcPr>
            <w:tcW w:type="dxa" w:w="4680"/>
          </w:tcPr>
          <w:p>
            <w:r>
              <w:t>2026-07-10 08:48 UTC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Dossier Version</w:t>
            </w:r>
          </w:p>
        </w:tc>
        <w:tc>
          <w:tcPr>
            <w:tcW w:type="dxa" w:w="4680"/>
          </w:tcPr>
          <w:p>
            <w:r>
              <w:t>v1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Authenticated User</w:t>
            </w:r>
          </w:p>
        </w:tc>
        <w:tc>
          <w:tcPr>
            <w:tcW w:type="dxa" w:w="4680"/>
          </w:tcPr>
          <w:p>
            <w:r>
              <w:t>Developer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1. Executive Summary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Stripe is a financial infrastructure platform.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Research Quality Score: 90% | Overall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2. Company Profile &amp; Sitemap</w:t>
      </w:r>
    </w:p>
    <w:p>
      <w:pPr>
        <w:spacing w:after="80"/>
      </w:pPr>
      <w:r>
        <w:rPr>
          <w:b/>
          <w:sz w:val="20"/>
        </w:rPr>
        <w:t xml:space="preserve">HQ Location: </w:t>
      </w:r>
      <w:r>
        <w:rPr>
          <w:sz w:val="20"/>
        </w:rPr>
        <w:t>South San Francisco, CA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Founded Year: </w:t>
      </w:r>
      <w:r>
        <w:rPr>
          <w:sz w:val="20"/>
        </w:rPr>
        <w:t>2010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Key Leadership: </w:t>
      </w:r>
      <w:r>
        <w:rPr>
          <w:sz w:val="20"/>
        </w:rPr>
        <w:t>Patrick Collison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Industry Classification: </w:t>
      </w:r>
      <w:r>
        <w:rPr>
          <w:sz w:val="20"/>
        </w:rPr>
        <w:t>Fintech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3. Financial Analysis &amp; Business Model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Financial Metrics</w:t>
      </w:r>
    </w:p>
    <w:p>
      <w:pPr>
        <w:spacing w:after="80"/>
      </w:pPr>
      <w:r>
        <w:rPr>
          <w:b/>
          <w:sz w:val="20"/>
        </w:rPr>
        <w:t xml:space="preserve">Valuation: </w:t>
      </w:r>
      <w:r>
        <w:rPr>
          <w:sz w:val="20"/>
        </w:rPr>
        <w:t>$70 Billion</w:t>
      </w:r>
    </w:p>
    <w:p>
      <w:pPr>
        <w:spacing w:after="160"/>
      </w:pPr>
      <w:r>
        <w:rPr>
          <w:i/>
          <w:color w:val="6B7280"/>
          <w:sz w:val="16"/>
        </w:rPr>
        <w:t>Source: Wikipedia | Confidence: 80%</w:t>
      </w:r>
    </w:p>
    <w:p>
      <w:pPr>
        <w:spacing w:after="80"/>
      </w:pPr>
      <w:r>
        <w:rPr>
          <w:b/>
          <w:sz w:val="20"/>
        </w:rPr>
        <w:t xml:space="preserve">Revenue Trends: </w:t>
      </w:r>
      <w:r>
        <w:rPr>
          <w:sz w:val="20"/>
        </w:rPr>
        <w:t>Growing steadily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Funding Stage: </w:t>
      </w:r>
      <w:r>
        <w:rPr>
          <w:sz w:val="20"/>
        </w:rPr>
        <w:t>Series I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Business Model</w:t>
      </w:r>
    </w:p>
    <w:p>
      <w:pPr>
        <w:spacing w:after="80"/>
      </w:pPr>
      <w:r>
        <w:rPr>
          <w:b/>
          <w:sz w:val="20"/>
        </w:rPr>
        <w:t xml:space="preserve">Pricing Model: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Revenue Streams: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Customer Segments: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4. Technology Stack Scan</w:t>
      </w:r>
    </w:p>
    <w:p>
      <w:pPr>
        <w:spacing w:after="80"/>
      </w:pPr>
      <w:r>
        <w:rPr>
          <w:b/>
          <w:sz w:val="20"/>
        </w:rPr>
        <w:t xml:space="preserve">Frontend UI Frameworks: </w:t>
      </w:r>
      <w:r>
        <w:rPr>
          <w:sz w:val="20"/>
        </w:rPr>
        <w:t>React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Backend tech / Servers: </w:t>
      </w:r>
      <w:r>
        <w:rPr>
          <w:sz w:val="20"/>
        </w:rPr>
        <w:t>Ruby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Databases / Storage: </w:t>
      </w:r>
      <w:r>
        <w:rPr>
          <w:sz w:val="20"/>
        </w:rPr>
        <w:t>PostgreSQL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Cloud Providers: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CDNs: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Analytics &amp; tracking: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5. Hiring Activity &amp; Distribution</w:t>
      </w:r>
    </w:p>
    <w:p>
      <w:pPr>
        <w:spacing w:after="80"/>
      </w:pPr>
      <w:r>
        <w:rPr>
          <w:b/>
          <w:sz w:val="20"/>
        </w:rPr>
        <w:t xml:space="preserve">Hiring Velocity: </w:t>
      </w:r>
      <w:r>
        <w:rPr>
          <w:sz w:val="20"/>
        </w:rPr>
        <w:t>High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Active vacancies count: </w:t>
      </w:r>
      <w:r>
        <w:rPr>
          <w:sz w:val="20"/>
        </w:rPr>
        <w:t>120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Growing Departments: </w:t>
      </w:r>
      <w:r>
        <w:rPr>
          <w:sz w:val="20"/>
        </w:rPr>
        <w:t>Engineering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6. Competitor Landscape Matrix</w:t>
      </w:r>
    </w:p>
    <w:p>
      <w:pPr>
        <w:spacing w:after="80"/>
      </w:pPr>
      <w:r>
        <w:rPr>
          <w:b/>
          <w:sz w:val="20"/>
        </w:rPr>
        <w:t xml:space="preserve">Market Positioning Overview: </w:t>
      </w:r>
      <w:r>
        <w:rPr>
          <w:sz w:val="20"/>
        </w:rPr>
        <w:t>Leader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Market Share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 Advantages</w:t>
            </w:r>
          </w:p>
        </w:tc>
      </w:tr>
      <w:tr>
        <w:tc>
          <w:tcPr>
            <w:tcW w:type="dxa" w:w="3120"/>
          </w:tcPr>
          <w:p>
            <w:r>
              <w:t>Adyen</w:t>
            </w:r>
          </w:p>
        </w:tc>
        <w:tc>
          <w:tcPr>
            <w:tcW w:type="dxa" w:w="3120"/>
          </w:tcPr>
          <w:p>
            <w:r>
              <w:t>acquiring</w:t>
            </w:r>
          </w:p>
        </w:tc>
        <w:tc>
          <w:tcPr>
            <w:tcW w:type="dxa" w:w="3120"/>
          </w:tcPr>
          <w:p>
            <w:r>
              <w:t>global</w:t>
            </w:r>
          </w:p>
        </w:tc>
      </w:tr>
    </w:tbl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7. Patent Activity &amp; Innovation</w:t>
      </w:r>
    </w:p>
    <w:p>
      <w:pPr>
        <w:spacing w:after="80"/>
      </w:pPr>
      <w:r>
        <w:rPr>
          <w:b/>
          <w:sz w:val="20"/>
        </w:rPr>
        <w:t xml:space="preserve">Patent Count: </w:t>
      </w:r>
      <w:r>
        <w:rPr>
          <w:sz w:val="20"/>
        </w:rPr>
        <w:t>None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Filing Trends: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Focus Areas: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8. Official Digital Presence</w:t>
      </w:r>
    </w:p>
    <w:p>
      <w:pPr>
        <w:spacing w:after="80"/>
      </w:pPr>
      <w:r>
        <w:rPr>
          <w:b/>
          <w:sz w:val="20"/>
        </w:rPr>
        <w:t xml:space="preserve">LinkedIn profile: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GitHub Organization: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YouTube channel: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Developer portal docs: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9. SWOT Strategic Evaluation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Strengths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infrastructure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Weaknesses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fee margins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Opportunities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APAC market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Threats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competitor pricing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10. Strategic Recommendations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1. Target APAC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11. Verbatim Bibliography &amp; References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No external sitemaps or references cached.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GravityAI Corporate Intelligence Dossier | Version v1 | Session: test-session-720e6467-8f73-47bb-be34-234063edc1a0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