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Helvetica" w:hAnsi="Helvetica"/>
          <w:b/>
          <w:color w:val="4F46E5"/>
          <w:sz w:val="28"/>
        </w:rPr>
        <w:t>GRAVITYAI</w:t>
      </w:r>
    </w:p>
    <w:p>
      <w:r>
        <w:rPr>
          <w:rFonts w:ascii="Helvetica" w:hAnsi="Helvetica"/>
          <w:b/>
          <w:color w:val="4F46E5"/>
          <w:sz w:val="52"/>
        </w:rPr>
        <w:t>Corporate Research Dossier:</w:t>
        <w:br/>
        <w:t>Stripe</w:t>
      </w:r>
    </w:p>
    <w:p>
      <w:r>
        <w:rPr>
          <w:rFonts w:ascii="Helvetica" w:hAnsi="Helvetica"/>
          <w:color w:val="7C3AED"/>
          <w:sz w:val="24"/>
        </w:rPr>
        <w:t>Autonomously compiled via LangGraph Multi-Agent Research System.</w:t>
      </w:r>
    </w:p>
    <w:p>
      <w:r>
        <w:br/>
        <w:br/>
        <w:br/>
        <w:br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Session ID</w:t>
            </w:r>
          </w:p>
        </w:tc>
        <w:tc>
          <w:tcPr>
            <w:tcW w:type="dxa" w:w="4680"/>
          </w:tcPr>
          <w:p>
            <w:r>
              <w:t>test-session-92491eda-d4b6-48b3-b538-90729fbc43f8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Date compiled</w:t>
            </w:r>
          </w:p>
        </w:tc>
        <w:tc>
          <w:tcPr>
            <w:tcW w:type="dxa" w:w="4680"/>
          </w:tcPr>
          <w:p>
            <w:r>
              <w:t>2026-07-10 08:26 UTC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Dossier Version</w:t>
            </w:r>
          </w:p>
        </w:tc>
        <w:tc>
          <w:tcPr>
            <w:tcW w:type="dxa" w:w="4680"/>
          </w:tcPr>
          <w:p>
            <w:r>
              <w:t>v1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Authenticated User</w:t>
            </w:r>
          </w:p>
        </w:tc>
        <w:tc>
          <w:tcPr>
            <w:tcW w:type="dxa" w:w="4680"/>
          </w:tcPr>
          <w:p>
            <w:r>
              <w:t>Developer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1. Executive Summary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Stripe is a financial infrastructure platform.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Research Quality Score: 90% | Overall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2. Company Profile &amp; Sitemap</w:t>
      </w:r>
    </w:p>
    <w:p>
      <w:pPr>
        <w:spacing w:after="80"/>
      </w:pPr>
      <w:r>
        <w:rPr>
          <w:b/>
          <w:sz w:val="20"/>
        </w:rPr>
        <w:t xml:space="preserve">HQ Location: </w:t>
      </w:r>
      <w:r>
        <w:rPr>
          <w:sz w:val="20"/>
        </w:rPr>
        <w:t>South San Francisco, CA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Founded Year: </w:t>
      </w:r>
      <w:r>
        <w:rPr>
          <w:sz w:val="20"/>
        </w:rPr>
        <w:t>2010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Key Leadership: </w:t>
      </w:r>
      <w:r>
        <w:rPr>
          <w:sz w:val="20"/>
        </w:rPr>
        <w:t>Patrick Collison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Industry Classification: </w:t>
      </w:r>
      <w:r>
        <w:rPr>
          <w:sz w:val="20"/>
        </w:rPr>
        <w:t>Fintech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3. Financial Analysis &amp; Business Model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Financial Metrics</w:t>
      </w:r>
    </w:p>
    <w:p>
      <w:pPr>
        <w:spacing w:after="80"/>
      </w:pPr>
      <w:r>
        <w:rPr>
          <w:b/>
          <w:sz w:val="20"/>
        </w:rPr>
        <w:t xml:space="preserve">Valuation: </w:t>
      </w:r>
      <w:r>
        <w:rPr>
          <w:sz w:val="20"/>
        </w:rPr>
        <w:t>$70 Billion</w:t>
      </w:r>
    </w:p>
    <w:p>
      <w:pPr>
        <w:spacing w:after="160"/>
      </w:pPr>
      <w:r>
        <w:rPr>
          <w:i/>
          <w:color w:val="6B7280"/>
          <w:sz w:val="16"/>
        </w:rPr>
        <w:t>Source: Wikipedia | Confidence: 80%</w:t>
      </w:r>
    </w:p>
    <w:p>
      <w:pPr>
        <w:spacing w:after="80"/>
      </w:pPr>
      <w:r>
        <w:rPr>
          <w:b/>
          <w:sz w:val="20"/>
        </w:rPr>
        <w:t xml:space="preserve">Revenue Trends: </w:t>
      </w:r>
      <w:r>
        <w:rPr>
          <w:sz w:val="20"/>
        </w:rPr>
        <w:t>Growing steadily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Funding Stage: </w:t>
      </w:r>
      <w:r>
        <w:rPr>
          <w:sz w:val="20"/>
        </w:rPr>
        <w:t>Series I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Business Model</w:t>
      </w:r>
    </w:p>
    <w:p>
      <w:pPr>
        <w:spacing w:after="80"/>
      </w:pPr>
      <w:r>
        <w:rPr>
          <w:b/>
          <w:sz w:val="20"/>
        </w:rPr>
        <w:t xml:space="preserve">Pricing Model: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Revenue Streams: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Customer Segments: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4. Technology Stack Scan</w:t>
      </w:r>
    </w:p>
    <w:p>
      <w:pPr>
        <w:spacing w:after="80"/>
      </w:pPr>
      <w:r>
        <w:rPr>
          <w:b/>
          <w:sz w:val="20"/>
        </w:rPr>
        <w:t xml:space="preserve">Frontend UI Frameworks: </w:t>
      </w:r>
      <w:r>
        <w:rPr>
          <w:sz w:val="20"/>
        </w:rPr>
        <w:t>React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Backend tech / Servers: </w:t>
      </w:r>
      <w:r>
        <w:rPr>
          <w:sz w:val="20"/>
        </w:rPr>
        <w:t>Ruby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Databases / Storage: </w:t>
      </w:r>
      <w:r>
        <w:rPr>
          <w:sz w:val="20"/>
        </w:rPr>
        <w:t>PostgreSQL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Cloud Providers: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CDNs: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Analytics &amp; tracking: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5. Hiring Activity &amp; Distribution</w:t>
      </w:r>
    </w:p>
    <w:p>
      <w:pPr>
        <w:spacing w:after="80"/>
      </w:pPr>
      <w:r>
        <w:rPr>
          <w:b/>
          <w:sz w:val="20"/>
        </w:rPr>
        <w:t xml:space="preserve">Hiring Velocity: </w:t>
      </w:r>
      <w:r>
        <w:rPr>
          <w:sz w:val="20"/>
        </w:rPr>
        <w:t>High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Active vacancies count: </w:t>
      </w:r>
      <w:r>
        <w:rPr>
          <w:sz w:val="20"/>
        </w:rPr>
        <w:t>120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Growing Departments: </w:t>
      </w:r>
      <w:r>
        <w:rPr>
          <w:sz w:val="20"/>
        </w:rPr>
        <w:t>Engineering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6. Competitor Landscape Matrix</w:t>
      </w:r>
    </w:p>
    <w:p>
      <w:pPr>
        <w:spacing w:after="80"/>
      </w:pPr>
      <w:r>
        <w:rPr>
          <w:b/>
          <w:sz w:val="20"/>
        </w:rPr>
        <w:t xml:space="preserve">Market Positioning Overview: </w:t>
      </w:r>
      <w:r>
        <w:rPr>
          <w:sz w:val="20"/>
        </w:rPr>
        <w:t>Leader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Competitor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Market Share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Key Advantages</w:t>
            </w:r>
          </w:p>
        </w:tc>
      </w:tr>
      <w:tr>
        <w:tc>
          <w:tcPr>
            <w:tcW w:type="dxa" w:w="3120"/>
          </w:tcPr>
          <w:p>
            <w:r>
              <w:t>Adyen</w:t>
            </w:r>
          </w:p>
        </w:tc>
        <w:tc>
          <w:tcPr>
            <w:tcW w:type="dxa" w:w="3120"/>
          </w:tcPr>
          <w:p>
            <w:r>
              <w:t>acquiring</w:t>
            </w:r>
          </w:p>
        </w:tc>
        <w:tc>
          <w:tcPr>
            <w:tcW w:type="dxa" w:w="3120"/>
          </w:tcPr>
          <w:p>
            <w:r>
              <w:t>global</w:t>
            </w:r>
          </w:p>
        </w:tc>
      </w:tr>
    </w:tbl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7. Patent Activity &amp; Innovation</w:t>
      </w:r>
    </w:p>
    <w:p>
      <w:pPr>
        <w:spacing w:after="80"/>
      </w:pPr>
      <w:r>
        <w:rPr>
          <w:b/>
          <w:sz w:val="20"/>
        </w:rPr>
        <w:t xml:space="preserve">Patent Count: </w:t>
      </w:r>
      <w:r>
        <w:rPr>
          <w:sz w:val="20"/>
        </w:rPr>
        <w:t>None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Filing Trends: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Focus Areas: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8. Official Digital Presence</w:t>
      </w:r>
    </w:p>
    <w:p>
      <w:pPr>
        <w:spacing w:after="80"/>
      </w:pPr>
      <w:r>
        <w:rPr>
          <w:b/>
          <w:sz w:val="20"/>
        </w:rPr>
        <w:t xml:space="preserve">LinkedIn profile: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GitHub Organization: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YouTube channel: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Developer portal docs: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9. SWOT Strategic Evaluation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Strengths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infrastructure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Weaknesses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fee margins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Opportunities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APAC market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Threats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competitor pricing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10. Strategic Recommendations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1. Target APAC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11. Verbatim Bibliography &amp; References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No external sitemaps or references cached.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GravityAI Corporate Intelligence Dossier | Version v1 | Session: test-session-92491eda-d4b6-48b3-b538-90729fbc43f8 |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