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Descriptive Statistics</w:t>
      </w:r>
    </w:p>
    <w:p>
      <w:pPr>
        <w:pStyle w:val="Normal"/>
      </w:pPr>
      <w:r>
        <w:t xml:space="preserve"> </w:t>
      </w:r>
    </w:p>
    <w:p>
      <w:pPr>
        <w:pStyle w:val="Titre2"/>
      </w:pPr>
      <w:r>
        <w:t xml:space="preserve">Table 1. Women &amp; Household Controls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Survey-Weighted Descriptive Statistics: Women &amp; Household</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140"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true"/>
                <w:u w:val="none"/>
                <w:strike w:val="false"/>
                <w:sz w:val="18"/>
                <w:szCs w:val="18"/>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true"/>
                <w:u w:val="none"/>
                <w:strike w:val="false"/>
                <w:sz w:val="18"/>
                <w:szCs w:val="18"/>
                <w:color w:val="000000"/>
              </w:rPr>
              <w:t xml:space="preserve">Control × Ineligible</w:t>
            </w:r>
            <w:r>
              <w:rPr>
                <w:rFonts w:ascii="Arial" w:hAnsi="Arial" w:eastAsia="Arial" w:cs="Arial"/>
                <w:i w:val="false"/>
                <w:b w:val="false"/>
                <w:u w:val="none"/>
                <w:strike w:val="false"/>
                <w:sz w:val="18"/>
                <w:szCs w:val="18"/>
                <w:color w:val="000000"/>
              </w:rPr>
              <w:br/>
            </w:r>
            <w:r>
              <w:rPr>
                <w:rFonts w:ascii="Arial" w:hAnsi="Arial" w:eastAsia="Arial" w:cs="Arial"/>
                <w:i w:val="false"/>
                <w:b w:val="false"/>
                <w:u w:val="none"/>
                <w:strike w:val="false"/>
                <w:sz w:val="18"/>
                <w:szCs w:val="18"/>
                <w:color w:val="000000"/>
              </w:rPr>
              <w:t xml:space="preserve">N = 5221</w:t>
            </w:r>
            <w:r>
              <w:rPr>
                <w:rFonts w:ascii="Arial" w:hAnsi="Arial" w:eastAsia="Arial" w:cs="Arial"/>
                <w:i w:val="false"/>
                <w:b w:val="false"/>
                <w:u w:val="none"/>
                <w:strike w:val="fals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true"/>
                <w:u w:val="none"/>
                <w:strike w:val="false"/>
                <w:sz w:val="18"/>
                <w:szCs w:val="18"/>
                <w:color w:val="000000"/>
              </w:rPr>
              <w:t xml:space="preserve">Treated × Ineligible</w:t>
            </w:r>
            <w:r>
              <w:rPr>
                <w:rFonts w:ascii="Arial" w:hAnsi="Arial" w:eastAsia="Arial" w:cs="Arial"/>
                <w:i w:val="false"/>
                <w:b w:val="false"/>
                <w:u w:val="none"/>
                <w:strike w:val="false"/>
                <w:sz w:val="18"/>
                <w:szCs w:val="18"/>
                <w:color w:val="000000"/>
              </w:rPr>
              <w:br/>
            </w:r>
            <w:r>
              <w:rPr>
                <w:rFonts w:ascii="Arial" w:hAnsi="Arial" w:eastAsia="Arial" w:cs="Arial"/>
                <w:i w:val="false"/>
                <w:b w:val="false"/>
                <w:u w:val="none"/>
                <w:strike w:val="false"/>
                <w:sz w:val="18"/>
                <w:szCs w:val="18"/>
                <w:color w:val="000000"/>
              </w:rPr>
              <w:t xml:space="preserve">N = 8665</w:t>
            </w:r>
            <w:r>
              <w:rPr>
                <w:rFonts w:ascii="Arial" w:hAnsi="Arial" w:eastAsia="Arial" w:cs="Arial"/>
                <w:i w:val="false"/>
                <w:b w:val="false"/>
                <w:u w:val="none"/>
                <w:strike w:val="fals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true"/>
                <w:u w:val="none"/>
                <w:strike w:val="false"/>
                <w:sz w:val="18"/>
                <w:szCs w:val="18"/>
                <w:color w:val="000000"/>
              </w:rPr>
              <w:t xml:space="preserve">Control × Eligible</w:t>
            </w:r>
            <w:r>
              <w:rPr>
                <w:rFonts w:ascii="Arial" w:hAnsi="Arial" w:eastAsia="Arial" w:cs="Arial"/>
                <w:i w:val="false"/>
                <w:b w:val="false"/>
                <w:u w:val="none"/>
                <w:strike w:val="false"/>
                <w:sz w:val="18"/>
                <w:szCs w:val="18"/>
                <w:color w:val="000000"/>
              </w:rPr>
              <w:br/>
            </w:r>
            <w:r>
              <w:rPr>
                <w:rFonts w:ascii="Arial" w:hAnsi="Arial" w:eastAsia="Arial" w:cs="Arial"/>
                <w:i w:val="false"/>
                <w:b w:val="false"/>
                <w:u w:val="none"/>
                <w:strike w:val="false"/>
                <w:sz w:val="18"/>
                <w:szCs w:val="18"/>
                <w:color w:val="000000"/>
              </w:rPr>
              <w:t xml:space="preserve">N = 5214</w:t>
            </w:r>
            <w:r>
              <w:rPr>
                <w:rFonts w:ascii="Arial" w:hAnsi="Arial" w:eastAsia="Arial" w:cs="Arial"/>
                <w:i w:val="false"/>
                <w:b w:val="false"/>
                <w:u w:val="none"/>
                <w:strike w:val="fals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true"/>
                <w:u w:val="none"/>
                <w:strike w:val="false"/>
                <w:sz w:val="18"/>
                <w:szCs w:val="18"/>
                <w:color w:val="000000"/>
              </w:rPr>
              <w:t xml:space="preserve">Treated × Eligible</w:t>
            </w:r>
            <w:r>
              <w:rPr>
                <w:rFonts w:ascii="Arial" w:hAnsi="Arial" w:eastAsia="Arial" w:cs="Arial"/>
                <w:i w:val="false"/>
                <w:b w:val="false"/>
                <w:u w:val="none"/>
                <w:strike w:val="false"/>
                <w:sz w:val="18"/>
                <w:szCs w:val="18"/>
                <w:color w:val="000000"/>
              </w:rPr>
              <w:br/>
            </w:r>
            <w:r>
              <w:rPr>
                <w:rFonts w:ascii="Arial" w:hAnsi="Arial" w:eastAsia="Arial" w:cs="Arial"/>
                <w:i w:val="false"/>
                <w:b w:val="false"/>
                <w:u w:val="none"/>
                <w:strike w:val="false"/>
                <w:sz w:val="18"/>
                <w:szCs w:val="18"/>
                <w:color w:val="000000"/>
              </w:rPr>
              <w:t xml:space="preserve">N = 8557</w:t>
            </w:r>
            <w:r>
              <w:rPr>
                <w:rFonts w:ascii="Arial" w:hAnsi="Arial" w:eastAsia="Arial" w:cs="Arial"/>
                <w:i w:val="false"/>
                <w:b w:val="false"/>
                <w:u w:val="none"/>
                <w:strike w:val="false"/>
                <w:vertAlign w:val="superscript"/>
                <w:sz w:val="18"/>
                <w:szCs w:val="18"/>
                <w:color w:val="000000"/>
              </w:rPr>
              <w:t xml:space="preserve">1</w:t>
            </w:r>
          </w:p>
        </w:tc>
      </w:tr>
      <w:tr>
        <w:trPr>
          <w:trHeight w:val="285"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respondent's current 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38.073 (4.999)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30.070 (5.195)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37.467 (4.970)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30.005 (5.253)</w:t>
            </w:r>
          </w:p>
        </w:tc>
      </w:tr>
      <w:tr>
        <w:trPr>
          <w:trHeight w:val="28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Square of Women's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1,474.508 (386.440)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931.210 (332.401)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1,428.459 (380.577)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927.872 (336.939)</w:t>
            </w:r>
          </w:p>
        </w:tc>
      </w:tr>
      <w:tr>
        <w:trPr>
          <w:trHeight w:val="285"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education in single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5.306 (5.112)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7.119 (5.282)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5.568 (5.113)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7.249 (5.187)</w:t>
            </w:r>
          </w:p>
        </w:tc>
      </w:tr>
      <w:tr>
        <w:trPr>
          <w:trHeight w:val="28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Weight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54.120 (11.152)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51.456 (10.755)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55.007 (11.485)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52.593 (10.878)</w:t>
            </w:r>
          </w:p>
        </w:tc>
      </w:tr>
      <w:tr>
        <w:trPr>
          <w:trHeight w:val="28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Height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151.619 (6.007)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151.511 (6.385)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152.031 (6.366)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151.959 (6.345)</w:t>
            </w:r>
          </w:p>
        </w:tc>
      </w:tr>
      <w:tr>
        <w:trPr>
          <w:trHeight w:val="28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 at first cohabitation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17.948 (3.766)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18.761 (3.669)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18.098 (3.919)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18.968 (3.768)</w:t>
            </w:r>
          </w:p>
        </w:tc>
      </w:tr>
      <w:tr>
        <w:trPr>
          <w:trHeight w:val="285"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husband/partner drinks alcohol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277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280 (28%)</w:t>
            </w:r>
          </w:p>
        </w:tc>
      </w:tr>
      <w:tr>
        <w:trPr>
          <w:trHeight w:val="28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 children ever born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3.059 (1.453)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2.607 (1.300)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2.808 (1.257)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2.457 (1.239)</w:t>
            </w:r>
          </w:p>
        </w:tc>
      </w:tr>
      <w:tr>
        <w:trPr>
          <w:trHeight w:val="28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husband/partner's total number of years of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7.328 (5.094)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8.331 (5.004)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6.972 (4.706)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7.916 (5.017)</w:t>
            </w:r>
          </w:p>
        </w:tc>
      </w:tr>
      <w:tr>
        <w:trPr>
          <w:trHeight w:val="28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respondent currently working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292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301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242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257 (21%)</w:t>
            </w:r>
          </w:p>
        </w:tc>
      </w:tr>
      <w:tr>
        <w:trPr>
          <w:trHeight w:val="28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caste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4,572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7,484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4,061 (83%)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6,379 (83%)</w:t>
            </w:r>
          </w:p>
        </w:tc>
      </w:tr>
      <w:tr>
        <w:trPr>
          <w:trHeight w:val="285"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tribe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450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851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476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692 (9.0%)</w:t>
            </w:r>
          </w:p>
        </w:tc>
      </w:tr>
      <w:tr>
        <w:trPr>
          <w:trHeight w:val="28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caste / tribe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192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292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507 (6.6%)</w:t>
            </w:r>
          </w:p>
        </w:tc>
      </w:tr>
      <w:tr>
        <w:trPr>
          <w:trHeight w:val="285"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don't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 (1.5%)</w:t>
            </w:r>
          </w:p>
        </w:tc>
      </w:tr>
      <w:tr>
        <w:trPr>
          <w:trHeight w:val="285"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 of household members (listed)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5.385 (2.404)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6.007 (2.571)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5.165 (2.076)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5.822 (2.454)</w:t>
            </w:r>
          </w:p>
        </w:tc>
      </w:tr>
      <w:tr>
        <w:trPr>
          <w:trHeight w:val="285"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 of children 5 and under in household (de jure)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4,756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2,484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4,531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2,308 (30%)</w:t>
            </w:r>
          </w:p>
        </w:tc>
      </w:tr>
      <w:tr>
        <w:trPr>
          <w:trHeight w:val="285"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329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3,520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 (5.2%)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3,347 (43%)</w:t>
            </w:r>
          </w:p>
        </w:tc>
      </w:tr>
      <w:tr>
        <w:trPr>
          <w:trHeight w:val="28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2,138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1,675 (22%)</w:t>
            </w:r>
          </w:p>
        </w:tc>
      </w:tr>
      <w:tr>
        <w:trPr>
          <w:trHeight w:val="285"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416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276 (3.6%)</w:t>
            </w:r>
          </w:p>
        </w:tc>
      </w:tr>
      <w:tr>
        <w:trPr>
          <w:trHeight w:val="285"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 (&lt;0.1%)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 (0.8%)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(&lt;0.1%)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 (0.9%)</w:t>
            </w:r>
          </w:p>
        </w:tc>
      </w:tr>
      <w:tr>
        <w:trPr>
          <w:trHeight w:val="285"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(&lt;0.1%)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(0.2%)</w:t>
            </w:r>
          </w:p>
        </w:tc>
      </w:tr>
      <w:tr>
        <w:trPr>
          <w:trHeight w:val="28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 (&lt;0.1%)</w:t>
            </w:r>
          </w:p>
        </w:tc>
      </w:tr>
      <w:tr>
        <w:trPr>
          <w:trHeight w:val="281"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 of household 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4,273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7,173 (83%)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4,154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6,578 (85%)</w:t>
            </w:r>
          </w:p>
        </w:tc>
      </w:tr>
      <w:tr>
        <w:trPr>
          <w:trHeight w:val="285"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968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1,511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723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1,117 (15%)</w:t>
            </w:r>
          </w:p>
        </w:tc>
      </w:tr>
      <w:tr>
        <w:trPr>
          <w:trHeight w:val="285"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 of household 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47.403 (11.625)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45.981 (14.821)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46.941 (11.882)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45.389 (14.817)</w:t>
            </w:r>
          </w:p>
        </w:tc>
      </w:tr>
      <w:tr>
        <w:trPr>
          <w:trHeight w:val="285"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household has: electricity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219 (2.9%)</w:t>
            </w:r>
          </w:p>
        </w:tc>
      </w:tr>
      <w:tr>
        <w:trPr>
          <w:trHeight w:val="285"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5,038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8,039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4,705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7,230 (94%)</w:t>
            </w:r>
          </w:p>
        </w:tc>
      </w:tr>
      <w:tr>
        <w:trPr>
          <w:trHeight w:val="285"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 (3.2%)</w:t>
            </w:r>
          </w:p>
        </w:tc>
      </w:tr>
      <w:tr>
        <w:trPr>
          <w:trHeight w:val="281"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household has: radio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5,009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8,055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4,617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7,156 (93%)</w:t>
            </w:r>
          </w:p>
        </w:tc>
      </w:tr>
      <w:tr>
        <w:trPr>
          <w:trHeight w:val="285"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206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 (3.8%)</w:t>
            </w:r>
          </w:p>
        </w:tc>
      </w:tr>
      <w:tr>
        <w:trPr>
          <w:trHeight w:val="285"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 (3.2%)</w:t>
            </w:r>
          </w:p>
        </w:tc>
      </w:tr>
      <w:tr>
        <w:trPr>
          <w:trHeight w:val="281"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household has: television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3,200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1,369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2,524 (33%)</w:t>
            </w:r>
          </w:p>
        </w:tc>
      </w:tr>
      <w:tr>
        <w:trPr>
          <w:trHeight w:val="285"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3,366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5,175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3,453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4,926 (64%)</w:t>
            </w:r>
          </w:p>
        </w:tc>
      </w:tr>
      <w:tr>
        <w:trPr>
          <w:trHeight w:val="285"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 (3.2%)</w:t>
            </w:r>
          </w:p>
        </w:tc>
      </w:tr>
      <w:tr>
        <w:trPr>
          <w:trHeight w:val="285"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household has: refrigerator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3,443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5,672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2,904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4,606 (60%)</w:t>
            </w:r>
          </w:p>
        </w:tc>
      </w:tr>
      <w:tr>
        <w:trPr>
          <w:trHeight w:val="285"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1,750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2,703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1,919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2,844 (37%)</w:t>
            </w:r>
          </w:p>
        </w:tc>
      </w:tr>
      <w:tr>
        <w:trPr>
          <w:trHeight w:val="285"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 (3.2%)</w:t>
            </w:r>
          </w:p>
        </w:tc>
      </w:tr>
      <w:tr>
        <w:trPr>
          <w:trHeight w:val="285"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household has: bicycle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1,830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3,760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1,786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3,417 (44%)</w:t>
            </w:r>
          </w:p>
        </w:tc>
      </w:tr>
      <w:tr>
        <w:trPr>
          <w:trHeight w:val="285"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3,363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4,616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3,037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4,033 (52%)</w:t>
            </w:r>
          </w:p>
        </w:tc>
      </w:tr>
      <w:tr>
        <w:trPr>
          <w:trHeight w:val="285"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 (3.2%)</w:t>
            </w:r>
          </w:p>
        </w:tc>
      </w:tr>
      <w:tr>
        <w:trPr>
          <w:trHeight w:val="285"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household has: motorcycle/scooter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2,702 (52%)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4,143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2,359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3,537 (46%)</w:t>
            </w:r>
          </w:p>
        </w:tc>
      </w:tr>
      <w:tr>
        <w:trPr>
          <w:trHeight w:val="285"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2,492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4,233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2,463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3,913 (51%)</w:t>
            </w:r>
          </w:p>
        </w:tc>
      </w:tr>
      <w:tr>
        <w:trPr>
          <w:trHeight w:val="285"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 (3.2%)</w:t>
            </w:r>
          </w:p>
        </w:tc>
      </w:tr>
      <w:tr>
        <w:trPr>
          <w:trHeight w:val="281"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household has: car/truck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4,802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7,707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4,384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6,734 (88%)</w:t>
            </w:r>
          </w:p>
        </w:tc>
      </w:tr>
      <w:tr>
        <w:trPr>
          <w:trHeight w:val="285"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391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668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438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715 (9.3%)</w:t>
            </w:r>
          </w:p>
        </w:tc>
      </w:tr>
      <w:tr>
        <w:trPr>
          <w:trHeight w:val="285"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 (3.2%)</w:t>
            </w:r>
          </w:p>
        </w:tc>
      </w:tr>
      <w:tr>
        <w:trPr>
          <w:trHeight w:val="281"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wealth index 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228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138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 (23%)</w:t>
            </w:r>
          </w:p>
        </w:tc>
      </w:tr>
      <w:tr>
        <w:trPr>
          <w:trHeight w:val="285"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123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 (17%)</w:t>
            </w:r>
          </w:p>
        </w:tc>
      </w:tr>
      <w:tr>
        <w:trPr>
          <w:trHeight w:val="285"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 (19%)</w:t>
            </w:r>
          </w:p>
        </w:tc>
      </w:tr>
      <w:tr>
        <w:trPr>
          <w:trHeight w:val="285"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168 (19%)</w:t>
            </w:r>
          </w:p>
        </w:tc>
      </w:tr>
      <w:tr>
        <w:trPr>
          <w:trHeight w:val="285"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201 (22%)</w:t>
            </w:r>
          </w:p>
        </w:tc>
      </w:tr>
      <w:tr>
        <w:trPr>
          <w:trHeight w:val="281"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wealth index within 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 (25%)</w:t>
            </w:r>
          </w:p>
        </w:tc>
      </w:tr>
      <w:tr>
        <w:trPr>
          <w:trHeight w:val="285"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 (19%)</w:t>
            </w:r>
          </w:p>
        </w:tc>
      </w:tr>
      <w:tr>
        <w:trPr>
          <w:trHeight w:val="285"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123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116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193 (21%)</w:t>
            </w:r>
          </w:p>
        </w:tc>
      </w:tr>
      <w:tr>
        <w:trPr>
          <w:trHeight w:val="285"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(17%)</w:t>
            </w:r>
          </w:p>
        </w:tc>
      </w:tr>
      <w:tr>
        <w:trPr>
          <w:trHeight w:val="285" w:hRule="auto"/>
        </w:trPr>
        body68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 (17%)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 (20%)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 (17%)</w:t>
            </w:r>
          </w:p>
        </w:tc>
      </w:tr>
      <w:tr>
        <w:trPr>
          <w:trHeight w:val="360" w:hRule="auto"/>
        </w:trPr>
        footer 1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Mean (SD) for continuous variables; N (%) for categorical variables. All statistics account for complex survey design with sampling weights. N represents unweighted sample size. Wealth index: 1 = Poorest, 5 = Richest. Sex of household head: 1 = Male, 2 = Female. Binary variables: 0 = No, 1 = Yes, 7 = Not a dejure resident (where applicable). For all indicators based on the household members (PR file), either the de jure population (usual resident of the house) or the de facto population (slept at the home last night) is selected.</w:t>
            </w:r>
          </w:p>
        </w:tc>
      </w:tr>
    </w:tbl>
    <w:p>
      <w:pPr>
        <w:sectPr>
          <w:pgMar w:header="708" w:bottom="1417" w:top="1417" w:right="1417" w:left="1417" w:footer="708" w:gutter="0"/>
          <w:pgSz w:h="11906" w:w="16838" w:orient="landscape"/>
          <w:type w:val="oddPage"/>
          <w:cols/>
        </w:sectPr>
      </w:pPr>
    </w:p>
    <w:p>
      <w:pPr>
        <w:pStyle w:val="Titre2"/>
      </w:pPr>
      <w:r>
        <w:t xml:space="preserve">Table 2. Men's Controls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Survey-Weighted Descriptive Statistics: Men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140"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true"/>
                <w:u w:val="none"/>
                <w:strike w:val="false"/>
                <w:sz w:val="18"/>
                <w:szCs w:val="18"/>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true"/>
                <w:u w:val="none"/>
                <w:strike w:val="false"/>
                <w:sz w:val="18"/>
                <w:szCs w:val="18"/>
                <w:color w:val="000000"/>
              </w:rPr>
              <w:t xml:space="preserve">Control × Ineligible</w:t>
            </w:r>
            <w:r>
              <w:rPr>
                <w:rFonts w:ascii="Arial" w:hAnsi="Arial" w:eastAsia="Arial" w:cs="Arial"/>
                <w:i w:val="false"/>
                <w:b w:val="false"/>
                <w:u w:val="none"/>
                <w:strike w:val="false"/>
                <w:sz w:val="18"/>
                <w:szCs w:val="18"/>
                <w:color w:val="000000"/>
              </w:rPr>
              <w:br/>
            </w:r>
            <w:r>
              <w:rPr>
                <w:rFonts w:ascii="Arial" w:hAnsi="Arial" w:eastAsia="Arial" w:cs="Arial"/>
                <w:i w:val="false"/>
                <w:b w:val="false"/>
                <w:u w:val="none"/>
                <w:strike w:val="false"/>
                <w:sz w:val="18"/>
                <w:szCs w:val="18"/>
                <w:color w:val="000000"/>
              </w:rPr>
              <w:t xml:space="preserve">N = 611</w:t>
            </w:r>
            <w:r>
              <w:rPr>
                <w:rFonts w:ascii="Arial" w:hAnsi="Arial" w:eastAsia="Arial" w:cs="Arial"/>
                <w:i w:val="false"/>
                <w:b w:val="false"/>
                <w:u w:val="none"/>
                <w:strike w:val="fals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true"/>
                <w:u w:val="none"/>
                <w:strike w:val="false"/>
                <w:sz w:val="18"/>
                <w:szCs w:val="18"/>
                <w:color w:val="000000"/>
              </w:rPr>
              <w:t xml:space="preserve">Treated × Ineligible</w:t>
            </w:r>
            <w:r>
              <w:rPr>
                <w:rFonts w:ascii="Arial" w:hAnsi="Arial" w:eastAsia="Arial" w:cs="Arial"/>
                <w:i w:val="false"/>
                <w:b w:val="false"/>
                <w:u w:val="none"/>
                <w:strike w:val="false"/>
                <w:sz w:val="18"/>
                <w:szCs w:val="18"/>
                <w:color w:val="000000"/>
              </w:rPr>
              <w:br/>
            </w:r>
            <w:r>
              <w:rPr>
                <w:rFonts w:ascii="Arial" w:hAnsi="Arial" w:eastAsia="Arial" w:cs="Arial"/>
                <w:i w:val="false"/>
                <w:b w:val="false"/>
                <w:u w:val="none"/>
                <w:strike w:val="false"/>
                <w:sz w:val="18"/>
                <w:szCs w:val="18"/>
                <w:color w:val="000000"/>
              </w:rPr>
              <w:t xml:space="preserve">N = 942</w:t>
            </w:r>
            <w:r>
              <w:rPr>
                <w:rFonts w:ascii="Arial" w:hAnsi="Arial" w:eastAsia="Arial" w:cs="Arial"/>
                <w:i w:val="false"/>
                <w:b w:val="false"/>
                <w:u w:val="none"/>
                <w:strike w:val="fals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true"/>
                <w:u w:val="none"/>
                <w:strike w:val="false"/>
                <w:sz w:val="18"/>
                <w:szCs w:val="18"/>
                <w:color w:val="000000"/>
              </w:rPr>
              <w:t xml:space="preserve">Control × Eligible</w:t>
            </w:r>
            <w:r>
              <w:rPr>
                <w:rFonts w:ascii="Arial" w:hAnsi="Arial" w:eastAsia="Arial" w:cs="Arial"/>
                <w:i w:val="false"/>
                <w:b w:val="false"/>
                <w:u w:val="none"/>
                <w:strike w:val="false"/>
                <w:sz w:val="18"/>
                <w:szCs w:val="18"/>
                <w:color w:val="000000"/>
              </w:rPr>
              <w:br/>
            </w:r>
            <w:r>
              <w:rPr>
                <w:rFonts w:ascii="Arial" w:hAnsi="Arial" w:eastAsia="Arial" w:cs="Arial"/>
                <w:i w:val="false"/>
                <w:b w:val="false"/>
                <w:u w:val="none"/>
                <w:strike w:val="false"/>
                <w:sz w:val="18"/>
                <w:szCs w:val="18"/>
                <w:color w:val="000000"/>
              </w:rPr>
              <w:t xml:space="preserve">N = 591</w:t>
            </w:r>
            <w:r>
              <w:rPr>
                <w:rFonts w:ascii="Arial" w:hAnsi="Arial" w:eastAsia="Arial" w:cs="Arial"/>
                <w:i w:val="false"/>
                <w:b w:val="false"/>
                <w:u w:val="none"/>
                <w:strike w:val="fals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true"/>
                <w:u w:val="none"/>
                <w:strike w:val="false"/>
                <w:sz w:val="18"/>
                <w:szCs w:val="18"/>
                <w:color w:val="000000"/>
              </w:rPr>
              <w:t xml:space="preserve">Treated × Eligible</w:t>
            </w:r>
            <w:r>
              <w:rPr>
                <w:rFonts w:ascii="Arial" w:hAnsi="Arial" w:eastAsia="Arial" w:cs="Arial"/>
                <w:i w:val="false"/>
                <w:b w:val="false"/>
                <w:u w:val="none"/>
                <w:strike w:val="false"/>
                <w:sz w:val="18"/>
                <w:szCs w:val="18"/>
                <w:color w:val="000000"/>
              </w:rPr>
              <w:br/>
            </w:r>
            <w:r>
              <w:rPr>
                <w:rFonts w:ascii="Arial" w:hAnsi="Arial" w:eastAsia="Arial" w:cs="Arial"/>
                <w:i w:val="false"/>
                <w:b w:val="false"/>
                <w:u w:val="none"/>
                <w:strike w:val="false"/>
                <w:sz w:val="18"/>
                <w:szCs w:val="18"/>
                <w:color w:val="000000"/>
              </w:rPr>
              <w:t xml:space="preserve">N = 1002</w:t>
            </w:r>
            <w:r>
              <w:rPr>
                <w:rFonts w:ascii="Arial" w:hAnsi="Arial" w:eastAsia="Arial" w:cs="Arial"/>
                <w:i w:val="false"/>
                <w:b w:val="false"/>
                <w:u w:val="none"/>
                <w:strike w:val="false"/>
                <w:vertAlign w:val="superscript"/>
                <w:sz w:val="18"/>
                <w:szCs w:val="18"/>
                <w:color w:val="000000"/>
              </w:rPr>
              <w:t xml:space="preserve">1</w:t>
            </w:r>
          </w:p>
        </w:tc>
      </w:tr>
      <w:tr>
        <w:trPr>
          <w:trHeight w:val="285"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 of wives/partners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(&lt;0.1%)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 (0.3%)</w:t>
            </w:r>
          </w:p>
        </w:tc>
      </w:tr>
      <w:tr>
        <w:trPr>
          <w:trHeight w:val="285"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664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1,065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601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964 (100%)</w:t>
            </w:r>
          </w:p>
        </w:tc>
      </w:tr>
      <w:tr>
        <w:trPr>
          <w:trHeight w:val="28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(0.1%)</w:t>
            </w:r>
          </w:p>
        </w:tc>
      </w:tr>
      <w:tr>
        <w:trPr>
          <w:trHeight w:val="28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 number of years of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7.281 (4.803)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8.468 (4.972)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6.470 (4.700)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7.588 (4.925)</w:t>
            </w:r>
          </w:p>
        </w:tc>
      </w:tr>
      <w:tr>
        <w:trPr>
          <w:trHeight w:val="28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 of respondent at 1st birth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25.322 (4.894)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26.543 (4.899)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24.842 (4.844)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25.782 (4.914)</w:t>
            </w:r>
          </w:p>
        </w:tc>
      </w:tr>
      <w:tr>
        <w:trPr>
          <w:trHeight w:val="281"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wealth index for urban/rural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262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236 (24%)</w:t>
            </w:r>
          </w:p>
        </w:tc>
      </w:tr>
      <w:tr>
        <w:trPr>
          <w:trHeight w:val="28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190 (20%)</w:t>
            </w:r>
          </w:p>
        </w:tc>
      </w:tr>
      <w:tr>
        <w:trPr>
          <w:trHeight w:val="28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189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154 (16%)</w:t>
            </w:r>
          </w:p>
        </w:tc>
      </w:tr>
      <w:tr>
        <w:trPr>
          <w:trHeight w:val="28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122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 (23%)</w:t>
            </w:r>
          </w:p>
        </w:tc>
      </w:tr>
      <w:tr>
        <w:trPr>
          <w:trHeight w:val="28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166 (17%)</w:t>
            </w:r>
          </w:p>
        </w:tc>
      </w:tr>
      <w:tr>
        <w:trPr>
          <w:trHeight w:val="281"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wealth index within 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232 (24%)</w:t>
            </w:r>
          </w:p>
        </w:tc>
      </w:tr>
      <w:tr>
        <w:trPr>
          <w:trHeight w:val="285"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123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228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121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198 (20%)</w:t>
            </w:r>
          </w:p>
        </w:tc>
      </w:tr>
      <w:tr>
        <w:trPr>
          <w:trHeight w:val="285"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157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228 (24%)</w:t>
            </w:r>
          </w:p>
        </w:tc>
      </w:tr>
      <w:tr>
        <w:trPr>
          <w:trHeight w:val="285"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 (18%)</w:t>
            </w:r>
          </w:p>
        </w:tc>
      </w:tr>
      <w:tr>
        <w:trPr>
          <w:trHeight w:val="285"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216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139 (14%)</w:t>
            </w:r>
          </w:p>
        </w:tc>
      </w:tr>
      <w:tr>
        <w:trPr>
          <w:trHeight w:val="285"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currently working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28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 (7.3%)</w:t>
            </w:r>
          </w:p>
        </w:tc>
      </w:tr>
      <w:tr>
        <w:trPr>
          <w:trHeight w:val="285" w:hRule="auto"/>
        </w:trPr>
        body21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597 (89%)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982 (92%)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560 (92%)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897 (93%)</w:t>
            </w:r>
          </w:p>
        </w:tc>
      </w:tr>
      <w:tr>
        <w:trPr>
          <w:trHeight w:val="360" w:hRule="auto"/>
        </w:trPr>
        footer 1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vertAlign w:val="superscript"/>
                <w:sz w:val="16"/>
                <w:szCs w:val="16"/>
                <w:color w:val="000000"/>
              </w:rPr>
              <w:t xml:space="preserve">1</w:t>
            </w:r>
            <w:r>
              <w:rPr>
                <w:rFonts w:ascii="Arial" w:hAnsi="Arial" w:eastAsia="Arial" w:cs="Arial"/>
                <w:i w:val="false"/>
                <w:b w:val="false"/>
                <w:u w:val="none"/>
                <w:strike w:val="false"/>
                <w:sz w:val="16"/>
                <w:szCs w:val="16"/>
                <w:color w:val="000000"/>
              </w:rPr>
              <w:t xml:space="preserve">Mean (SD) for continuous variables; N (%) for categorical variables. All statistics account for complex survey design with sampling weights. N represents unweighted sample size. Wealth index: 1 = Poorest, 5 = Richest. Binary variables: 0 = No, 1 = Yes.</w:t>
            </w:r>
          </w:p>
        </w:tc>
      </w:tr>
    </w:tbl>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2026-03-12T14:20:14Z</dcterms:modified>
  <cp:category/>
</cp:coreProperties>
</file>