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0F1E" w:rsidRPr="00D02DBE" w:rsidRDefault="00E15FBF">
      <w:pPr>
        <w:pStyle w:val="Title"/>
        <w:rPr>
          <w:rFonts w:ascii="Times New Roman" w:hAnsi="Times New Roman" w:cs="Times New Roman"/>
          <w:sz w:val="18"/>
          <w:szCs w:val="18"/>
        </w:rPr>
      </w:pPr>
      <w:r w:rsidRPr="00D02DBE">
        <w:rPr>
          <w:rFonts w:ascii="Times New Roman" w:hAnsi="Times New Roman" w:cs="Times New Roman"/>
          <w:sz w:val="18"/>
          <w:szCs w:val="18"/>
        </w:rPr>
        <w:t>results</w:t>
      </w:r>
    </w:p>
    <w:p w:rsidR="00842037" w:rsidRPr="00D02DBE" w:rsidRDefault="00E15FBF">
      <w:pPr>
        <w:pStyle w:val="FirstParagraph"/>
        <w:rPr>
          <w:rFonts w:ascii="Times New Roman" w:hAnsi="Times New Roman" w:cs="Times New Roman"/>
          <w:sz w:val="18"/>
          <w:szCs w:val="18"/>
        </w:rPr>
      </w:pPr>
      <w:r w:rsidRPr="00D02DBE">
        <w:rPr>
          <w:rFonts w:ascii="Times New Roman" w:hAnsi="Times New Roman" w:cs="Times New Roman"/>
          <w:sz w:val="18"/>
          <w:szCs w:val="18"/>
        </w:rPr>
        <w:t>While there exists in the literature many studies looking at casual associations between cash transfers and women’s empowerment, causal literature is rather sparser</w:t>
      </w:r>
      <w:r w:rsidR="003846B5" w:rsidRPr="00D02DBE">
        <w:rPr>
          <w:rFonts w:ascii="Times New Roman" w:hAnsi="Times New Roman" w:cs="Times New Roman"/>
          <w:sz w:val="18"/>
          <w:szCs w:val="18"/>
        </w:rPr>
        <w:t xml:space="preserve">, particularly when it comes to the effects of the IGMSY scheme </w:t>
      </w:r>
      <w:r w:rsidR="003846B5" w:rsidRPr="00D02DBE">
        <w:rPr>
          <w:rFonts w:ascii="Times New Roman" w:hAnsi="Times New Roman" w:cs="Times New Roman"/>
          <w:color w:val="FF0000"/>
          <w:sz w:val="18"/>
          <w:szCs w:val="18"/>
        </w:rPr>
        <w:t>(reference)</w:t>
      </w:r>
      <w:r w:rsidRPr="00D02DBE">
        <w:rPr>
          <w:rFonts w:ascii="Times New Roman" w:hAnsi="Times New Roman" w:cs="Times New Roman"/>
          <w:sz w:val="18"/>
          <w:szCs w:val="18"/>
        </w:rPr>
        <w:t xml:space="preserve">. Without casual estimates however, understanding the effects of a cash transfer can be difficult, particularly in scenarios where households may be beneficiaries to many different kinds of schemes, and as selection into application for the schemes itself may be an indicator of empowerment. Thus, it becomes necessary to follow a quasi-experimental approach, and exploit the pilot nature of the program in order to isolate its effects. </w:t>
      </w:r>
    </w:p>
    <w:p w:rsidR="00842037" w:rsidRPr="00D02DBE" w:rsidRDefault="00E15FBF">
      <w:pPr>
        <w:pStyle w:val="FirstParagraph"/>
        <w:rPr>
          <w:rFonts w:ascii="Times New Roman" w:hAnsi="Times New Roman" w:cs="Times New Roman"/>
          <w:sz w:val="18"/>
          <w:szCs w:val="18"/>
        </w:rPr>
      </w:pPr>
      <w:r w:rsidRPr="00D02DBE">
        <w:rPr>
          <w:rFonts w:ascii="Times New Roman" w:hAnsi="Times New Roman" w:cs="Times New Roman"/>
          <w:sz w:val="18"/>
          <w:szCs w:val="18"/>
        </w:rPr>
        <w:t xml:space="preserve">Although the program was slated to begin in 2011, due to delays in implementation, it is </w:t>
      </w:r>
      <w:r w:rsidR="003846B5" w:rsidRPr="00D02DBE">
        <w:rPr>
          <w:rFonts w:ascii="Times New Roman" w:hAnsi="Times New Roman" w:cs="Times New Roman"/>
          <w:sz w:val="18"/>
          <w:szCs w:val="18"/>
        </w:rPr>
        <w:t>thought</w:t>
      </w:r>
      <w:r w:rsidRPr="00D02DBE">
        <w:rPr>
          <w:rFonts w:ascii="Times New Roman" w:hAnsi="Times New Roman" w:cs="Times New Roman"/>
          <w:sz w:val="18"/>
          <w:szCs w:val="18"/>
        </w:rPr>
        <w:t xml:space="preserve"> that the program only really started in 2012 (von Haaren and Klonner, 2021). Hence, eligibility for the pilot program would begin in 2012, and would continue till 2017, when the program became nationwid</w:t>
      </w:r>
      <w:r w:rsidR="003846B5" w:rsidRPr="00D02DBE">
        <w:rPr>
          <w:rFonts w:ascii="Times New Roman" w:hAnsi="Times New Roman" w:cs="Times New Roman"/>
          <w:sz w:val="18"/>
          <w:szCs w:val="18"/>
        </w:rPr>
        <w:t>e</w:t>
      </w:r>
      <w:r w:rsidRPr="00D02DBE">
        <w:rPr>
          <w:rFonts w:ascii="Times New Roman" w:hAnsi="Times New Roman" w:cs="Times New Roman"/>
          <w:sz w:val="18"/>
          <w:szCs w:val="18"/>
        </w:rPr>
        <w:t xml:space="preserve">. The empirical design used in </w:t>
      </w:r>
      <w:r w:rsidR="003846B5" w:rsidRPr="00D02DBE">
        <w:rPr>
          <w:rFonts w:ascii="Times New Roman" w:hAnsi="Times New Roman" w:cs="Times New Roman"/>
          <w:sz w:val="18"/>
          <w:szCs w:val="18"/>
        </w:rPr>
        <w:t xml:space="preserve">von </w:t>
      </w:r>
      <w:proofErr w:type="spellStart"/>
      <w:r w:rsidR="003846B5" w:rsidRPr="00D02DBE">
        <w:rPr>
          <w:rFonts w:ascii="Times New Roman" w:hAnsi="Times New Roman" w:cs="Times New Roman"/>
          <w:sz w:val="18"/>
          <w:szCs w:val="18"/>
        </w:rPr>
        <w:t>Haaren</w:t>
      </w:r>
      <w:proofErr w:type="spellEnd"/>
      <w:r w:rsidR="003846B5" w:rsidRPr="00D02DBE">
        <w:rPr>
          <w:rFonts w:ascii="Times New Roman" w:hAnsi="Times New Roman" w:cs="Times New Roman"/>
          <w:sz w:val="18"/>
          <w:szCs w:val="18"/>
        </w:rPr>
        <w:t xml:space="preserve"> and </w:t>
      </w:r>
      <w:proofErr w:type="spellStart"/>
      <w:r w:rsidR="003846B5" w:rsidRPr="00D02DBE">
        <w:rPr>
          <w:rFonts w:ascii="Times New Roman" w:hAnsi="Times New Roman" w:cs="Times New Roman"/>
          <w:sz w:val="18"/>
          <w:szCs w:val="18"/>
        </w:rPr>
        <w:t>Klonner</w:t>
      </w:r>
      <w:proofErr w:type="spellEnd"/>
      <w:r w:rsidR="003846B5" w:rsidRPr="00D02DBE">
        <w:rPr>
          <w:rFonts w:ascii="Times New Roman" w:hAnsi="Times New Roman" w:cs="Times New Roman"/>
          <w:sz w:val="18"/>
          <w:szCs w:val="18"/>
        </w:rPr>
        <w:t xml:space="preserve"> </w:t>
      </w:r>
      <w:r w:rsidRPr="00D02DBE">
        <w:rPr>
          <w:rFonts w:ascii="Times New Roman" w:hAnsi="Times New Roman" w:cs="Times New Roman"/>
          <w:sz w:val="18"/>
          <w:szCs w:val="18"/>
        </w:rPr>
        <w:t xml:space="preserve">is adopted from Ghosh and Kochar (2018) who aimed to utilize the comparison across eligible and ineligible birth cohorts in treatment and district areas to examine effects on mother and child health. </w:t>
      </w:r>
    </w:p>
    <w:p w:rsidR="003846B5" w:rsidRPr="00D02DBE" w:rsidRDefault="003846B5">
      <w:pPr>
        <w:pStyle w:val="FirstParagraph"/>
        <w:rPr>
          <w:rFonts w:ascii="Times New Roman" w:hAnsi="Times New Roman" w:cs="Times New Roman"/>
          <w:sz w:val="18"/>
          <w:szCs w:val="18"/>
        </w:rPr>
      </w:pPr>
      <w:r w:rsidRPr="00D02DBE">
        <w:rPr>
          <w:rFonts w:ascii="Times New Roman" w:hAnsi="Times New Roman" w:cs="Times New Roman"/>
          <w:sz w:val="18"/>
          <w:szCs w:val="18"/>
        </w:rPr>
        <w:t>V</w:t>
      </w:r>
      <w:r w:rsidR="00E15FBF" w:rsidRPr="00D02DBE">
        <w:rPr>
          <w:rFonts w:ascii="Times New Roman" w:hAnsi="Times New Roman" w:cs="Times New Roman"/>
          <w:sz w:val="18"/>
          <w:szCs w:val="18"/>
        </w:rPr>
        <w:t xml:space="preserve">on </w:t>
      </w:r>
      <w:proofErr w:type="spellStart"/>
      <w:r w:rsidR="00E15FBF" w:rsidRPr="00D02DBE">
        <w:rPr>
          <w:rFonts w:ascii="Times New Roman" w:hAnsi="Times New Roman" w:cs="Times New Roman"/>
          <w:sz w:val="18"/>
          <w:szCs w:val="18"/>
        </w:rPr>
        <w:t>Haaren</w:t>
      </w:r>
      <w:proofErr w:type="spellEnd"/>
      <w:r w:rsidR="00E15FBF" w:rsidRPr="00D02DBE">
        <w:rPr>
          <w:rFonts w:ascii="Times New Roman" w:hAnsi="Times New Roman" w:cs="Times New Roman"/>
          <w:sz w:val="18"/>
          <w:szCs w:val="18"/>
        </w:rPr>
        <w:t xml:space="preserve"> and </w:t>
      </w:r>
      <w:proofErr w:type="spellStart"/>
      <w:r w:rsidR="00E15FBF" w:rsidRPr="00D02DBE">
        <w:rPr>
          <w:rFonts w:ascii="Times New Roman" w:hAnsi="Times New Roman" w:cs="Times New Roman"/>
          <w:sz w:val="18"/>
          <w:szCs w:val="18"/>
        </w:rPr>
        <w:t>Klonner</w:t>
      </w:r>
      <w:proofErr w:type="spellEnd"/>
      <w:r w:rsidRPr="00D02DBE">
        <w:rPr>
          <w:rFonts w:ascii="Times New Roman" w:hAnsi="Times New Roman" w:cs="Times New Roman"/>
          <w:sz w:val="18"/>
          <w:szCs w:val="18"/>
        </w:rPr>
        <w:t xml:space="preserve"> (2021) and</w:t>
      </w:r>
      <w:r w:rsidR="00E15FBF" w:rsidRPr="00D02DBE">
        <w:rPr>
          <w:rFonts w:ascii="Times New Roman" w:hAnsi="Times New Roman" w:cs="Times New Roman"/>
          <w:sz w:val="18"/>
          <w:szCs w:val="18"/>
        </w:rPr>
        <w:t xml:space="preserve"> Agarwal and </w:t>
      </w:r>
      <w:proofErr w:type="spellStart"/>
      <w:r w:rsidR="00E15FBF" w:rsidRPr="00D02DBE">
        <w:rPr>
          <w:rFonts w:ascii="Times New Roman" w:hAnsi="Times New Roman" w:cs="Times New Roman"/>
          <w:sz w:val="18"/>
          <w:szCs w:val="18"/>
        </w:rPr>
        <w:t>Katewa</w:t>
      </w:r>
      <w:proofErr w:type="spellEnd"/>
      <w:r w:rsidRPr="00D02DBE">
        <w:rPr>
          <w:rFonts w:ascii="Times New Roman" w:hAnsi="Times New Roman" w:cs="Times New Roman"/>
          <w:sz w:val="18"/>
          <w:szCs w:val="18"/>
        </w:rPr>
        <w:t xml:space="preserve"> (2024)</w:t>
      </w:r>
      <w:r w:rsidR="00E15FBF" w:rsidRPr="00D02DBE">
        <w:rPr>
          <w:rFonts w:ascii="Times New Roman" w:hAnsi="Times New Roman" w:cs="Times New Roman"/>
          <w:sz w:val="18"/>
          <w:szCs w:val="18"/>
        </w:rPr>
        <w:t xml:space="preserve"> assum</w:t>
      </w:r>
      <w:r w:rsidRPr="00D02DBE">
        <w:rPr>
          <w:rFonts w:ascii="Times New Roman" w:hAnsi="Times New Roman" w:cs="Times New Roman"/>
          <w:sz w:val="18"/>
          <w:szCs w:val="18"/>
        </w:rPr>
        <w:t>e</w:t>
      </w:r>
      <w:r w:rsidR="00E15FBF" w:rsidRPr="00D02DBE">
        <w:rPr>
          <w:rFonts w:ascii="Times New Roman" w:hAnsi="Times New Roman" w:cs="Times New Roman"/>
          <w:sz w:val="18"/>
          <w:szCs w:val="18"/>
        </w:rPr>
        <w:t xml:space="preserve"> that </w:t>
      </w:r>
      <w:r w:rsidRPr="00D02DBE">
        <w:rPr>
          <w:rFonts w:ascii="Times New Roman" w:hAnsi="Times New Roman" w:cs="Times New Roman"/>
          <w:sz w:val="18"/>
          <w:szCs w:val="18"/>
        </w:rPr>
        <w:t xml:space="preserve">both </w:t>
      </w:r>
      <w:r w:rsidR="00E15FBF" w:rsidRPr="00D02DBE">
        <w:rPr>
          <w:rFonts w:ascii="Times New Roman" w:hAnsi="Times New Roman" w:cs="Times New Roman"/>
          <w:sz w:val="18"/>
          <w:szCs w:val="18"/>
        </w:rPr>
        <w:t xml:space="preserve">cohort eligibility </w:t>
      </w:r>
      <w:r w:rsidRPr="00D02DBE">
        <w:rPr>
          <w:rFonts w:ascii="Times New Roman" w:hAnsi="Times New Roman" w:cs="Times New Roman"/>
          <w:sz w:val="18"/>
          <w:szCs w:val="18"/>
        </w:rPr>
        <w:t>and</w:t>
      </w:r>
      <w:r w:rsidR="00E15FBF" w:rsidRPr="00D02DBE">
        <w:rPr>
          <w:rFonts w:ascii="Times New Roman" w:hAnsi="Times New Roman" w:cs="Times New Roman"/>
          <w:sz w:val="18"/>
          <w:szCs w:val="18"/>
        </w:rPr>
        <w:t xml:space="preserve"> program eligibility</w:t>
      </w:r>
      <w:r w:rsidRPr="00D02DBE">
        <w:rPr>
          <w:rFonts w:ascii="Times New Roman" w:hAnsi="Times New Roman" w:cs="Times New Roman"/>
          <w:sz w:val="18"/>
          <w:szCs w:val="18"/>
        </w:rPr>
        <w:t xml:space="preserve"> (restricting age of woman and birth order)</w:t>
      </w:r>
      <w:r w:rsidR="00E15FBF" w:rsidRPr="00D02DBE">
        <w:rPr>
          <w:rFonts w:ascii="Times New Roman" w:hAnsi="Times New Roman" w:cs="Times New Roman"/>
          <w:sz w:val="18"/>
          <w:szCs w:val="18"/>
        </w:rPr>
        <w:t xml:space="preserve"> predict compliance. There may be several ways to include program compliance also into the design, as I have chosen to do, which is to also look at women above the age of 21, as these women would had to have been either 19 years of age or above to participate. This does not fully remediate the question of whether there was some fuzzy compliance i.e. whether age was strictly adhered to when it came to doling out program benefits</w:t>
      </w:r>
      <w:r w:rsidRPr="00D02DBE">
        <w:rPr>
          <w:rFonts w:ascii="Times New Roman" w:hAnsi="Times New Roman" w:cs="Times New Roman"/>
          <w:sz w:val="18"/>
          <w:szCs w:val="18"/>
        </w:rPr>
        <w:t xml:space="preserve">. However, if anything, it would seem that the program did not reach its intended beneficiaries, though implementation varied widely according to state (Ghosh and </w:t>
      </w:r>
      <w:proofErr w:type="spellStart"/>
      <w:r w:rsidRPr="00D02DBE">
        <w:rPr>
          <w:rFonts w:ascii="Times New Roman" w:hAnsi="Times New Roman" w:cs="Times New Roman"/>
          <w:sz w:val="18"/>
          <w:szCs w:val="18"/>
        </w:rPr>
        <w:t>Kochar</w:t>
      </w:r>
      <w:proofErr w:type="spellEnd"/>
      <w:r w:rsidRPr="00D02DBE">
        <w:rPr>
          <w:rFonts w:ascii="Times New Roman" w:hAnsi="Times New Roman" w:cs="Times New Roman"/>
          <w:sz w:val="18"/>
          <w:szCs w:val="18"/>
        </w:rPr>
        <w:t>, 2018). In this case, I can reasonably expect that any effects I estimate would</w:t>
      </w:r>
      <w:r w:rsidR="00C30FFB" w:rsidRPr="00D02DBE">
        <w:rPr>
          <w:rFonts w:ascii="Times New Roman" w:hAnsi="Times New Roman" w:cs="Times New Roman"/>
          <w:sz w:val="18"/>
          <w:szCs w:val="18"/>
        </w:rPr>
        <w:t xml:space="preserve"> be an overestimation</w:t>
      </w:r>
      <w:r w:rsidRPr="00D02DBE">
        <w:rPr>
          <w:rFonts w:ascii="Times New Roman" w:hAnsi="Times New Roman" w:cs="Times New Roman"/>
          <w:sz w:val="18"/>
          <w:szCs w:val="18"/>
        </w:rPr>
        <w:t>. (</w:t>
      </w:r>
      <w:r w:rsidRPr="00D02DBE">
        <w:rPr>
          <w:rFonts w:ascii="Times New Roman" w:hAnsi="Times New Roman" w:cs="Times New Roman"/>
          <w:color w:val="FF0000"/>
          <w:sz w:val="18"/>
          <w:szCs w:val="18"/>
        </w:rPr>
        <w:t>reference)</w:t>
      </w:r>
      <w:r w:rsidR="00E15FBF" w:rsidRPr="00D02DBE">
        <w:rPr>
          <w:rFonts w:ascii="Times New Roman" w:hAnsi="Times New Roman" w:cs="Times New Roman"/>
          <w:sz w:val="18"/>
          <w:szCs w:val="18"/>
        </w:rPr>
        <w:t>.</w:t>
      </w:r>
      <w:r w:rsidRPr="00D02DBE">
        <w:rPr>
          <w:rFonts w:ascii="Times New Roman" w:hAnsi="Times New Roman" w:cs="Times New Roman"/>
          <w:sz w:val="18"/>
          <w:szCs w:val="18"/>
        </w:rPr>
        <w:t xml:space="preserve"> </w:t>
      </w:r>
      <w:r w:rsidR="00E15FBF" w:rsidRPr="00D02DBE">
        <w:rPr>
          <w:rFonts w:ascii="Times New Roman" w:hAnsi="Times New Roman" w:cs="Times New Roman"/>
          <w:sz w:val="18"/>
          <w:szCs w:val="18"/>
        </w:rPr>
        <w:t xml:space="preserve"> </w:t>
      </w:r>
    </w:p>
    <w:p w:rsidR="003846B5" w:rsidRPr="00D02DBE" w:rsidRDefault="00E15FBF">
      <w:pPr>
        <w:pStyle w:val="FirstParagraph"/>
        <w:rPr>
          <w:rFonts w:ascii="Times New Roman" w:hAnsi="Times New Roman" w:cs="Times New Roman"/>
          <w:sz w:val="18"/>
          <w:szCs w:val="18"/>
        </w:rPr>
      </w:pPr>
      <w:r w:rsidRPr="00D02DBE">
        <w:rPr>
          <w:rFonts w:ascii="Times New Roman" w:hAnsi="Times New Roman" w:cs="Times New Roman"/>
          <w:sz w:val="18"/>
          <w:szCs w:val="18"/>
        </w:rPr>
        <w:t xml:space="preserve">In order to parse out the effects of the cash transfer, I am conducting a differences-in-differences analysis, along the lines of Agarwal and Katewa (2024). </w:t>
      </w:r>
      <w:r w:rsidR="003846B5" w:rsidRPr="00D02DBE">
        <w:rPr>
          <w:rFonts w:ascii="Times New Roman" w:hAnsi="Times New Roman" w:cs="Times New Roman"/>
          <w:color w:val="FF0000"/>
          <w:sz w:val="18"/>
          <w:szCs w:val="18"/>
        </w:rPr>
        <w:t>(explain what difference-in differences is)</w:t>
      </w:r>
      <w:r w:rsidR="003846B5" w:rsidRPr="00D02DBE">
        <w:rPr>
          <w:rFonts w:ascii="Times New Roman" w:hAnsi="Times New Roman" w:cs="Times New Roman"/>
          <w:sz w:val="18"/>
          <w:szCs w:val="18"/>
        </w:rPr>
        <w:t xml:space="preserve"> In my setup, the</w:t>
      </w:r>
      <w:r w:rsidRPr="00D02DBE">
        <w:rPr>
          <w:rFonts w:ascii="Times New Roman" w:hAnsi="Times New Roman" w:cs="Times New Roman"/>
          <w:sz w:val="18"/>
          <w:szCs w:val="18"/>
        </w:rPr>
        <w:t xml:space="preserve"> first difference would be between </w:t>
      </w:r>
      <w:r w:rsidR="00C30FFB" w:rsidRPr="00D02DBE">
        <w:rPr>
          <w:rFonts w:ascii="Times New Roman" w:hAnsi="Times New Roman" w:cs="Times New Roman"/>
          <w:sz w:val="18"/>
          <w:szCs w:val="18"/>
        </w:rPr>
        <w:t xml:space="preserve">control and treated districts, and the second between </w:t>
      </w:r>
      <w:r w:rsidRPr="00D02DBE">
        <w:rPr>
          <w:rFonts w:ascii="Times New Roman" w:hAnsi="Times New Roman" w:cs="Times New Roman"/>
          <w:sz w:val="18"/>
          <w:szCs w:val="18"/>
        </w:rPr>
        <w:t xml:space="preserve">eligible women and ineligible women in the </w:t>
      </w:r>
      <w:r w:rsidR="00C30FFB" w:rsidRPr="00D02DBE">
        <w:rPr>
          <w:rFonts w:ascii="Times New Roman" w:hAnsi="Times New Roman" w:cs="Times New Roman"/>
          <w:sz w:val="18"/>
          <w:szCs w:val="18"/>
        </w:rPr>
        <w:t>same districts</w:t>
      </w:r>
      <w:r w:rsidRPr="00D02DBE">
        <w:rPr>
          <w:rFonts w:ascii="Times New Roman" w:hAnsi="Times New Roman" w:cs="Times New Roman"/>
          <w:sz w:val="18"/>
          <w:szCs w:val="18"/>
        </w:rPr>
        <w:t>, (</w:t>
      </w:r>
      <w:r w:rsidR="00C30FFB" w:rsidRPr="00D02DBE">
        <w:rPr>
          <w:rFonts w:ascii="Times New Roman" w:hAnsi="Times New Roman" w:cs="Times New Roman"/>
          <w:sz w:val="18"/>
          <w:szCs w:val="18"/>
        </w:rPr>
        <w:t>districts</w:t>
      </w:r>
      <w:r w:rsidRPr="00D02DBE">
        <w:rPr>
          <w:rFonts w:ascii="Times New Roman" w:hAnsi="Times New Roman" w:cs="Times New Roman"/>
          <w:sz w:val="18"/>
          <w:szCs w:val="18"/>
        </w:rPr>
        <w:t xml:space="preserve"> identified by von Haaren and Klonner, 2021). </w:t>
      </w:r>
      <w:r w:rsidR="00C30FFB" w:rsidRPr="00D02DBE">
        <w:rPr>
          <w:rFonts w:ascii="Times New Roman" w:hAnsi="Times New Roman" w:cs="Times New Roman"/>
          <w:sz w:val="18"/>
          <w:szCs w:val="18"/>
        </w:rPr>
        <w:t xml:space="preserve">The authors constructed matched pairs from the DHLS, and fortunately, I was able to find all corresponding districts in the newer DHS dataset. </w:t>
      </w:r>
    </w:p>
    <w:p w:rsidR="00830F1E" w:rsidRPr="00D02DBE" w:rsidRDefault="00E15FBF">
      <w:pPr>
        <w:pStyle w:val="FirstParagraph"/>
        <w:rPr>
          <w:rFonts w:ascii="Times New Roman" w:hAnsi="Times New Roman" w:cs="Times New Roman"/>
          <w:sz w:val="18"/>
          <w:szCs w:val="18"/>
        </w:rPr>
      </w:pPr>
      <w:r w:rsidRPr="00D02DBE">
        <w:rPr>
          <w:rFonts w:ascii="Times New Roman" w:hAnsi="Times New Roman" w:cs="Times New Roman"/>
          <w:sz w:val="18"/>
          <w:szCs w:val="18"/>
        </w:rPr>
        <w:t xml:space="preserve">I am extending </w:t>
      </w:r>
      <w:r w:rsidR="003846B5" w:rsidRPr="00D02DBE">
        <w:rPr>
          <w:rFonts w:ascii="Times New Roman" w:hAnsi="Times New Roman" w:cs="Times New Roman"/>
          <w:sz w:val="18"/>
          <w:szCs w:val="18"/>
        </w:rPr>
        <w:t xml:space="preserve">the </w:t>
      </w:r>
      <w:r w:rsidRPr="00D02DBE">
        <w:rPr>
          <w:rFonts w:ascii="Times New Roman" w:hAnsi="Times New Roman" w:cs="Times New Roman"/>
          <w:sz w:val="18"/>
          <w:szCs w:val="18"/>
        </w:rPr>
        <w:t xml:space="preserve">approach </w:t>
      </w:r>
      <w:r w:rsidR="003846B5" w:rsidRPr="00D02DBE">
        <w:rPr>
          <w:rFonts w:ascii="Times New Roman" w:hAnsi="Times New Roman" w:cs="Times New Roman"/>
          <w:sz w:val="18"/>
          <w:szCs w:val="18"/>
        </w:rPr>
        <w:t xml:space="preserve">of others </w:t>
      </w:r>
      <w:r w:rsidRPr="00D02DBE">
        <w:rPr>
          <w:rFonts w:ascii="Times New Roman" w:hAnsi="Times New Roman" w:cs="Times New Roman"/>
          <w:sz w:val="18"/>
          <w:szCs w:val="18"/>
        </w:rPr>
        <w:t>by looking also at men’s attitudes towards decision-making and IPV, and also by utilizing a new dataset, namely the DHS 2019-21 data. The authors did not use this dataset as they were considering a policy disruption (i.e. the IGMSY becoming nationwide in 2017). Since I am looking at longer-term effects of the cash transfer on women who received the transfer between 2012-201</w:t>
      </w:r>
      <w:r w:rsidR="00B639A3" w:rsidRPr="00D02DBE">
        <w:rPr>
          <w:rFonts w:ascii="Times New Roman" w:hAnsi="Times New Roman" w:cs="Times New Roman"/>
          <w:sz w:val="18"/>
          <w:szCs w:val="18"/>
        </w:rPr>
        <w:t>6</w:t>
      </w:r>
      <w:r w:rsidRPr="00D02DBE">
        <w:rPr>
          <w:rFonts w:ascii="Times New Roman" w:hAnsi="Times New Roman" w:cs="Times New Roman"/>
          <w:sz w:val="18"/>
          <w:szCs w:val="18"/>
        </w:rPr>
        <w:t>,</w:t>
      </w:r>
      <w:r w:rsidR="003846B5" w:rsidRPr="00D02DBE">
        <w:rPr>
          <w:rFonts w:ascii="Times New Roman" w:hAnsi="Times New Roman" w:cs="Times New Roman"/>
          <w:sz w:val="18"/>
          <w:szCs w:val="18"/>
        </w:rPr>
        <w:t xml:space="preserve"> and therefore restricting eligibility</w:t>
      </w:r>
      <w:r w:rsidR="008F03B2" w:rsidRPr="00D02DBE">
        <w:rPr>
          <w:rFonts w:ascii="Times New Roman" w:hAnsi="Times New Roman" w:cs="Times New Roman"/>
          <w:sz w:val="18"/>
          <w:szCs w:val="18"/>
        </w:rPr>
        <w:t xml:space="preserve"> status</w:t>
      </w:r>
      <w:r w:rsidR="003846B5" w:rsidRPr="00D02DBE">
        <w:rPr>
          <w:rFonts w:ascii="Times New Roman" w:hAnsi="Times New Roman" w:cs="Times New Roman"/>
          <w:sz w:val="18"/>
          <w:szCs w:val="18"/>
        </w:rPr>
        <w:t xml:space="preserve"> to include women who had either their first or second child within that time span</w:t>
      </w:r>
      <w:r w:rsidR="00B639A3" w:rsidRPr="00D02DBE">
        <w:rPr>
          <w:rFonts w:ascii="Times New Roman" w:hAnsi="Times New Roman" w:cs="Times New Roman"/>
          <w:sz w:val="18"/>
          <w:szCs w:val="18"/>
        </w:rPr>
        <w:t xml:space="preserve">, </w:t>
      </w:r>
      <w:r w:rsidRPr="00D02DBE">
        <w:rPr>
          <w:rFonts w:ascii="Times New Roman" w:hAnsi="Times New Roman" w:cs="Times New Roman"/>
          <w:sz w:val="18"/>
          <w:szCs w:val="18"/>
        </w:rPr>
        <w:t xml:space="preserve">the policy disruption </w:t>
      </w:r>
      <w:r w:rsidR="00B639A3" w:rsidRPr="00D02DBE">
        <w:rPr>
          <w:rFonts w:ascii="Times New Roman" w:hAnsi="Times New Roman" w:cs="Times New Roman"/>
          <w:sz w:val="18"/>
          <w:szCs w:val="18"/>
        </w:rPr>
        <w:t>should not affect my results.</w:t>
      </w:r>
      <w:r w:rsidRPr="00D02DBE">
        <w:rPr>
          <w:rFonts w:ascii="Times New Roman" w:hAnsi="Times New Roman" w:cs="Times New Roman"/>
          <w:sz w:val="18"/>
          <w:szCs w:val="18"/>
        </w:rPr>
        <w:t xml:space="preserve"> </w:t>
      </w:r>
      <w:r w:rsidR="00B639A3" w:rsidRPr="00D02DBE">
        <w:rPr>
          <w:rFonts w:ascii="Times New Roman" w:hAnsi="Times New Roman" w:cs="Times New Roman"/>
          <w:sz w:val="18"/>
          <w:szCs w:val="18"/>
        </w:rPr>
        <w:t>E</w:t>
      </w:r>
      <w:r w:rsidRPr="00D02DBE">
        <w:rPr>
          <w:rFonts w:ascii="Times New Roman" w:hAnsi="Times New Roman" w:cs="Times New Roman"/>
          <w:sz w:val="18"/>
          <w:szCs w:val="18"/>
        </w:rPr>
        <w:t>ffects would be an estimation of Intent-to-treat, as I do not have precise data on who opted for the scheme. Moreover, I am restricting eligibility to women who gave birth to either their first or second child between 2012-2016 i.e. program years, hence excluding women who might have benefited past 2019. Furthermore, I would also exclude the states of Odisha, Madhya Pradesh, Tamil Nadu and Maharashtra, as they have similar schemes at the state level. I am also excluding the Union Territories of Andaman and Nicobar, Ladakh, Daman &amp; Diu, Lakshwadeep Islands, Chandigarh, Puducherry, Jammu and Kashmir. Nagaland is also excluded, as the district borders in the DHS were not compliant with the DHLS, which was used by von Haaren and Klonner (2020) to match districts originally. The “low”, “medium” and “high” classifications refer to the grouping of these districts based upon their composite scores across various socioeconomic indicators. The scores were in turn used to find control districts in neighboring regions, and this setup works because the pilot program was not aimed at low-performing regions only—rather, aimed towards a group that would be representative of the country as a whole.</w:t>
      </w:r>
    </w:p>
    <w:p w:rsidR="00830F1E" w:rsidRPr="00D02DBE" w:rsidRDefault="00E15FBF">
      <w:pPr>
        <w:pStyle w:val="BodyText"/>
        <w:rPr>
          <w:rFonts w:ascii="Times New Roman" w:hAnsi="Times New Roman" w:cs="Times New Roman"/>
          <w:sz w:val="18"/>
          <w:szCs w:val="18"/>
        </w:rPr>
      </w:pPr>
      <w:r w:rsidRPr="00D02DBE">
        <w:rPr>
          <w:rFonts w:ascii="Times New Roman" w:hAnsi="Times New Roman" w:cs="Times New Roman"/>
          <w:sz w:val="18"/>
          <w:szCs w:val="18"/>
        </w:rPr>
        <w:t>Regression Equation: same as Agarwal &amp; Katewa</w:t>
      </w:r>
    </w:p>
    <w:p w:rsidR="00830F1E" w:rsidRPr="00D02DBE" w:rsidRDefault="00E15FBF">
      <w:pPr>
        <w:pStyle w:val="BodyText"/>
        <w:rPr>
          <w:rFonts w:ascii="Times New Roman" w:hAnsi="Times New Roman" w:cs="Times New Roman"/>
          <w:sz w:val="18"/>
          <w:szCs w:val="18"/>
        </w:rPr>
      </w:pPr>
      <w:r w:rsidRPr="00D02DBE">
        <w:rPr>
          <w:rFonts w:ascii="Times New Roman" w:hAnsi="Times New Roman" w:cs="Times New Roman"/>
          <w:sz w:val="18"/>
          <w:szCs w:val="18"/>
        </w:rPr>
        <w:t>Y</w:t>
      </w:r>
      <w:r w:rsidRPr="00D02DBE">
        <w:rPr>
          <w:rFonts w:ascii="Times New Roman" w:hAnsi="Times New Roman" w:cs="Times New Roman"/>
          <w:sz w:val="18"/>
          <w:szCs w:val="18"/>
          <w:vertAlign w:val="subscript"/>
        </w:rPr>
        <w:t>idst</w:t>
      </w:r>
      <w:r w:rsidRPr="00D02DBE">
        <w:rPr>
          <w:rFonts w:ascii="Times New Roman" w:hAnsi="Times New Roman" w:cs="Times New Roman"/>
          <w:sz w:val="18"/>
          <w:szCs w:val="18"/>
        </w:rPr>
        <w:t xml:space="preserve"> = α</w:t>
      </w:r>
      <w:r w:rsidRPr="00D02DBE">
        <w:rPr>
          <w:rFonts w:ascii="Times New Roman" w:hAnsi="Times New Roman" w:cs="Times New Roman"/>
          <w:sz w:val="18"/>
          <w:szCs w:val="18"/>
          <w:vertAlign w:val="subscript"/>
        </w:rPr>
        <w:t>d</w:t>
      </w:r>
      <w:r w:rsidRPr="00D02DBE">
        <w:rPr>
          <w:rFonts w:ascii="Times New Roman" w:hAnsi="Times New Roman" w:cs="Times New Roman"/>
          <w:sz w:val="18"/>
          <w:szCs w:val="18"/>
        </w:rPr>
        <w:t xml:space="preserve"> + β</w:t>
      </w:r>
      <w:r w:rsidRPr="00D02DBE">
        <w:rPr>
          <w:rFonts w:ascii="Times New Roman" w:hAnsi="Times New Roman" w:cs="Times New Roman"/>
          <w:sz w:val="18"/>
          <w:szCs w:val="18"/>
          <w:vertAlign w:val="subscript"/>
        </w:rPr>
        <w:t>1</w:t>
      </w:r>
      <w:r w:rsidRPr="00D02DBE">
        <w:rPr>
          <w:rFonts w:ascii="Times New Roman" w:hAnsi="Times New Roman" w:cs="Times New Roman"/>
          <w:sz w:val="18"/>
          <w:szCs w:val="18"/>
        </w:rPr>
        <w:t>(</w:t>
      </w:r>
      <w:proofErr w:type="spellStart"/>
      <w:r w:rsidRPr="00D02DBE">
        <w:rPr>
          <w:rFonts w:ascii="Times New Roman" w:hAnsi="Times New Roman" w:cs="Times New Roman"/>
          <w:sz w:val="18"/>
          <w:szCs w:val="18"/>
        </w:rPr>
        <w:t>treated_district</w:t>
      </w:r>
      <w:r w:rsidRPr="00D02DBE">
        <w:rPr>
          <w:rFonts w:ascii="Times New Roman" w:hAnsi="Times New Roman" w:cs="Times New Roman"/>
          <w:sz w:val="18"/>
          <w:szCs w:val="18"/>
          <w:vertAlign w:val="subscript"/>
        </w:rPr>
        <w:t>d</w:t>
      </w:r>
      <w:proofErr w:type="spellEnd"/>
      <w:r w:rsidR="00B639A3" w:rsidRPr="00D02DBE">
        <w:rPr>
          <w:rFonts w:ascii="Times New Roman" w:hAnsi="Times New Roman" w:cs="Times New Roman"/>
          <w:i/>
          <w:iCs/>
          <w:sz w:val="18"/>
          <w:szCs w:val="18"/>
        </w:rPr>
        <w:t>*</w:t>
      </w:r>
      <w:proofErr w:type="spellStart"/>
      <w:r w:rsidR="00B639A3" w:rsidRPr="00D02DBE">
        <w:rPr>
          <w:rFonts w:ascii="Times New Roman" w:hAnsi="Times New Roman" w:cs="Times New Roman"/>
          <w:i/>
          <w:iCs/>
          <w:sz w:val="18"/>
          <w:szCs w:val="18"/>
        </w:rPr>
        <w:t>e</w:t>
      </w:r>
      <w:r w:rsidRPr="00D02DBE">
        <w:rPr>
          <w:rFonts w:ascii="Times New Roman" w:hAnsi="Times New Roman" w:cs="Times New Roman"/>
          <w:i/>
          <w:iCs/>
          <w:sz w:val="18"/>
          <w:szCs w:val="18"/>
        </w:rPr>
        <w:t>ligibility_statusit</w:t>
      </w:r>
      <w:proofErr w:type="spellEnd"/>
      <w:r w:rsidRPr="00D02DBE">
        <w:rPr>
          <w:rFonts w:ascii="Times New Roman" w:hAnsi="Times New Roman" w:cs="Times New Roman"/>
          <w:i/>
          <w:iCs/>
          <w:sz w:val="18"/>
          <w:szCs w:val="18"/>
        </w:rPr>
        <w:t>) + (</w:t>
      </w:r>
      <w:proofErr w:type="spellStart"/>
      <w:r w:rsidRPr="00D02DBE">
        <w:rPr>
          <w:rFonts w:ascii="Times New Roman" w:hAnsi="Times New Roman" w:cs="Times New Roman"/>
          <w:i/>
          <w:iCs/>
          <w:sz w:val="18"/>
          <w:szCs w:val="18"/>
        </w:rPr>
        <w:t>λs</w:t>
      </w:r>
      <w:r w:rsidRPr="00D02DBE">
        <w:rPr>
          <w:rFonts w:ascii="Times New Roman" w:hAnsi="Times New Roman" w:cs="Times New Roman"/>
          <w:sz w:val="18"/>
          <w:szCs w:val="18"/>
        </w:rPr>
        <w:t>eligibility_status</w:t>
      </w:r>
      <w:proofErr w:type="spellEnd"/>
      <w:r w:rsidRPr="00D02DBE">
        <w:rPr>
          <w:rFonts w:ascii="Times New Roman" w:hAnsi="Times New Roman" w:cs="Times New Roman"/>
          <w:sz w:val="18"/>
          <w:szCs w:val="18"/>
        </w:rPr>
        <w:t>) + treated_district + χ(X</w:t>
      </w:r>
      <w:r w:rsidRPr="00D02DBE">
        <w:rPr>
          <w:rFonts w:ascii="Times New Roman" w:hAnsi="Times New Roman" w:cs="Times New Roman"/>
          <w:sz w:val="18"/>
          <w:szCs w:val="18"/>
          <w:vertAlign w:val="subscript"/>
        </w:rPr>
        <w:t>i</w:t>
      </w:r>
      <w:r w:rsidRPr="00D02DBE">
        <w:rPr>
          <w:rFonts w:ascii="Times New Roman" w:hAnsi="Times New Roman" w:cs="Times New Roman"/>
          <w:sz w:val="18"/>
          <w:szCs w:val="18"/>
        </w:rPr>
        <w:t>)+γ(X</w:t>
      </w:r>
      <w:r w:rsidRPr="00D02DBE">
        <w:rPr>
          <w:rFonts w:ascii="Times New Roman" w:hAnsi="Times New Roman" w:cs="Times New Roman"/>
          <w:sz w:val="18"/>
          <w:szCs w:val="18"/>
          <w:vertAlign w:val="subscript"/>
        </w:rPr>
        <w:t>h</w:t>
      </w:r>
      <w:r w:rsidRPr="00D02DBE">
        <w:rPr>
          <w:rFonts w:ascii="Times New Roman" w:hAnsi="Times New Roman" w:cs="Times New Roman"/>
          <w:sz w:val="18"/>
          <w:szCs w:val="18"/>
        </w:rPr>
        <w:t>)+ δ</w:t>
      </w:r>
      <w:r w:rsidRPr="00D02DBE">
        <w:rPr>
          <w:rFonts w:ascii="Times New Roman" w:hAnsi="Times New Roman" w:cs="Times New Roman"/>
          <w:sz w:val="18"/>
          <w:szCs w:val="18"/>
          <w:vertAlign w:val="subscript"/>
        </w:rPr>
        <w:t>ihdst</w:t>
      </w:r>
      <w:r w:rsidRPr="00D02DBE">
        <w:rPr>
          <w:rFonts w:ascii="Times New Roman" w:hAnsi="Times New Roman" w:cs="Times New Roman"/>
          <w:sz w:val="18"/>
          <w:szCs w:val="18"/>
        </w:rPr>
        <w:t xml:space="preserve"> (1)</w:t>
      </w:r>
    </w:p>
    <w:p w:rsidR="00830F1E" w:rsidRPr="00D02DBE" w:rsidRDefault="00E15FBF">
      <w:pPr>
        <w:pStyle w:val="BodyText"/>
        <w:rPr>
          <w:rFonts w:ascii="Times New Roman" w:hAnsi="Times New Roman" w:cs="Times New Roman"/>
          <w:sz w:val="18"/>
          <w:szCs w:val="18"/>
        </w:rPr>
      </w:pPr>
      <w:r w:rsidRPr="00D02DBE">
        <w:rPr>
          <w:rFonts w:ascii="Times New Roman" w:hAnsi="Times New Roman" w:cs="Times New Roman"/>
          <w:sz w:val="18"/>
          <w:szCs w:val="18"/>
        </w:rPr>
        <w:t>Where: B</w:t>
      </w:r>
      <w:r w:rsidRPr="00D02DBE">
        <w:rPr>
          <w:rFonts w:ascii="Times New Roman" w:hAnsi="Times New Roman" w:cs="Times New Roman"/>
          <w:sz w:val="18"/>
          <w:szCs w:val="18"/>
          <w:vertAlign w:val="subscript"/>
        </w:rPr>
        <w:t>1</w:t>
      </w:r>
      <w:r w:rsidRPr="00D02DBE">
        <w:rPr>
          <w:rFonts w:ascii="Times New Roman" w:hAnsi="Times New Roman" w:cs="Times New Roman"/>
          <w:sz w:val="18"/>
          <w:szCs w:val="18"/>
        </w:rPr>
        <w:t xml:space="preserve"> is the coefficient of interest, or the one capturing the interaction effect </w:t>
      </w:r>
      <w:r w:rsidR="008F03B2" w:rsidRPr="00D02DBE">
        <w:rPr>
          <w:rFonts w:ascii="Times New Roman" w:hAnsi="Times New Roman" w:cs="Times New Roman"/>
          <w:sz w:val="18"/>
          <w:szCs w:val="18"/>
        </w:rPr>
        <w:t>between treated</w:t>
      </w:r>
      <w:r w:rsidRPr="00D02DBE">
        <w:rPr>
          <w:rFonts w:ascii="Times New Roman" w:hAnsi="Times New Roman" w:cs="Times New Roman"/>
          <w:sz w:val="18"/>
          <w:szCs w:val="18"/>
        </w:rPr>
        <w:t xml:space="preserve"> district and the eligibility status, also λs*eligibility_status represents state-specific time trends. Eligibility status is a woman of Age 21 or above who gave birth to her first child between 2012-2016 or a woman who gave birth to her second child during this same time period. Ineligibility is correspondingly, a woman of the same age who gave birth to either her first or second child between 2005-2009. This gives me a sample of four years both ways. Individual level controls include woman’s/man’s age, square of woman’s/man’s age, woman’s/man’s education, woman’s/man’s height and weights, age of woman at the first marriage, relative education of woman with respect to husband, husband’s education, and frequency of alcohol consumption by husband/partner. Household level controls include age of household head, sex of the household head, number of members in the household, number of children below 5 years in the household, household’s wealth index within a state, urban/rural residence, whether the household belongs to the SC (which in the DHS is coded as ethnicity), whether the household is poor in terms of the wealth index in the NHFS sample, household’s relative wealth based on the assets owned.</w:t>
      </w:r>
    </w:p>
    <w:p w:rsidR="00830F1E" w:rsidRPr="00D02DBE" w:rsidRDefault="00E15FBF">
      <w:pPr>
        <w:pStyle w:val="BodyText"/>
        <w:rPr>
          <w:rFonts w:ascii="Times New Roman" w:hAnsi="Times New Roman" w:cs="Times New Roman"/>
          <w:sz w:val="18"/>
          <w:szCs w:val="18"/>
        </w:rPr>
      </w:pPr>
      <w:r w:rsidRPr="00D02DBE">
        <w:rPr>
          <w:rFonts w:ascii="Times New Roman" w:hAnsi="Times New Roman" w:cs="Times New Roman"/>
          <w:sz w:val="18"/>
          <w:szCs w:val="18"/>
        </w:rPr>
        <w:lastRenderedPageBreak/>
        <w:t>Empowerment in this thesis would be looked at through various lenses, including decision-making, economic, sexual and reproductive rights and physical mobility. Accordingly, the outcomes looked at include woman’s participation in decision making regarding various decisions in the household and with regard to her own mobility, women’s economic means, healthcare practises and reproductive rights, in addition to her own attitudes towards violence. As established earlier in the introduction and literature review, an important key component of women’s empowerment is the attitude of men. Subsequently, outcomes with regards to this include men’s attitudes towards decision-making, violence and women’s health.</w:t>
      </w:r>
    </w:p>
    <w:p w:rsidR="00830F1E" w:rsidRPr="00D02DBE" w:rsidRDefault="00E15FBF">
      <w:pPr>
        <w:pStyle w:val="BodyText"/>
        <w:rPr>
          <w:rFonts w:ascii="Times New Roman" w:hAnsi="Times New Roman" w:cs="Times New Roman"/>
          <w:sz w:val="18"/>
          <w:szCs w:val="18"/>
        </w:rPr>
      </w:pPr>
      <w:r w:rsidRPr="00D02DBE">
        <w:rPr>
          <w:rFonts w:ascii="Times New Roman" w:hAnsi="Times New Roman" w:cs="Times New Roman"/>
          <w:sz w:val="18"/>
          <w:szCs w:val="18"/>
        </w:rPr>
        <w:t xml:space="preserve">The following is a Balance Table </w:t>
      </w:r>
      <w:r w:rsidR="008F03B2" w:rsidRPr="00D02DBE">
        <w:rPr>
          <w:rFonts w:ascii="Times New Roman" w:hAnsi="Times New Roman" w:cs="Times New Roman"/>
          <w:sz w:val="18"/>
          <w:szCs w:val="18"/>
        </w:rPr>
        <w:t xml:space="preserve">between control and treated districts, for women who had children in the pre-intervention (i.e. before 2011). We would be here looking for differences between the two groups. </w:t>
      </w:r>
    </w:p>
    <w:tbl>
      <w:tblPr>
        <w:tblStyle w:val="Table"/>
        <w:tblW w:w="0" w:type="auto"/>
        <w:jc w:val="center"/>
        <w:tblCellMar>
          <w:left w:w="60" w:type="dxa"/>
          <w:right w:w="60" w:type="dxa"/>
        </w:tblCellMar>
        <w:tblLook w:val="0000" w:firstRow="0" w:lastRow="0" w:firstColumn="0" w:lastColumn="0" w:noHBand="0" w:noVBand="0"/>
      </w:tblPr>
      <w:tblGrid>
        <w:gridCol w:w="4880"/>
        <w:gridCol w:w="2268"/>
        <w:gridCol w:w="2268"/>
        <w:gridCol w:w="2138"/>
        <w:gridCol w:w="2138"/>
      </w:tblGrid>
      <w:tr w:rsidR="00D02DBE" w:rsidRPr="00D02DBE" w:rsidTr="00830F1E">
        <w:trPr>
          <w:gridAfter w:val="1"/>
          <w:cantSplit/>
          <w:tblHeader/>
          <w:jc w:val="center"/>
        </w:trPr>
        <w:tc>
          <w:tcPr>
            <w:tcW w:w="0" w:type="auto"/>
            <w:tcBorders>
              <w:top w:val="single" w:sz="16" w:space="0" w:color="D3D3D3"/>
              <w:left w:val="single" w:sz="0" w:space="0" w:color="D3D3D3"/>
              <w:bottom w:val="single" w:sz="16"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b/>
                <w:sz w:val="18"/>
                <w:szCs w:val="18"/>
              </w:rPr>
              <w:lastRenderedPageBreak/>
              <w:t>Characteristic</w:t>
            </w:r>
          </w:p>
        </w:tc>
        <w:tc>
          <w:tcPr>
            <w:tcW w:w="0" w:type="auto"/>
            <w:tcBorders>
              <w:top w:val="single" w:sz="16" w:space="0" w:color="D3D3D3"/>
              <w:bottom w:val="single" w:sz="16" w:space="0" w:color="D3D3D3"/>
            </w:tcBorders>
          </w:tcPr>
          <w:p w:rsidR="00D02DBE" w:rsidRPr="00D02DBE" w:rsidRDefault="00D02DBE">
            <w:pPr>
              <w:keepNext/>
              <w:spacing w:after="60"/>
              <w:jc w:val="center"/>
              <w:rPr>
                <w:rFonts w:ascii="Times New Roman" w:hAnsi="Times New Roman" w:cs="Times New Roman"/>
                <w:b/>
                <w:sz w:val="18"/>
                <w:szCs w:val="18"/>
              </w:rPr>
            </w:pPr>
            <w:r w:rsidRPr="00D02DBE">
              <w:rPr>
                <w:rFonts w:ascii="Times New Roman" w:hAnsi="Times New Roman" w:cs="Times New Roman"/>
                <w:b/>
                <w:sz w:val="18"/>
                <w:szCs w:val="18"/>
              </w:rPr>
              <w:t>Control District</w:t>
            </w:r>
          </w:p>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N = 66,094</w:t>
            </w:r>
            <w:r w:rsidRPr="00D02DBE">
              <w:rPr>
                <w:rFonts w:ascii="Times New Roman" w:hAnsi="Times New Roman" w:cs="Times New Roman"/>
                <w:i/>
                <w:sz w:val="18"/>
                <w:szCs w:val="18"/>
                <w:vertAlign w:val="superscript"/>
              </w:rPr>
              <w:t>1</w:t>
            </w:r>
          </w:p>
        </w:tc>
        <w:tc>
          <w:tcPr>
            <w:tcW w:w="0" w:type="auto"/>
            <w:tcBorders>
              <w:top w:val="single" w:sz="16" w:space="0" w:color="D3D3D3"/>
              <w:bottom w:val="single" w:sz="16" w:space="0" w:color="D3D3D3"/>
            </w:tcBorders>
          </w:tcPr>
          <w:p w:rsidR="00D02DBE" w:rsidRPr="00D02DBE" w:rsidRDefault="00D02DBE">
            <w:pPr>
              <w:keepNext/>
              <w:spacing w:after="60"/>
              <w:jc w:val="center"/>
              <w:rPr>
                <w:rFonts w:ascii="Times New Roman" w:hAnsi="Times New Roman" w:cs="Times New Roman"/>
                <w:b/>
                <w:sz w:val="18"/>
                <w:szCs w:val="18"/>
              </w:rPr>
            </w:pPr>
            <w:r w:rsidRPr="00D02DBE">
              <w:rPr>
                <w:rFonts w:ascii="Times New Roman" w:hAnsi="Times New Roman" w:cs="Times New Roman"/>
                <w:b/>
                <w:sz w:val="18"/>
                <w:szCs w:val="18"/>
              </w:rPr>
              <w:t xml:space="preserve">Treated District </w:t>
            </w:r>
          </w:p>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N = 3,464</w:t>
            </w:r>
            <w:r w:rsidRPr="00D02DBE">
              <w:rPr>
                <w:rFonts w:ascii="Times New Roman" w:hAnsi="Times New Roman" w:cs="Times New Roman"/>
                <w:i/>
                <w:sz w:val="18"/>
                <w:szCs w:val="18"/>
                <w:vertAlign w:val="superscript"/>
              </w:rPr>
              <w:t>1</w:t>
            </w:r>
          </w:p>
        </w:tc>
        <w:tc>
          <w:tcPr>
            <w:tcW w:w="0" w:type="auto"/>
            <w:tcBorders>
              <w:top w:val="single" w:sz="16" w:space="0" w:color="D3D3D3"/>
              <w:bottom w:val="single" w:sz="16"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b/>
                <w:sz w:val="18"/>
                <w:szCs w:val="18"/>
              </w:rPr>
              <w:t>p-value</w:t>
            </w:r>
            <w:r w:rsidRPr="00D02DBE">
              <w:rPr>
                <w:rFonts w:ascii="Times New Roman" w:hAnsi="Times New Roman" w:cs="Times New Roman"/>
                <w:i/>
                <w:sz w:val="18"/>
                <w:szCs w:val="18"/>
                <w:vertAlign w:val="superscript"/>
              </w:rPr>
              <w:t>2</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person who usually decides how to spend respondent's earnings</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0.461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person who usually decides on respondent's health care</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0.002</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person who usually decides on large household purchases</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&lt;0.001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person who usually decides on visits to family or relatives</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0.035</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person who usually decides what to do with money husband earns</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&lt;0.001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ethnicity</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&lt;0.001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number of household members (listed)</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5.39 (2.45)</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5.48 (2.19)</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0.137</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number of children 5 and under in household (de jure)</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&lt;0.001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sex of household head</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0.304</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age of household head</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49 (13)</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51 (13)</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&lt;0.001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household has: electricity</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&lt;0.001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household has: radio</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&lt;0.001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household has: television</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&lt;0.001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household has: refrigerator</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&lt;0.001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household has: bicycle</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0.006</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household has: motorcycle/scooter</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&lt;0.001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household has: car/truck</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&lt;0.001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wealth index combined</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&lt;0.001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wealth index within state</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0.033</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respondent's current age</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30 (10)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31 (10)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&lt;0.001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Square of Women's Age</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1,026 (632)</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1,065 (623)</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&lt;0.001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education in single years</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7.5 (5.2)</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9.6 (4.9)</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&lt;0.001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Weight (kg)</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51 (11)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58 (13)</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&lt;0.001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Height (cm)</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151.6 (6.4)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154.1 (6.0)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&lt;0.001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age at first cohabitation</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18.5 (3.9)</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20.5 (4.0)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&lt;0.001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husband/partner drinks alcohol</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1,635 (28%)</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77 (27%)</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0.790</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total children ever born</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1.73 (1.59)</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1.52 (1.40)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&lt;0.001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husband/partner's total number of years of education</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7.8 (5.1)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9.2 (4.9)</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0.007</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respondent currently working</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2,298 (24%)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103 (19%)</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0.063</w:t>
            </w:r>
          </w:p>
        </w:tc>
      </w:tr>
      <w:tr w:rsidR="00D02DBE" w:rsidRPr="00D02DBE" w:rsidTr="00830F1E">
        <w:trPr>
          <w:gridAfter w:val="1"/>
          <w:cantSplit/>
          <w:tblHeader/>
          <w:jc w:val="center"/>
        </w:trPr>
        <w:tc>
          <w:tcPr>
            <w:tcW w:w="0" w:type="auto"/>
            <w:tcBorders>
              <w:top w:val="single" w:sz="16" w:space="0" w:color="D3D3D3"/>
              <w:left w:val="single" w:sz="0" w:space="0" w:color="D3D3D3"/>
              <w:bottom w:val="single" w:sz="16"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b/>
                <w:sz w:val="18"/>
                <w:szCs w:val="18"/>
              </w:rPr>
              <w:t>Characteristic</w:t>
            </w:r>
          </w:p>
        </w:tc>
        <w:tc>
          <w:tcPr>
            <w:tcW w:w="0" w:type="auto"/>
            <w:tcBorders>
              <w:top w:val="single" w:sz="16" w:space="0" w:color="D3D3D3"/>
              <w:bottom w:val="single" w:sz="16"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b/>
                <w:sz w:val="18"/>
                <w:szCs w:val="18"/>
              </w:rPr>
              <w:t>Treated District × Ineligible</w:t>
            </w:r>
            <w:r w:rsidRPr="00D02DBE">
              <w:rPr>
                <w:rFonts w:ascii="Times New Roman" w:hAnsi="Times New Roman" w:cs="Times New Roman"/>
                <w:sz w:val="18"/>
                <w:szCs w:val="18"/>
              </w:rPr>
              <w:t xml:space="preserve"> </w:t>
            </w:r>
          </w:p>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N = 16307</w:t>
            </w:r>
            <w:r w:rsidRPr="00D02DBE">
              <w:rPr>
                <w:rFonts w:ascii="Times New Roman" w:hAnsi="Times New Roman" w:cs="Times New Roman"/>
                <w:i/>
                <w:sz w:val="18"/>
                <w:szCs w:val="18"/>
                <w:vertAlign w:val="superscript"/>
              </w:rPr>
              <w:t>1</w:t>
            </w:r>
          </w:p>
        </w:tc>
        <w:tc>
          <w:tcPr>
            <w:tcW w:w="0" w:type="auto"/>
            <w:tcBorders>
              <w:top w:val="single" w:sz="16" w:space="0" w:color="D3D3D3"/>
              <w:bottom w:val="single" w:sz="16"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b/>
                <w:sz w:val="18"/>
                <w:szCs w:val="18"/>
              </w:rPr>
              <w:t>Control District × Eligible</w:t>
            </w:r>
            <w:r w:rsidRPr="00D02DBE">
              <w:rPr>
                <w:rFonts w:ascii="Times New Roman" w:hAnsi="Times New Roman" w:cs="Times New Roman"/>
                <w:sz w:val="18"/>
                <w:szCs w:val="18"/>
              </w:rPr>
              <w:t xml:space="preserve"> </w:t>
            </w:r>
          </w:p>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N = 649</w:t>
            </w:r>
            <w:r w:rsidRPr="00D02DBE">
              <w:rPr>
                <w:rFonts w:ascii="Times New Roman" w:hAnsi="Times New Roman" w:cs="Times New Roman"/>
                <w:i/>
                <w:sz w:val="18"/>
                <w:szCs w:val="18"/>
                <w:vertAlign w:val="superscript"/>
              </w:rPr>
              <w:t>1</w:t>
            </w:r>
          </w:p>
        </w:tc>
        <w:tc>
          <w:tcPr>
            <w:tcW w:w="0" w:type="auto"/>
            <w:tcBorders>
              <w:top w:val="single" w:sz="16" w:space="0" w:color="D3D3D3"/>
              <w:bottom w:val="single" w:sz="16"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b/>
                <w:sz w:val="18"/>
                <w:szCs w:val="18"/>
              </w:rPr>
              <w:t>Treated District × Eligible</w:t>
            </w:r>
            <w:r w:rsidRPr="00D02DBE">
              <w:rPr>
                <w:rFonts w:ascii="Times New Roman" w:hAnsi="Times New Roman" w:cs="Times New Roman"/>
                <w:sz w:val="18"/>
                <w:szCs w:val="18"/>
              </w:rPr>
              <w:t xml:space="preserve"> </w:t>
            </w:r>
          </w:p>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N = 915</w:t>
            </w:r>
            <w:r w:rsidRPr="00D02DBE">
              <w:rPr>
                <w:rFonts w:ascii="Times New Roman" w:hAnsi="Times New Roman" w:cs="Times New Roman"/>
                <w:i/>
                <w:sz w:val="18"/>
                <w:szCs w:val="18"/>
                <w:vertAlign w:val="superscript"/>
              </w:rPr>
              <w:t>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lastRenderedPageBreak/>
              <w:t>respondent's current age</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29.949 (5.216)</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38.887 (4.377)</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32.005 (4.951)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Square of Women's Age</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924.133 (333.653)</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1,531.333 (344.042)</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1,048.804 (331.550)</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education in single years</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7.082 (5.231)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7.840 (5.346)</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9.296 (4.946)</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Weight (kg)</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51.693 (10.677)</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62.471 (12.867)</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58.748 (11.971)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Height (cm)</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151.627 (6.375)</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153.765 (5.724)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153.872 (5.860)</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age at first cohabitation</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18.773 (3.689)</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19.676 (3.653)</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20.696 (3.842)</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husband/partner drinks alcohol</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533 (28%)</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20 (35%)</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25 (26%)</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total children ever born</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2.547 (1.284)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2.635 (1.094)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2.312 (1.005)</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husband/partner's total number of years of education</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8.025 (5.022)</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7.579 (4.344)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10.206 (4.363)</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respondent currently working</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537 (23%)</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20 (26%)</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20 (19%)</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ethnicity</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caste</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13,158 (84%)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484 (98%)</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704 (97%)</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tribe</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1,537 (9.8%)</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3 (0.5%)</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6 (0.9%)</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no caste / tribe</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784 (5.0%)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3 (0.7%)</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9 (1.3%)</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don't know</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175 (1.1%)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 (0.3%)</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4 (0.6%)</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number of household members (listed)</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5.920 (2.531)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5.354 (1.940)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5.926 (2.227)</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number of children 5 and under in household (de jure)</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4,514 (29%)</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453 (92%)</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279 (38%)</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6,562 (42%)</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29 (6.0%)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305 (42%)</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2</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3,691 (24%)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8 (1.6%)</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123 (17%)</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3</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675 (4.3%)</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 (0.3%)</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16 (2.3%)</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139 (0.9%)</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0 (0%)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 (0.2%)</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5</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60 (0.4%)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0 (0%)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0 (0%)</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b/>
                <w:sz w:val="18"/>
                <w:szCs w:val="18"/>
              </w:rPr>
              <w:t>Characteristic</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b/>
                <w:sz w:val="18"/>
                <w:szCs w:val="18"/>
              </w:rPr>
              <w:t>Treated District × Ineligible</w:t>
            </w:r>
            <w:r w:rsidRPr="00D02DBE">
              <w:rPr>
                <w:rFonts w:ascii="Times New Roman" w:hAnsi="Times New Roman" w:cs="Times New Roman"/>
                <w:sz w:val="18"/>
                <w:szCs w:val="18"/>
              </w:rPr>
              <w:t xml:space="preserve"> </w:t>
            </w:r>
          </w:p>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N = 16307</w:t>
            </w:r>
            <w:r w:rsidRPr="00D02DBE">
              <w:rPr>
                <w:rFonts w:ascii="Times New Roman" w:hAnsi="Times New Roman" w:cs="Times New Roman"/>
                <w:i/>
                <w:sz w:val="18"/>
                <w:szCs w:val="18"/>
                <w:vertAlign w:val="superscript"/>
              </w:rPr>
              <w:t>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b/>
                <w:sz w:val="18"/>
                <w:szCs w:val="18"/>
              </w:rPr>
              <w:t>Control District × Eligible</w:t>
            </w:r>
            <w:r w:rsidRPr="00D02DBE">
              <w:rPr>
                <w:rFonts w:ascii="Times New Roman" w:hAnsi="Times New Roman" w:cs="Times New Roman"/>
                <w:sz w:val="18"/>
                <w:szCs w:val="18"/>
              </w:rPr>
              <w:t xml:space="preserve"> </w:t>
            </w:r>
          </w:p>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N = 649</w:t>
            </w:r>
            <w:r w:rsidRPr="00D02DBE">
              <w:rPr>
                <w:rFonts w:ascii="Times New Roman" w:hAnsi="Times New Roman" w:cs="Times New Roman"/>
                <w:i/>
                <w:sz w:val="18"/>
                <w:szCs w:val="18"/>
                <w:vertAlign w:val="superscript"/>
              </w:rPr>
              <w:t>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b/>
                <w:sz w:val="18"/>
                <w:szCs w:val="18"/>
              </w:rPr>
              <w:t>Treated District × Eligible</w:t>
            </w:r>
            <w:r w:rsidRPr="00D02DBE">
              <w:rPr>
                <w:rFonts w:ascii="Times New Roman" w:hAnsi="Times New Roman" w:cs="Times New Roman"/>
                <w:sz w:val="18"/>
                <w:szCs w:val="18"/>
              </w:rPr>
              <w:t xml:space="preserve"> </w:t>
            </w:r>
          </w:p>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N = 915</w:t>
            </w:r>
            <w:r w:rsidRPr="00D02DBE">
              <w:rPr>
                <w:rFonts w:ascii="Times New Roman" w:hAnsi="Times New Roman" w:cs="Times New Roman"/>
                <w:i/>
                <w:sz w:val="18"/>
                <w:szCs w:val="18"/>
                <w:vertAlign w:val="superscript"/>
              </w:rPr>
              <w:t>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sex of household head</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13,128 (84%)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413 (84%)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623 (86%)</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2</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2,527 (16%)</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79 (16%)</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101 (14%)</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age of household head</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45.545 (14.770)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49.292 (12.385)</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49.113 (15.511)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household has: electricity</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554 (3.5%)</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0 (&lt;0.1%)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 (0.2%)</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lastRenderedPageBreak/>
              <w:t>    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14,566 (93%)</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485 (99%)</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704 (97%)</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7</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535 (3.4%)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 (1.4%)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18 (2.5%)</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household has: radio</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14,552 (93%)</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460 (94%)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659 (91%)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568 (3.6%)</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25 (5.0%)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46 (6.4%)</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7</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535 (3.4%)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 (1.4%)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18 (2.5%)</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household has: television</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5,670 (36%)</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30 (6.1%)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54 (7.4%)</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9,450 (60%)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455 (92%)</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652 (90%)</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7</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535 (3.4%)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 (1.4%)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18 (2.5%)</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household has: refrigerator</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10,171 (65%)</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66 (13%)</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107 (15%)</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4,949 (32%)</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419 (85%)</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599 (83%)</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7</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535 (3.4%)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 (1.4%)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18 (2.5%)</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household has: bicycle</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6,903 (44%)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192 (39%)</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274 (38%)</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8,217 (52%)</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293 (59%)</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432 (60%)</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7</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535 (3.4%)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 (1.4%)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18 (2.5%)</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household has: motorcycle/scooter</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7,493 (48%)</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147 (30%)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187 (26%)</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7,627 (49%)</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337 (69%)</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519 (72%)</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7</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535 (3.4%)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 (1.4%)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18 (2.5%)</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household has: car/truck</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13,888 (89%)</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377 (77%)</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554 (77%)</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1,232 (7.9%)</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108 (22%)</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151 (21%)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7</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535 (3.4%)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 (1.4%)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18 (2.5%)</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wealth index combined</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438 (26%)</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 (1.9%)</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 (1.1%)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2</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324 (19%)</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4 (9.1%)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3 (3.9%)</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3</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310 (18%)</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6 (13%)</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8 (10%)</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328 (19%)</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8 (18%)</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13 (17%)</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lastRenderedPageBreak/>
              <w:t>    5</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306 (18%)</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26 (58%)</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53 (68%)</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wealth index within state</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419 (25%)</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8 (18%)</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8 (11%)</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2</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343 (20%)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9 (19%)</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8 (10%)</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3</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350 (21%)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12 (27%)</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21 (27%)</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4</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288 (17%)</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9 (21%)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21 (27%)</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5</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306 (18%)</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 (16%)</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19 (25%)</w:t>
            </w:r>
          </w:p>
        </w:tc>
      </w:tr>
      <w:tr w:rsidR="00D02DBE" w:rsidRPr="00D02DBE" w:rsidTr="00830F1E">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r>
      <w:tr w:rsidR="00D02DBE" w:rsidRPr="00D02DBE" w:rsidTr="00830F1E">
        <w:trPr>
          <w:cantSplit/>
          <w:tblHeader/>
          <w:jc w:val="center"/>
        </w:trPr>
        <w:tc>
          <w:tcPr>
            <w:tcW w:w="0" w:type="auto"/>
            <w:tcBorders>
              <w:top w:val="single" w:sz="16" w:space="0" w:color="D3D3D3"/>
              <w:left w:val="single" w:sz="0" w:space="0" w:color="D3D3D3"/>
              <w:bottom w:val="single" w:sz="16"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b/>
                <w:sz w:val="18"/>
                <w:szCs w:val="18"/>
              </w:rPr>
              <w:t>Characteristic</w:t>
            </w:r>
          </w:p>
        </w:tc>
        <w:tc>
          <w:tcPr>
            <w:tcW w:w="0" w:type="auto"/>
            <w:tcBorders>
              <w:top w:val="single" w:sz="16" w:space="0" w:color="D3D3D3"/>
              <w:bottom w:val="single" w:sz="16"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b/>
                <w:sz w:val="18"/>
                <w:szCs w:val="18"/>
              </w:rPr>
              <w:t>Control District × Ineligible</w:t>
            </w:r>
            <w:r w:rsidRPr="00D02DBE">
              <w:rPr>
                <w:rFonts w:ascii="Times New Roman" w:hAnsi="Times New Roman" w:cs="Times New Roman"/>
                <w:sz w:val="18"/>
                <w:szCs w:val="18"/>
              </w:rPr>
              <w:t xml:space="preserve"> </w:t>
            </w:r>
          </w:p>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N = 9786</w:t>
            </w:r>
            <w:r w:rsidRPr="00D02DBE">
              <w:rPr>
                <w:rFonts w:ascii="Times New Roman" w:hAnsi="Times New Roman" w:cs="Times New Roman"/>
                <w:i/>
                <w:sz w:val="18"/>
                <w:szCs w:val="18"/>
                <w:vertAlign w:val="superscript"/>
              </w:rPr>
              <w:t>1</w:t>
            </w:r>
          </w:p>
        </w:tc>
        <w:tc>
          <w:tcPr>
            <w:tcW w:w="0" w:type="auto"/>
            <w:tcBorders>
              <w:top w:val="single" w:sz="16" w:space="0" w:color="D3D3D3"/>
              <w:bottom w:val="single" w:sz="16"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b/>
                <w:sz w:val="18"/>
                <w:szCs w:val="18"/>
              </w:rPr>
              <w:t>Treated District × Ineligible</w:t>
            </w:r>
            <w:r w:rsidRPr="00D02DBE">
              <w:rPr>
                <w:rFonts w:ascii="Times New Roman" w:hAnsi="Times New Roman" w:cs="Times New Roman"/>
                <w:sz w:val="18"/>
                <w:szCs w:val="18"/>
              </w:rPr>
              <w:t xml:space="preserve"> </w:t>
            </w:r>
          </w:p>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N = 16307</w:t>
            </w:r>
            <w:r w:rsidRPr="00D02DBE">
              <w:rPr>
                <w:rFonts w:ascii="Times New Roman" w:hAnsi="Times New Roman" w:cs="Times New Roman"/>
                <w:i/>
                <w:sz w:val="18"/>
                <w:szCs w:val="18"/>
                <w:vertAlign w:val="superscript"/>
              </w:rPr>
              <w:t>1</w:t>
            </w:r>
          </w:p>
        </w:tc>
        <w:tc>
          <w:tcPr>
            <w:tcW w:w="0" w:type="auto"/>
            <w:tcBorders>
              <w:top w:val="single" w:sz="16" w:space="0" w:color="D3D3D3"/>
              <w:bottom w:val="single" w:sz="16"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b/>
                <w:sz w:val="18"/>
                <w:szCs w:val="18"/>
              </w:rPr>
              <w:t>Control District × Eligible</w:t>
            </w:r>
            <w:r w:rsidRPr="00D02DBE">
              <w:rPr>
                <w:rFonts w:ascii="Times New Roman" w:hAnsi="Times New Roman" w:cs="Times New Roman"/>
                <w:sz w:val="18"/>
                <w:szCs w:val="18"/>
              </w:rPr>
              <w:t xml:space="preserve"> </w:t>
            </w:r>
          </w:p>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N = 649</w:t>
            </w:r>
            <w:r w:rsidRPr="00D02DBE">
              <w:rPr>
                <w:rFonts w:ascii="Times New Roman" w:hAnsi="Times New Roman" w:cs="Times New Roman"/>
                <w:i/>
                <w:sz w:val="18"/>
                <w:szCs w:val="18"/>
                <w:vertAlign w:val="superscript"/>
              </w:rPr>
              <w:t>1</w:t>
            </w:r>
          </w:p>
        </w:tc>
        <w:tc>
          <w:tcPr>
            <w:tcW w:w="0" w:type="auto"/>
            <w:tcBorders>
              <w:top w:val="single" w:sz="16" w:space="0" w:color="D3D3D3"/>
              <w:bottom w:val="single" w:sz="16"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b/>
                <w:sz w:val="18"/>
                <w:szCs w:val="18"/>
              </w:rPr>
              <w:t>Treated District × Eligible</w:t>
            </w:r>
            <w:r w:rsidRPr="00D02DBE">
              <w:rPr>
                <w:rFonts w:ascii="Times New Roman" w:hAnsi="Times New Roman" w:cs="Times New Roman"/>
                <w:sz w:val="18"/>
                <w:szCs w:val="18"/>
              </w:rPr>
              <w:t xml:space="preserve"> </w:t>
            </w:r>
          </w:p>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N = 915</w:t>
            </w:r>
            <w:r w:rsidRPr="00D02DBE">
              <w:rPr>
                <w:rFonts w:ascii="Times New Roman" w:hAnsi="Times New Roman" w:cs="Times New Roman"/>
                <w:i/>
                <w:sz w:val="18"/>
                <w:szCs w:val="18"/>
                <w:vertAlign w:val="superscript"/>
              </w:rPr>
              <w:t>1</w:t>
            </w:r>
          </w:p>
        </w:tc>
      </w:tr>
      <w:tr w:rsidR="00D02DBE" w:rsidRPr="00D02DBE" w:rsidTr="00830F1E">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number of wives/partners</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p>
        </w:tc>
      </w:tr>
      <w:tr w:rsidR="00D02DBE" w:rsidRPr="00D02DBE" w:rsidTr="00830F1E">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 (0.2%)</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3 (0.2%)</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0 (0%)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0 (0%)</w:t>
            </w:r>
          </w:p>
        </w:tc>
      </w:tr>
      <w:tr w:rsidR="00D02DBE" w:rsidRPr="00D02DBE" w:rsidTr="00830F1E">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1</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1,239 (99%)</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1,985 (100%)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26 (100%)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44 (100%)</w:t>
            </w:r>
          </w:p>
        </w:tc>
      </w:tr>
      <w:tr w:rsidR="00D02DBE" w:rsidRPr="00D02DBE" w:rsidTr="00830F1E">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    2</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12 (1.0%)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 (0.3%)</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0 (0%)</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0 (0%)</w:t>
            </w:r>
          </w:p>
        </w:tc>
      </w:tr>
      <w:tr w:rsidR="00D02DBE" w:rsidRPr="00D02DBE" w:rsidTr="00830F1E">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total number of years of education</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6.872 (4.785)</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8.004 (4.976)</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7.942 (3.812)</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10.146 (4.086)</w:t>
            </w:r>
          </w:p>
        </w:tc>
      </w:tr>
      <w:tr w:rsidR="00D02DBE" w:rsidRPr="00D02DBE" w:rsidTr="00830F1E">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rPr>
                <w:rFonts w:ascii="Times New Roman" w:hAnsi="Times New Roman" w:cs="Times New Roman"/>
                <w:sz w:val="18"/>
                <w:szCs w:val="18"/>
              </w:rPr>
            </w:pPr>
            <w:r w:rsidRPr="00D02DBE">
              <w:rPr>
                <w:rFonts w:ascii="Times New Roman" w:hAnsi="Times New Roman" w:cs="Times New Roman"/>
                <w:sz w:val="18"/>
                <w:szCs w:val="18"/>
              </w:rPr>
              <w:t>age of respondent at 1st birth</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25.104 (4.878)</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26.171 (4.915)</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24.800 (4.712)</w:t>
            </w:r>
          </w:p>
        </w:tc>
        <w:tc>
          <w:tcPr>
            <w:tcW w:w="0" w:type="auto"/>
            <w:tcBorders>
              <w:top w:val="single" w:sz="0" w:space="0" w:color="D3D3D3"/>
              <w:left w:val="single" w:sz="0" w:space="0" w:color="D3D3D3"/>
              <w:bottom w:val="single" w:sz="0" w:space="0" w:color="D3D3D3"/>
              <w:right w:val="single" w:sz="0" w:space="0" w:color="D3D3D3"/>
            </w:tcBorders>
          </w:tcPr>
          <w:p w:rsidR="00D02DBE" w:rsidRPr="00D02DBE" w:rsidRDefault="00D02DBE" w:rsidP="00D02DBE">
            <w:pPr>
              <w:keepNext/>
              <w:spacing w:after="60"/>
              <w:jc w:val="center"/>
              <w:rPr>
                <w:rFonts w:ascii="Times New Roman" w:hAnsi="Times New Roman" w:cs="Times New Roman"/>
                <w:sz w:val="18"/>
                <w:szCs w:val="18"/>
              </w:rPr>
            </w:pPr>
            <w:r w:rsidRPr="00D02DBE">
              <w:rPr>
                <w:rFonts w:ascii="Times New Roman" w:hAnsi="Times New Roman" w:cs="Times New Roman"/>
                <w:sz w:val="18"/>
                <w:szCs w:val="18"/>
              </w:rPr>
              <w:t>26.958 (5.059)</w:t>
            </w:r>
          </w:p>
        </w:tc>
      </w:tr>
    </w:tbl>
    <w:p w:rsidR="00830F1E" w:rsidRPr="00D02DBE" w:rsidRDefault="00E15FBF">
      <w:pPr>
        <w:pStyle w:val="BodyText"/>
        <w:rPr>
          <w:rFonts w:ascii="Times New Roman" w:hAnsi="Times New Roman" w:cs="Times New Roman"/>
          <w:sz w:val="18"/>
          <w:szCs w:val="18"/>
        </w:rPr>
      </w:pPr>
      <w:r w:rsidRPr="00D02DBE">
        <w:rPr>
          <w:rFonts w:ascii="Times New Roman" w:hAnsi="Times New Roman" w:cs="Times New Roman"/>
          <w:sz w:val="18"/>
          <w:szCs w:val="18"/>
        </w:rPr>
        <w:t>The table above displays certain characteristics of men in the sample. These men are married, and matched to women in the sample.</w:t>
      </w:r>
    </w:p>
    <w:p w:rsidR="00830F1E" w:rsidRPr="00D02DBE" w:rsidRDefault="00E15FBF">
      <w:pPr>
        <w:pStyle w:val="BodyText"/>
        <w:rPr>
          <w:rFonts w:ascii="Times New Roman" w:hAnsi="Times New Roman" w:cs="Times New Roman"/>
          <w:sz w:val="18"/>
          <w:szCs w:val="18"/>
        </w:rPr>
      </w:pPr>
      <w:r w:rsidRPr="00D02DBE">
        <w:rPr>
          <w:rFonts w:ascii="Times New Roman" w:hAnsi="Times New Roman" w:cs="Times New Roman"/>
          <w:sz w:val="18"/>
          <w:szCs w:val="18"/>
        </w:rPr>
        <w:t>Regressions</w:t>
      </w:r>
    </w:p>
    <w:p w:rsidR="00830F1E" w:rsidRPr="00D02DBE" w:rsidRDefault="00E15FBF">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18"/>
          <w:szCs w:val="18"/>
        </w:rPr>
      </w:pPr>
      <w:r w:rsidRPr="00D02DBE">
        <w:rPr>
          <w:rFonts w:ascii="Times New Roman" w:hAnsi="Times New Roman" w:cs="Times New Roman"/>
          <w:sz w:val="18"/>
          <w:szCs w:val="18"/>
        </w:rPr>
        <w:t>Survey-Weighted DiD Results, No Controls</w:t>
      </w:r>
    </w:p>
    <w:tbl>
      <w:tblPr>
        <w:tblStyle w:val="Table"/>
        <w:tblpPr w:leftFromText="180" w:rightFromText="180" w:vertAnchor="text" w:tblpY="1"/>
        <w:tblOverlap w:val="never"/>
        <w:tblW w:w="18521" w:type="dxa"/>
        <w:tblLayout w:type="fixed"/>
        <w:tblLook w:val="0420" w:firstRow="1" w:lastRow="0" w:firstColumn="0" w:lastColumn="0" w:noHBand="0" w:noVBand="1"/>
      </w:tblPr>
      <w:tblGrid>
        <w:gridCol w:w="3651"/>
        <w:gridCol w:w="1793"/>
        <w:gridCol w:w="1181"/>
        <w:gridCol w:w="1793"/>
        <w:gridCol w:w="1181"/>
        <w:gridCol w:w="1793"/>
        <w:gridCol w:w="1181"/>
        <w:gridCol w:w="1793"/>
        <w:gridCol w:w="1181"/>
        <w:gridCol w:w="1793"/>
        <w:gridCol w:w="1181"/>
      </w:tblGrid>
      <w:tr w:rsidR="00830F1E" w:rsidRPr="00D02DBE" w:rsidTr="001A2861">
        <w:trPr>
          <w:cnfStyle w:val="100000000000" w:firstRow="1" w:lastRow="0" w:firstColumn="0" w:lastColumn="0" w:oddVBand="0" w:evenVBand="0" w:oddHBand="0" w:evenHBand="0" w:firstRowFirstColumn="0" w:firstRowLastColumn="0" w:lastRowFirstColumn="0" w:lastRowLastColumn="0"/>
          <w:tblHead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BC01A7">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BC01A7">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Own Earnings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BC01A7">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Own Healthcare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BC01A7" w:rsidP="00BC01A7">
            <w:pPr>
              <w:pBdr>
                <w:top w:val="none" w:sz="0" w:space="0" w:color="000000"/>
                <w:left w:val="none" w:sz="0" w:space="0" w:color="000000"/>
                <w:bottom w:val="none" w:sz="0" w:space="0" w:color="000000"/>
                <w:right w:val="none" w:sz="0" w:space="0" w:color="000000"/>
              </w:pBdr>
              <w:spacing w:before="40" w:after="40"/>
              <w:ind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           </w:t>
            </w:r>
            <w:r w:rsidR="00E15FBF" w:rsidRPr="00D02DBE">
              <w:rPr>
                <w:rFonts w:ascii="Times New Roman" w:eastAsia="Arial" w:hAnsi="Times New Roman" w:cs="Times New Roman"/>
                <w:color w:val="000000"/>
                <w:sz w:val="18"/>
                <w:szCs w:val="18"/>
              </w:rPr>
              <w:t>Large Purchases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BC01A7">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Visiting Family</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BC01A7">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Husband's Money</w:t>
            </w:r>
          </w:p>
        </w:tc>
      </w:tr>
      <w:tr w:rsidR="00830F1E" w:rsidRPr="00D02DBE" w:rsidTr="001A2861">
        <w:trPr>
          <w:cnfStyle w:val="100000000000" w:firstRow="1" w:lastRow="0" w:firstColumn="0" w:lastColumn="0" w:oddVBand="0" w:evenVBand="0" w:oddHBand="0" w:evenHBand="0" w:firstRowFirstColumn="0" w:firstRowLastColumn="0" w:lastRowFirstColumn="0" w:lastRowLastColumn="0"/>
          <w:tblHead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BC01A7">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Characteristic</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BC01A7">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BC01A7">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BC01A7">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BC01A7">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BC01A7">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BC01A7">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BC01A7">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BC01A7">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BC01A7">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BC01A7">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r>
      <w:tr w:rsidR="00830F1E" w:rsidRPr="00D02DBE" w:rsidTr="001A2861">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0.097 (0.070)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0.169</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0.154 (0.039)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&lt;0.001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0.123 (0.042)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0.003</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0.157 (0.039)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&lt;0.001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0.114 (0.046)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0.013</w:t>
            </w:r>
          </w:p>
        </w:tc>
      </w:tr>
      <w:tr w:rsidR="00830F1E" w:rsidRPr="00D02DBE" w:rsidTr="001A2861">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-0.088 (0.158)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0.575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-0.057 (0.097)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0.558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-0.045 (0.109)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0.680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0.002 (0.128)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0.990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-0.227 (0.087)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0.010</w:t>
            </w:r>
          </w:p>
        </w:tc>
      </w:tr>
      <w:tr w:rsidR="00830F1E" w:rsidRPr="00D02DBE" w:rsidTr="001A2861">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0.136 (0.288)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0.637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-0.025 (0.123)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0.840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-0.058 (0.133)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0.664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-0.116 (0.145)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0.424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0.020 (0.138)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0.882</w:t>
            </w:r>
          </w:p>
        </w:tc>
      </w:tr>
      <w:tr w:rsidR="00830F1E" w:rsidRPr="00D02DBE" w:rsidTr="001A2861">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1,126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4,005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4,005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4,005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3,955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rsidP="00BC01A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r>
      <w:tr w:rsidR="00830F1E" w:rsidRPr="00D02DBE" w:rsidTr="001A2861">
        <w:tc>
          <w:tcPr>
            <w:tcW w:w="18521" w:type="dxa"/>
            <w:gridSpan w:val="11"/>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vertAlign w:val="superscript"/>
              </w:rPr>
              <w:t>1</w:t>
            </w:r>
            <w:r w:rsidRPr="00D02DBE">
              <w:rPr>
                <w:rFonts w:ascii="Times New Roman" w:eastAsia="Arial" w:hAnsi="Times New Roman" w:cs="Times New Roman"/>
                <w:color w:val="000000"/>
                <w:sz w:val="18"/>
                <w:szCs w:val="18"/>
              </w:rPr>
              <w:t>Coefficients with standard errors in parentheses.</w:t>
            </w:r>
          </w:p>
        </w:tc>
      </w:tr>
      <w:tr w:rsidR="00830F1E" w:rsidRPr="00D02DBE" w:rsidTr="001A2861">
        <w:tc>
          <w:tcPr>
            <w:tcW w:w="18521" w:type="dxa"/>
            <w:gridSpan w:val="11"/>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rsidP="00BC01A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lastRenderedPageBreak/>
              <w:t>Abbreviations: CI = Confidence Interval, SE = Standard Error</w:t>
            </w:r>
          </w:p>
        </w:tc>
      </w:tr>
    </w:tbl>
    <w:p w:rsidR="00830F1E" w:rsidRPr="00D02DBE" w:rsidRDefault="00E15FBF">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18"/>
          <w:szCs w:val="18"/>
        </w:rPr>
      </w:pPr>
      <w:r w:rsidRPr="00D02DBE">
        <w:rPr>
          <w:rFonts w:ascii="Times New Roman" w:hAnsi="Times New Roman" w:cs="Times New Roman"/>
          <w:sz w:val="18"/>
          <w:szCs w:val="18"/>
        </w:rPr>
        <w:t xml:space="preserve">Survey-Weighted </w:t>
      </w:r>
      <w:proofErr w:type="spellStart"/>
      <w:r w:rsidRPr="00D02DBE">
        <w:rPr>
          <w:rFonts w:ascii="Times New Roman" w:hAnsi="Times New Roman" w:cs="Times New Roman"/>
          <w:sz w:val="18"/>
          <w:szCs w:val="18"/>
        </w:rPr>
        <w:t>DiD</w:t>
      </w:r>
      <w:proofErr w:type="spellEnd"/>
      <w:r w:rsidRPr="00D02DBE">
        <w:rPr>
          <w:rFonts w:ascii="Times New Roman" w:hAnsi="Times New Roman" w:cs="Times New Roman"/>
          <w:sz w:val="18"/>
          <w:szCs w:val="18"/>
        </w:rPr>
        <w:t xml:space="preserve"> Results, Controls</w:t>
      </w:r>
    </w:p>
    <w:tbl>
      <w:tblPr>
        <w:tblStyle w:val="Table"/>
        <w:tblW w:w="18447" w:type="dxa"/>
        <w:jc w:val="center"/>
        <w:tblLayout w:type="fixed"/>
        <w:tblLook w:val="0420" w:firstRow="1" w:lastRow="0" w:firstColumn="0" w:lastColumn="0" w:noHBand="0" w:noVBand="1"/>
      </w:tblPr>
      <w:tblGrid>
        <w:gridCol w:w="3651"/>
        <w:gridCol w:w="1719"/>
        <w:gridCol w:w="1181"/>
        <w:gridCol w:w="1793"/>
        <w:gridCol w:w="1181"/>
        <w:gridCol w:w="1793"/>
        <w:gridCol w:w="1181"/>
        <w:gridCol w:w="1793"/>
        <w:gridCol w:w="1181"/>
        <w:gridCol w:w="1793"/>
        <w:gridCol w:w="1181"/>
      </w:tblGrid>
      <w:tr w:rsidR="00830F1E" w:rsidRPr="00D02DBE" w:rsidTr="001A2861">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 </w:t>
            </w:r>
          </w:p>
        </w:tc>
        <w:tc>
          <w:tcPr>
            <w:tcW w:w="2900"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1A286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Own Earnings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1A286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Own Healthcare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1A286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Large Purchases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1A286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Visiting Family</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Husband's Money</w:t>
            </w:r>
          </w:p>
        </w:tc>
      </w:tr>
      <w:tr w:rsidR="00830F1E" w:rsidRPr="00D02DBE" w:rsidTr="001A2861">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Characteristic</w:t>
            </w:r>
            <w:r w:rsidRPr="00D02DBE">
              <w:rPr>
                <w:rFonts w:ascii="Times New Roman" w:eastAsia="Arial" w:hAnsi="Times New Roman" w:cs="Times New Roman"/>
                <w:color w:val="000000"/>
                <w:sz w:val="18"/>
                <w:szCs w:val="18"/>
                <w:vertAlign w:val="superscript"/>
              </w:rPr>
              <w:t>1</w:t>
            </w:r>
          </w:p>
        </w:tc>
        <w:tc>
          <w:tcPr>
            <w:tcW w:w="171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1A286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1A286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1A286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1A286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1A286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1A286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1A286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1A286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rsidP="00D02DBE">
            <w:pPr>
              <w:pBdr>
                <w:top w:val="none" w:sz="0" w:space="0" w:color="000000"/>
                <w:left w:val="none" w:sz="0" w:space="0" w:color="000000"/>
                <w:bottom w:val="none" w:sz="0" w:space="0" w:color="000000"/>
                <w:right w:val="none" w:sz="0" w:space="0" w:color="000000"/>
              </w:pBdr>
              <w:spacing w:before="40" w:after="40"/>
              <w:ind w:right="100"/>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r>
      <w:tr w:rsidR="00830F1E" w:rsidRPr="00D02DBE" w:rsidTr="001A2861">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w:t>
            </w:r>
          </w:p>
        </w:tc>
        <w:tc>
          <w:tcPr>
            <w:tcW w:w="171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0.052 (0.087)</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0.552</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0.087 (0.058)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0.135</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0.042 (0.057)</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0.459</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0.022 (0.055)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0.686</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-0.024 (0.059)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D02DB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0.686</w:t>
            </w:r>
          </w:p>
        </w:tc>
      </w:tr>
      <w:tr w:rsidR="00830F1E" w:rsidRPr="00D02DBE" w:rsidTr="001A2861">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Treated District</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0.030 (0.253)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0.907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-0.001 (0.118)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0.996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0.031 (0.133)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0.818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0.067 (0.155)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0.665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-0.148 (0.097)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D02DB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0.128</w:t>
            </w:r>
          </w:p>
        </w:tc>
      </w:tr>
      <w:tr w:rsidR="00830F1E" w:rsidRPr="00D02DBE" w:rsidTr="001A2861">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 * Treated District</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0.125 (0.347)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0.719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0.042 (0.147)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0.776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-0.061 (0.150)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0.687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-0.088 (0.176)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0.616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0.057 (0.153)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rsidP="00D02DB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0.709</w:t>
            </w:r>
          </w:p>
        </w:tc>
      </w:tr>
      <w:tr w:rsidR="00830F1E" w:rsidRPr="00D02DBE" w:rsidTr="001A2861">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No. Obs.</w:t>
            </w:r>
          </w:p>
        </w:tc>
        <w:tc>
          <w:tcPr>
            <w:tcW w:w="171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932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3,276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3,276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3,276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rsidP="001A286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3,233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r>
      <w:tr w:rsidR="00830F1E" w:rsidRPr="00D02DBE" w:rsidTr="001A2861">
        <w:trPr>
          <w:jc w:val="center"/>
        </w:trPr>
        <w:tc>
          <w:tcPr>
            <w:tcW w:w="18447" w:type="dxa"/>
            <w:gridSpan w:val="11"/>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vertAlign w:val="superscript"/>
              </w:rPr>
              <w:t>1</w:t>
            </w:r>
            <w:r w:rsidRPr="00D02DBE">
              <w:rPr>
                <w:rFonts w:ascii="Times New Roman" w:eastAsia="Arial" w:hAnsi="Times New Roman" w:cs="Times New Roman"/>
                <w:color w:val="000000"/>
                <w:sz w:val="18"/>
                <w:szCs w:val="18"/>
              </w:rPr>
              <w:t>Coefficients with standard errors in parentheses.</w:t>
            </w:r>
          </w:p>
        </w:tc>
      </w:tr>
      <w:tr w:rsidR="00830F1E" w:rsidRPr="00D02DBE" w:rsidTr="001A2861">
        <w:trPr>
          <w:jc w:val="center"/>
        </w:trPr>
        <w:tc>
          <w:tcPr>
            <w:tcW w:w="18447" w:type="dxa"/>
            <w:gridSpan w:val="11"/>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Abbreviations: CI = Confidence Interval, SE = Standard Error</w:t>
            </w:r>
          </w:p>
        </w:tc>
      </w:tr>
    </w:tbl>
    <w:p w:rsidR="00830F1E" w:rsidRPr="00D02DBE" w:rsidRDefault="00E15FBF">
      <w:pPr>
        <w:pStyle w:val="BodyText"/>
        <w:rPr>
          <w:rFonts w:ascii="Times New Roman" w:hAnsi="Times New Roman" w:cs="Times New Roman"/>
          <w:sz w:val="18"/>
          <w:szCs w:val="18"/>
        </w:rPr>
      </w:pPr>
      <w:r w:rsidRPr="00D02DBE">
        <w:rPr>
          <w:rFonts w:ascii="Times New Roman" w:hAnsi="Times New Roman" w:cs="Times New Roman"/>
          <w:sz w:val="18"/>
          <w:szCs w:val="18"/>
        </w:rPr>
        <w:t>These are my main results, the effect of eligibility interacted with treated district on decision-making at various household dimensions.</w:t>
      </w:r>
    </w:p>
    <w:p w:rsidR="00830F1E" w:rsidRPr="00D02DBE" w:rsidRDefault="00E15FBF">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18"/>
          <w:szCs w:val="18"/>
        </w:rPr>
      </w:pPr>
      <w:r w:rsidRPr="00D02DBE">
        <w:rPr>
          <w:rFonts w:ascii="Times New Roman" w:hAnsi="Times New Roman" w:cs="Times New Roman"/>
          <w:sz w:val="18"/>
          <w:szCs w:val="18"/>
        </w:rPr>
        <w:t>Survey-Weighted DiD Results, No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tblGrid>
      <w:tr w:rsidR="00830F1E" w:rsidRPr="00D02DB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Less Severe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Severe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Sexual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Afraid of Husband</w:t>
            </w:r>
          </w:p>
        </w:tc>
      </w:tr>
      <w:tr w:rsidR="00830F1E" w:rsidRPr="00D02DB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Characteristic</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r>
      <w:tr w:rsidR="00830F1E" w:rsidRPr="00D02DB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-0.070 (0.021)</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&lt;0.001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-0.036 (0.015)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0.018</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-0.004 (0.010)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0.696</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0.093 (0.040)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0.021</w:t>
            </w:r>
          </w:p>
        </w:tc>
      </w:tr>
      <w:tr w:rsidR="00830F1E" w:rsidRPr="00D02DB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-0.132 (0.057)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-0.053 (0.031)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0.090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-0.008 (0.036)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0.812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-0.186 (0.138)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0.179</w:t>
            </w:r>
          </w:p>
        </w:tc>
      </w:tr>
      <w:tr w:rsidR="00830F1E" w:rsidRPr="00D02DB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-0.015 (0.073)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0.834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0.012 (0.040)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0.768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-0.034 (0.037)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0.358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-0.080 (0.170)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0.639</w:t>
            </w:r>
          </w:p>
        </w:tc>
      </w:tr>
      <w:tr w:rsidR="00830F1E" w:rsidRPr="00D02DB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3,502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3,502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3,502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3,502</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r>
      <w:tr w:rsidR="00830F1E" w:rsidRPr="00D02DBE" w:rsidTr="00830F1E">
        <w:trPr>
          <w:jc w:val="center"/>
        </w:trPr>
        <w:tc>
          <w:tcPr>
            <w:tcW w:w="15547"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vertAlign w:val="superscript"/>
              </w:rPr>
              <w:t>1</w:t>
            </w:r>
            <w:r w:rsidRPr="00D02DBE">
              <w:rPr>
                <w:rFonts w:ascii="Times New Roman" w:eastAsia="Arial" w:hAnsi="Times New Roman" w:cs="Times New Roman"/>
                <w:color w:val="000000"/>
                <w:sz w:val="18"/>
                <w:szCs w:val="18"/>
              </w:rPr>
              <w:t>Coefficients with standard errors in parentheses.</w:t>
            </w:r>
          </w:p>
        </w:tc>
      </w:tr>
      <w:tr w:rsidR="00830F1E" w:rsidRPr="00D02DBE" w:rsidTr="00830F1E">
        <w:trPr>
          <w:jc w:val="center"/>
        </w:trPr>
        <w:tc>
          <w:tcPr>
            <w:tcW w:w="15547" w:type="dxa"/>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Abbreviations: CI = Confidence Interval, SE = Standard Error</w:t>
            </w:r>
          </w:p>
        </w:tc>
      </w:tr>
    </w:tbl>
    <w:p w:rsidR="00830F1E" w:rsidRPr="00D02DBE" w:rsidRDefault="00E15FBF">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18"/>
          <w:szCs w:val="18"/>
        </w:rPr>
      </w:pPr>
      <w:r w:rsidRPr="00D02DBE">
        <w:rPr>
          <w:rFonts w:ascii="Times New Roman" w:hAnsi="Times New Roman" w:cs="Times New Roman"/>
          <w:sz w:val="18"/>
          <w:szCs w:val="18"/>
        </w:rPr>
        <w:t>Survey-Weighted DiD Results,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tblGrid>
      <w:tr w:rsidR="00830F1E" w:rsidRPr="00D02DB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Less Severe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Severe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Sexual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Afraid of Husband</w:t>
            </w:r>
          </w:p>
        </w:tc>
      </w:tr>
      <w:tr w:rsidR="00830F1E" w:rsidRPr="00D02DB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Characteristic</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r>
      <w:tr w:rsidR="00830F1E" w:rsidRPr="00D02DB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highlight w:val="yellow"/>
              </w:rPr>
            </w:pPr>
            <w:r w:rsidRPr="00D02DBE">
              <w:rPr>
                <w:rFonts w:ascii="Times New Roman" w:eastAsia="Arial" w:hAnsi="Times New Roman" w:cs="Times New Roman"/>
                <w:color w:val="000000"/>
                <w:sz w:val="18"/>
                <w:szCs w:val="18"/>
                <w:highlight w:val="yellow"/>
              </w:rPr>
              <w:lastRenderedPageBreak/>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highlight w:val="yellow"/>
              </w:rPr>
            </w:pPr>
            <w:r w:rsidRPr="00D02DBE">
              <w:rPr>
                <w:rFonts w:ascii="Times New Roman" w:eastAsia="Arial" w:hAnsi="Times New Roman" w:cs="Times New Roman"/>
                <w:color w:val="000000"/>
                <w:sz w:val="18"/>
                <w:szCs w:val="18"/>
                <w:highlight w:val="yellow"/>
              </w:rPr>
              <w:t>-0.075 (0.026)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highlight w:val="yellow"/>
              </w:rPr>
            </w:pPr>
            <w:r w:rsidRPr="00D02DBE">
              <w:rPr>
                <w:rFonts w:ascii="Times New Roman" w:eastAsia="Arial" w:hAnsi="Times New Roman" w:cs="Times New Roman"/>
                <w:color w:val="000000"/>
                <w:sz w:val="18"/>
                <w:szCs w:val="18"/>
                <w:highlight w:val="yellow"/>
              </w:rPr>
              <w:t>0.004</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-0.044 (0.024)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highlight w:val="yellow"/>
              </w:rPr>
              <w:t>0.063</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-0.017 (0.015)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0.243</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0.065 (0.054)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0.227</w:t>
            </w:r>
          </w:p>
        </w:tc>
      </w:tr>
      <w:tr w:rsidR="00830F1E" w:rsidRPr="00D02DB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highlight w:val="yellow"/>
              </w:rPr>
            </w:pPr>
            <w:r w:rsidRPr="00D02DBE">
              <w:rPr>
                <w:rFonts w:ascii="Times New Roman" w:eastAsia="Arial" w:hAnsi="Times New Roman" w:cs="Times New Roman"/>
                <w:color w:val="000000"/>
                <w:sz w:val="18"/>
                <w:szCs w:val="18"/>
                <w:highlight w:val="yellow"/>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highlight w:val="yellow"/>
              </w:rPr>
            </w:pPr>
            <w:r w:rsidRPr="00D02DBE">
              <w:rPr>
                <w:rFonts w:ascii="Times New Roman" w:eastAsia="Arial" w:hAnsi="Times New Roman" w:cs="Times New Roman"/>
                <w:color w:val="000000"/>
                <w:sz w:val="18"/>
                <w:szCs w:val="18"/>
                <w:highlight w:val="yellow"/>
              </w:rPr>
              <w:t>-0.104 (0.051)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highlight w:val="yellow"/>
              </w:rPr>
            </w:pPr>
            <w:r w:rsidRPr="00D02DBE">
              <w:rPr>
                <w:rFonts w:ascii="Times New Roman" w:eastAsia="Arial" w:hAnsi="Times New Roman" w:cs="Times New Roman"/>
                <w:color w:val="000000"/>
                <w:sz w:val="18"/>
                <w:szCs w:val="18"/>
                <w:highlight w:val="yellow"/>
              </w:rPr>
              <w:t>0.043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-0.050 (0.032)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0.127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0.003 (0.036)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0.938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-0.149 (0.145)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0.306</w:t>
            </w:r>
          </w:p>
        </w:tc>
      </w:tr>
      <w:tr w:rsidR="00830F1E" w:rsidRPr="00D02DB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-0.010 (0.068)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0.885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0.019 (0.037)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0.614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-0.034 (0.037)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0.352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-0.093 (0.172)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0.587</w:t>
            </w:r>
          </w:p>
        </w:tc>
      </w:tr>
      <w:tr w:rsidR="00830F1E" w:rsidRPr="00D02DB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3,402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3,402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3,402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3,402</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r>
      <w:tr w:rsidR="00830F1E" w:rsidRPr="00D02DBE" w:rsidTr="00830F1E">
        <w:trPr>
          <w:jc w:val="center"/>
        </w:trPr>
        <w:tc>
          <w:tcPr>
            <w:tcW w:w="15547"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vertAlign w:val="superscript"/>
              </w:rPr>
              <w:t>1</w:t>
            </w:r>
            <w:r w:rsidRPr="00D02DBE">
              <w:rPr>
                <w:rFonts w:ascii="Times New Roman" w:eastAsia="Arial" w:hAnsi="Times New Roman" w:cs="Times New Roman"/>
                <w:color w:val="000000"/>
                <w:sz w:val="18"/>
                <w:szCs w:val="18"/>
              </w:rPr>
              <w:t>Coefficients with standard errors in parentheses.</w:t>
            </w:r>
          </w:p>
        </w:tc>
      </w:tr>
      <w:tr w:rsidR="00830F1E" w:rsidRPr="00D02DBE" w:rsidTr="00830F1E">
        <w:trPr>
          <w:jc w:val="center"/>
        </w:trPr>
        <w:tc>
          <w:tcPr>
            <w:tcW w:w="15547" w:type="dxa"/>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Abbreviations: CI = Confidence Interval, SE = Standard Error</w:t>
            </w:r>
          </w:p>
        </w:tc>
      </w:tr>
    </w:tbl>
    <w:p w:rsidR="00830F1E" w:rsidRPr="00D02DBE" w:rsidRDefault="00E15FBF">
      <w:pPr>
        <w:pStyle w:val="BodyText"/>
        <w:rPr>
          <w:rFonts w:ascii="Times New Roman" w:hAnsi="Times New Roman" w:cs="Times New Roman"/>
          <w:sz w:val="18"/>
          <w:szCs w:val="18"/>
        </w:rPr>
      </w:pPr>
      <w:r w:rsidRPr="00D02DBE">
        <w:rPr>
          <w:rFonts w:ascii="Times New Roman" w:hAnsi="Times New Roman" w:cs="Times New Roman"/>
          <w:sz w:val="18"/>
          <w:szCs w:val="18"/>
        </w:rPr>
        <w:t>Of particular interest in my thesis is the attitude of men towards decision-making and IPV as well.</w:t>
      </w:r>
    </w:p>
    <w:p w:rsidR="00830F1E" w:rsidRPr="00D02DBE" w:rsidRDefault="00E15FBF">
      <w:pPr>
        <w:pStyle w:val="BodyText"/>
        <w:rPr>
          <w:rFonts w:ascii="Times New Roman" w:hAnsi="Times New Roman" w:cs="Times New Roman"/>
          <w:sz w:val="18"/>
          <w:szCs w:val="18"/>
        </w:rPr>
      </w:pPr>
      <w:r w:rsidRPr="00D02DBE">
        <w:rPr>
          <w:rFonts w:ascii="Times New Roman" w:hAnsi="Times New Roman" w:cs="Times New Roman"/>
          <w:sz w:val="18"/>
          <w:szCs w:val="18"/>
        </w:rPr>
        <w:t>Men’s Attitudes towards violence, and IPV, decision-making</w:t>
      </w:r>
    </w:p>
    <w:p w:rsidR="00830F1E" w:rsidRPr="00D02DBE" w:rsidRDefault="00E15FBF">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18"/>
          <w:szCs w:val="18"/>
        </w:rPr>
      </w:pPr>
      <w:r w:rsidRPr="00D02DBE">
        <w:rPr>
          <w:rFonts w:ascii="Times New Roman" w:hAnsi="Times New Roman" w:cs="Times New Roman"/>
          <w:sz w:val="18"/>
          <w:szCs w:val="18"/>
        </w:rPr>
        <w:t>Survey-Weighted DiD Results, No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gridCol w:w="1793"/>
        <w:gridCol w:w="1181"/>
        <w:gridCol w:w="1793"/>
        <w:gridCol w:w="1181"/>
        <w:gridCol w:w="1793"/>
        <w:gridCol w:w="1181"/>
      </w:tblGrid>
      <w:tr w:rsidR="00830F1E" w:rsidRPr="00D02DB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Refuse sex in case husband has sti</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Refuse sex in case husband has other women</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Refuse sex in case wife is tired</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Refuse sex: right to get angry</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Refuse sex: right to withhold financial means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Refuse sex: right to use force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Refuse sex, right to have sex with another woman</w:t>
            </w:r>
          </w:p>
        </w:tc>
      </w:tr>
      <w:tr w:rsidR="00071B5B" w:rsidRPr="00D02DB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Characteristic</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r>
      <w:tr w:rsidR="00737CE9" w:rsidRPr="00D02DB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-0.076 (0.076)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0.316</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-0.079 (0.066)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0.230</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-0.031 (0.044)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0.472</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-0.025 (0.042)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0.548</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-0.022 (0.045)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0.621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-0.019 (0.028)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0.500</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-0.007 (0.029)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0.814</w:t>
            </w:r>
          </w:p>
        </w:tc>
      </w:tr>
      <w:tr w:rsidR="00A901AE" w:rsidRPr="00D02DB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-0.113 (0.073)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0.122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-0.013 (0.072)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0.861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0.105 (0.064)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0.099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0.245 (0.107)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0.187 (0.094)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0.048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0.236 (0.096)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0.281 (0.097)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0.004</w:t>
            </w:r>
          </w:p>
        </w:tc>
      </w:tr>
      <w:tr w:rsidR="00A901AE" w:rsidRPr="00D02DB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0.046 (0.095)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0.630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0.046 (0.080)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0.564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-0.040 (0.069)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0.562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-0.057 (0.092)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0.535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-0.009 (0.101)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0.928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-0.009 (0.095)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0.925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-0.011 (0.095)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0.911</w:t>
            </w:r>
          </w:p>
        </w:tc>
      </w:tr>
      <w:tr w:rsidR="00737CE9" w:rsidRPr="00D02DB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3,146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3,146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3,146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3,146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r>
      <w:tr w:rsidR="00830F1E" w:rsidRPr="00D02DBE" w:rsidTr="00830F1E">
        <w:trPr>
          <w:jc w:val="center"/>
        </w:trPr>
        <w:tc>
          <w:tcPr>
            <w:tcW w:w="24469" w:type="dxa"/>
            <w:gridSpan w:val="1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vertAlign w:val="superscript"/>
              </w:rPr>
              <w:t>1</w:t>
            </w:r>
            <w:r w:rsidRPr="00D02DBE">
              <w:rPr>
                <w:rFonts w:ascii="Times New Roman" w:eastAsia="Arial" w:hAnsi="Times New Roman" w:cs="Times New Roman"/>
                <w:color w:val="000000"/>
                <w:sz w:val="18"/>
                <w:szCs w:val="18"/>
              </w:rPr>
              <w:t>Coefficients with standard errors in parentheses.</w:t>
            </w:r>
          </w:p>
        </w:tc>
      </w:tr>
      <w:tr w:rsidR="00830F1E" w:rsidRPr="00D02DBE" w:rsidTr="00830F1E">
        <w:trPr>
          <w:jc w:val="center"/>
        </w:trPr>
        <w:tc>
          <w:tcPr>
            <w:tcW w:w="24469" w:type="dxa"/>
            <w:gridSpan w:val="1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Abbreviations: CI = Confidence Interval, SE = Standard Error</w:t>
            </w:r>
          </w:p>
        </w:tc>
      </w:tr>
    </w:tbl>
    <w:p w:rsidR="00830F1E" w:rsidRPr="00D02DBE" w:rsidRDefault="00E15FBF">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18"/>
          <w:szCs w:val="18"/>
        </w:rPr>
      </w:pPr>
      <w:r w:rsidRPr="00D02DBE">
        <w:rPr>
          <w:rFonts w:ascii="Times New Roman" w:hAnsi="Times New Roman" w:cs="Times New Roman"/>
          <w:sz w:val="18"/>
          <w:szCs w:val="18"/>
        </w:rPr>
        <w:t>Survey-Weighted DiD Results, No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tblGrid>
      <w:tr w:rsidR="00830F1E" w:rsidRPr="00D02DB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Own Earnings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Healthcare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Large Purchases</w:t>
            </w:r>
          </w:p>
        </w:tc>
      </w:tr>
      <w:tr w:rsidR="00830F1E" w:rsidRPr="00D02DB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Characteristic</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r>
      <w:tr w:rsidR="00830F1E" w:rsidRPr="00D02DB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-0.059 (0.050)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0.239</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-0.010 (0.049)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0.844</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0.045 (0.054)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0.400</w:t>
            </w:r>
          </w:p>
        </w:tc>
      </w:tr>
      <w:tr w:rsidR="00830F1E" w:rsidRPr="00D02DB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lastRenderedPageBreak/>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0.155 (0.067)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0.077 (0.104)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0.462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-0.029 (0.084)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0.727</w:t>
            </w:r>
          </w:p>
        </w:tc>
      </w:tr>
      <w:tr w:rsidR="00830F1E" w:rsidRPr="00D02DB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0.051 (0.122)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0.676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-0.009 (0.139)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0.948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0.020 (0.111)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0.854</w:t>
            </w:r>
          </w:p>
        </w:tc>
      </w:tr>
      <w:tr w:rsidR="00830F1E" w:rsidRPr="00D02DB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3,110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3,140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3,140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r>
      <w:tr w:rsidR="00830F1E" w:rsidRPr="00D02DBE" w:rsidTr="00830F1E">
        <w:trPr>
          <w:jc w:val="center"/>
        </w:trPr>
        <w:tc>
          <w:tcPr>
            <w:tcW w:w="12573"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vertAlign w:val="superscript"/>
              </w:rPr>
              <w:t>1</w:t>
            </w:r>
            <w:r w:rsidRPr="00D02DBE">
              <w:rPr>
                <w:rFonts w:ascii="Times New Roman" w:eastAsia="Arial" w:hAnsi="Times New Roman" w:cs="Times New Roman"/>
                <w:color w:val="000000"/>
                <w:sz w:val="18"/>
                <w:szCs w:val="18"/>
              </w:rPr>
              <w:t>Coefficients with standard errors in parentheses.</w:t>
            </w:r>
          </w:p>
        </w:tc>
      </w:tr>
      <w:tr w:rsidR="00830F1E" w:rsidRPr="00D02DBE" w:rsidTr="00830F1E">
        <w:trPr>
          <w:jc w:val="center"/>
        </w:trPr>
        <w:tc>
          <w:tcPr>
            <w:tcW w:w="12573"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Abbreviations: CI = Confidence Interval, SE = Standard Error</w:t>
            </w:r>
          </w:p>
        </w:tc>
      </w:tr>
    </w:tbl>
    <w:p w:rsidR="00830F1E" w:rsidRPr="00D02DBE" w:rsidRDefault="00E15FBF">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18"/>
          <w:szCs w:val="18"/>
        </w:rPr>
      </w:pPr>
      <w:r w:rsidRPr="00D02DBE">
        <w:rPr>
          <w:rFonts w:ascii="Times New Roman" w:hAnsi="Times New Roman" w:cs="Times New Roman"/>
          <w:sz w:val="18"/>
          <w:szCs w:val="18"/>
        </w:rPr>
        <w:t>Survey-Weighted DiD Results, No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gridCol w:w="1793"/>
        <w:gridCol w:w="1181"/>
      </w:tblGrid>
      <w:tr w:rsidR="00830F1E" w:rsidRPr="00D02DB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Justified: wife goes out without telling</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Justified: wife neglects the children</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Justified: wife argues with husband</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Justified: wife refuses to have sex</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Justified: wife burns food</w:t>
            </w:r>
          </w:p>
        </w:tc>
      </w:tr>
      <w:tr w:rsidR="00830F1E" w:rsidRPr="00D02DB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Characteristic</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r>
      <w:tr w:rsidR="00830F1E" w:rsidRPr="00D02DB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-0.026 (0.034)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0.433</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-0.039 (0.039)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0.327</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-0.030 (0.030)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0.322</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-0.013 (0.026)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0.601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0.000 (0.025)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&gt;0.999</w:t>
            </w:r>
          </w:p>
        </w:tc>
      </w:tr>
      <w:tr w:rsidR="00830F1E" w:rsidRPr="00D02DB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-0.136 (0.061)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-0.262 (0.050)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&lt;0.001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-0.146 (0.055)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-0.091 (0.040)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-0.072 (0.045)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0.115</w:t>
            </w:r>
          </w:p>
        </w:tc>
      </w:tr>
      <w:tr w:rsidR="00830F1E" w:rsidRPr="00D02DB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0.190 (0.152)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0.211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0.071 (0.052)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0.170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0.047 (0.075)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0.536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0.091 (0.127)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0.474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-0.037 (0.044)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0.399</w:t>
            </w:r>
          </w:p>
        </w:tc>
      </w:tr>
      <w:tr w:rsidR="00830F1E" w:rsidRPr="00D02DB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3,146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3,146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3,146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3,146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r>
      <w:tr w:rsidR="00830F1E" w:rsidRPr="00D02DBE" w:rsidTr="00830F1E">
        <w:trPr>
          <w:jc w:val="center"/>
        </w:trPr>
        <w:tc>
          <w:tcPr>
            <w:tcW w:w="18521" w:type="dxa"/>
            <w:gridSpan w:val="11"/>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vertAlign w:val="superscript"/>
              </w:rPr>
              <w:t>1</w:t>
            </w:r>
            <w:r w:rsidRPr="00D02DBE">
              <w:rPr>
                <w:rFonts w:ascii="Times New Roman" w:eastAsia="Arial" w:hAnsi="Times New Roman" w:cs="Times New Roman"/>
                <w:color w:val="000000"/>
                <w:sz w:val="18"/>
                <w:szCs w:val="18"/>
              </w:rPr>
              <w:t>Coefficients with standard errors in parentheses.</w:t>
            </w:r>
          </w:p>
        </w:tc>
      </w:tr>
      <w:tr w:rsidR="00830F1E" w:rsidRPr="00D02DBE" w:rsidTr="00830F1E">
        <w:trPr>
          <w:jc w:val="center"/>
        </w:trPr>
        <w:tc>
          <w:tcPr>
            <w:tcW w:w="18521" w:type="dxa"/>
            <w:gridSpan w:val="11"/>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Abbreviations: CI = Confidence Interval, SE = Standard Error</w:t>
            </w:r>
          </w:p>
        </w:tc>
      </w:tr>
    </w:tbl>
    <w:p w:rsidR="00830F1E" w:rsidRPr="00D02DBE" w:rsidRDefault="00E15FBF">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18"/>
          <w:szCs w:val="18"/>
        </w:rPr>
      </w:pPr>
      <w:r w:rsidRPr="00D02DBE">
        <w:rPr>
          <w:rFonts w:ascii="Times New Roman" w:hAnsi="Times New Roman" w:cs="Times New Roman"/>
          <w:sz w:val="18"/>
          <w:szCs w:val="18"/>
        </w:rPr>
        <w:t>Survey-Weighted DiD Results,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gridCol w:w="1793"/>
        <w:gridCol w:w="1181"/>
        <w:gridCol w:w="1793"/>
        <w:gridCol w:w="1181"/>
        <w:gridCol w:w="1793"/>
        <w:gridCol w:w="1181"/>
      </w:tblGrid>
      <w:tr w:rsidR="00830F1E" w:rsidRPr="00D02DB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Refuse sex in case husband has sti</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Refuse sex in case husband has other women</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Refuse sex in case wife is tired</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Refuse sex: right to get angry</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Refuse sex: right to withhold financial means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Refuse sex: right to use force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Refuse sex, right to have sex with another woman</w:t>
            </w:r>
          </w:p>
        </w:tc>
      </w:tr>
      <w:tr w:rsidR="00071B5B" w:rsidRPr="00D02DB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Characteristic</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r>
      <w:tr w:rsidR="00737CE9" w:rsidRPr="00D02DB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0.017 (0.090)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0.852</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-0.008 (0.074)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0.918</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-0.035 (0.038)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0.353</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0.008 (0.041)</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0.840</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0.013 (0.052)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0.801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0.000 (0.038)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0.998</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0.021 (0.028)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0.462</w:t>
            </w:r>
          </w:p>
        </w:tc>
      </w:tr>
      <w:tr w:rsidR="00A901AE" w:rsidRPr="00D02DB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-0.014 (0.075)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0.855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0.068 (0.076)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0.374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highlight w:val="yellow"/>
              </w:rPr>
            </w:pPr>
            <w:r w:rsidRPr="00D02DBE">
              <w:rPr>
                <w:rFonts w:ascii="Times New Roman" w:eastAsia="Arial" w:hAnsi="Times New Roman" w:cs="Times New Roman"/>
                <w:color w:val="000000"/>
                <w:sz w:val="18"/>
                <w:szCs w:val="18"/>
                <w:highlight w:val="yellow"/>
              </w:rPr>
              <w:t>0.128 (0.067)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highlight w:val="yellow"/>
              </w:rPr>
            </w:pPr>
            <w:r w:rsidRPr="00D02DBE">
              <w:rPr>
                <w:rFonts w:ascii="Times New Roman" w:eastAsia="Arial" w:hAnsi="Times New Roman" w:cs="Times New Roman"/>
                <w:color w:val="000000"/>
                <w:sz w:val="18"/>
                <w:szCs w:val="18"/>
                <w:highlight w:val="yellow"/>
              </w:rPr>
              <w:t>0.058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0.266 (0.113)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highlight w:val="yellow"/>
              </w:rPr>
            </w:pPr>
            <w:r w:rsidRPr="00D02DBE">
              <w:rPr>
                <w:rFonts w:ascii="Times New Roman" w:eastAsia="Arial" w:hAnsi="Times New Roman" w:cs="Times New Roman"/>
                <w:color w:val="000000"/>
                <w:sz w:val="18"/>
                <w:szCs w:val="18"/>
                <w:highlight w:val="yellow"/>
              </w:rPr>
              <w:t>0.277 (0.104)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highlight w:val="yellow"/>
              </w:rPr>
            </w:pPr>
            <w:r w:rsidRPr="00D02DBE">
              <w:rPr>
                <w:rFonts w:ascii="Times New Roman" w:eastAsia="Arial" w:hAnsi="Times New Roman" w:cs="Times New Roman"/>
                <w:color w:val="000000"/>
                <w:sz w:val="18"/>
                <w:szCs w:val="18"/>
                <w:highlight w:val="yellow"/>
              </w:rPr>
              <w:t>0.008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0.242 (0.098)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0.264 (0.099)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0.008</w:t>
            </w:r>
          </w:p>
        </w:tc>
      </w:tr>
      <w:tr w:rsidR="00A901AE" w:rsidRPr="00D02DB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0.009 (0.101)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0.927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0.027 (0.084)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0.746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-0.028 (0.064)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0.659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-0.065 (0.098)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0.508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-0.036 (0.115)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0.751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-0.013 (0.096)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0.895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-0.024 (0.093)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0.798</w:t>
            </w:r>
          </w:p>
        </w:tc>
      </w:tr>
      <w:tr w:rsidR="00737CE9" w:rsidRPr="00D02DB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lastRenderedPageBreak/>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2,935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2,935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2,935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2,935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r>
      <w:tr w:rsidR="00830F1E" w:rsidRPr="00D02DBE" w:rsidTr="00830F1E">
        <w:trPr>
          <w:jc w:val="center"/>
        </w:trPr>
        <w:tc>
          <w:tcPr>
            <w:tcW w:w="24469" w:type="dxa"/>
            <w:gridSpan w:val="1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vertAlign w:val="superscript"/>
              </w:rPr>
              <w:t>1</w:t>
            </w:r>
            <w:r w:rsidRPr="00D02DBE">
              <w:rPr>
                <w:rFonts w:ascii="Times New Roman" w:eastAsia="Arial" w:hAnsi="Times New Roman" w:cs="Times New Roman"/>
                <w:color w:val="000000"/>
                <w:sz w:val="18"/>
                <w:szCs w:val="18"/>
              </w:rPr>
              <w:t>Coefficients with standard errors in parentheses.</w:t>
            </w:r>
          </w:p>
        </w:tc>
      </w:tr>
      <w:tr w:rsidR="00830F1E" w:rsidRPr="00D02DBE" w:rsidTr="00830F1E">
        <w:trPr>
          <w:jc w:val="center"/>
        </w:trPr>
        <w:tc>
          <w:tcPr>
            <w:tcW w:w="24469" w:type="dxa"/>
            <w:gridSpan w:val="1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Abbreviations: CI = Confidence Interval, SE = Standard Error</w:t>
            </w:r>
          </w:p>
        </w:tc>
      </w:tr>
    </w:tbl>
    <w:p w:rsidR="00830F1E" w:rsidRPr="00D02DBE" w:rsidRDefault="00E15FBF">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18"/>
          <w:szCs w:val="18"/>
        </w:rPr>
      </w:pPr>
      <w:r w:rsidRPr="00D02DBE">
        <w:rPr>
          <w:rFonts w:ascii="Times New Roman" w:hAnsi="Times New Roman" w:cs="Times New Roman"/>
          <w:sz w:val="18"/>
          <w:szCs w:val="18"/>
        </w:rPr>
        <w:t>Survey-Weighted DiD Results,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tblGrid>
      <w:tr w:rsidR="00830F1E" w:rsidRPr="00D02DB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Own Earnings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Healthcare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Large Purchases</w:t>
            </w:r>
          </w:p>
        </w:tc>
      </w:tr>
      <w:tr w:rsidR="00830F1E" w:rsidRPr="00D02DB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Characteristic</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r>
      <w:tr w:rsidR="00830F1E" w:rsidRPr="00D02DB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-0.063 (0.050)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0.208</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-0.063 (0.059)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0.287</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0.046 (0.061)</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0.456</w:t>
            </w:r>
          </w:p>
        </w:tc>
      </w:tr>
      <w:tr w:rsidR="00830F1E" w:rsidRPr="00D02DB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highlight w:val="yellow"/>
              </w:rPr>
            </w:pPr>
            <w:r w:rsidRPr="00D02DBE">
              <w:rPr>
                <w:rFonts w:ascii="Times New Roman" w:eastAsia="Arial" w:hAnsi="Times New Roman" w:cs="Times New Roman"/>
                <w:color w:val="000000"/>
                <w:sz w:val="18"/>
                <w:szCs w:val="18"/>
                <w:highlight w:val="yellow"/>
              </w:rPr>
              <w:t>0.191 (0.078)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highlight w:val="yellow"/>
              </w:rPr>
            </w:pPr>
            <w:r w:rsidRPr="00D02DBE">
              <w:rPr>
                <w:rFonts w:ascii="Times New Roman" w:eastAsia="Arial" w:hAnsi="Times New Roman" w:cs="Times New Roman"/>
                <w:color w:val="000000"/>
                <w:sz w:val="18"/>
                <w:szCs w:val="18"/>
                <w:highlight w:val="yellow"/>
              </w:rPr>
              <w:t>0.015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0.124 (0.108)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0.253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-0.063 (0.088)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0.478</w:t>
            </w:r>
          </w:p>
        </w:tc>
      </w:tr>
      <w:tr w:rsidR="00830F1E" w:rsidRPr="00D02DB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0.030 (0.130)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0.816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-0.028 (0.119)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0.816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-0.026 (0.110)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0.810</w:t>
            </w:r>
          </w:p>
        </w:tc>
      </w:tr>
      <w:tr w:rsidR="00830F1E" w:rsidRPr="00D02DB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2,904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2,932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rsidP="00342089">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2,932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r>
      <w:tr w:rsidR="00830F1E" w:rsidRPr="00D02DBE" w:rsidTr="00830F1E">
        <w:trPr>
          <w:jc w:val="center"/>
        </w:trPr>
        <w:tc>
          <w:tcPr>
            <w:tcW w:w="12573"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vertAlign w:val="superscript"/>
              </w:rPr>
              <w:t>1</w:t>
            </w:r>
            <w:r w:rsidRPr="00D02DBE">
              <w:rPr>
                <w:rFonts w:ascii="Times New Roman" w:eastAsia="Arial" w:hAnsi="Times New Roman" w:cs="Times New Roman"/>
                <w:color w:val="000000"/>
                <w:sz w:val="18"/>
                <w:szCs w:val="18"/>
              </w:rPr>
              <w:t>Coefficients with standard errors in parentheses.</w:t>
            </w:r>
          </w:p>
        </w:tc>
      </w:tr>
      <w:tr w:rsidR="00830F1E" w:rsidRPr="00D02DBE" w:rsidTr="00830F1E">
        <w:trPr>
          <w:jc w:val="center"/>
        </w:trPr>
        <w:tc>
          <w:tcPr>
            <w:tcW w:w="12573"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Abbreviations: CI = Confidence Interval, SE = Standard Error</w:t>
            </w:r>
          </w:p>
        </w:tc>
      </w:tr>
    </w:tbl>
    <w:p w:rsidR="00830F1E" w:rsidRPr="00D02DBE" w:rsidRDefault="00E15FBF">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18"/>
          <w:szCs w:val="18"/>
        </w:rPr>
      </w:pPr>
      <w:r w:rsidRPr="00D02DBE">
        <w:rPr>
          <w:rFonts w:ascii="Times New Roman" w:hAnsi="Times New Roman" w:cs="Times New Roman"/>
          <w:sz w:val="18"/>
          <w:szCs w:val="18"/>
        </w:rPr>
        <w:t>Survey-Weighted DiD Results,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gridCol w:w="1793"/>
        <w:gridCol w:w="1181"/>
      </w:tblGrid>
      <w:tr w:rsidR="00830F1E" w:rsidRPr="00D02DB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Justified: wife goes out without telling</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Justified: wife neglects the children</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Justified: wife argues with husband</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Justified: wife refuses to have sex</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Justified: wife burns food</w:t>
            </w:r>
          </w:p>
        </w:tc>
      </w:tr>
      <w:tr w:rsidR="00830F1E" w:rsidRPr="00D02DB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Characteristic</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r>
      <w:tr w:rsidR="00830F1E" w:rsidRPr="00D02DB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0.003 (0.041)</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0.934</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-0.009 (0.047)</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0.854</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0.000 (0.041)</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&gt;0.999</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0.016 (0.038)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0.680</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0.030 (0.037)</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0.415</w:t>
            </w:r>
          </w:p>
        </w:tc>
      </w:tr>
      <w:tr w:rsidR="00830F1E" w:rsidRPr="00D02DB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highlight w:val="yellow"/>
              </w:rPr>
            </w:pPr>
            <w:r w:rsidRPr="00D02DBE">
              <w:rPr>
                <w:rFonts w:ascii="Times New Roman" w:eastAsia="Arial" w:hAnsi="Times New Roman" w:cs="Times New Roman"/>
                <w:color w:val="000000"/>
                <w:sz w:val="18"/>
                <w:szCs w:val="18"/>
                <w:highlight w:val="yellow"/>
              </w:rPr>
              <w:t>-0.176 (0.066)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highlight w:val="yellow"/>
              </w:rPr>
            </w:pPr>
            <w:r w:rsidRPr="00D02DBE">
              <w:rPr>
                <w:rFonts w:ascii="Times New Roman" w:eastAsia="Arial" w:hAnsi="Times New Roman" w:cs="Times New Roman"/>
                <w:color w:val="000000"/>
                <w:sz w:val="18"/>
                <w:szCs w:val="18"/>
                <w:highlight w:val="yellow"/>
              </w:rPr>
              <w:t>0.008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highlight w:val="yellow"/>
              </w:rPr>
            </w:pPr>
            <w:r w:rsidRPr="00D02DBE">
              <w:rPr>
                <w:rFonts w:ascii="Times New Roman" w:eastAsia="Arial" w:hAnsi="Times New Roman" w:cs="Times New Roman"/>
                <w:color w:val="000000"/>
                <w:sz w:val="18"/>
                <w:szCs w:val="18"/>
                <w:highlight w:val="yellow"/>
              </w:rPr>
              <w:t>-0.283 (0.062)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highlight w:val="yellow"/>
              </w:rPr>
            </w:pPr>
            <w:r w:rsidRPr="00D02DBE">
              <w:rPr>
                <w:rFonts w:ascii="Times New Roman" w:eastAsia="Arial" w:hAnsi="Times New Roman" w:cs="Times New Roman"/>
                <w:color w:val="000000"/>
                <w:sz w:val="18"/>
                <w:szCs w:val="18"/>
                <w:highlight w:val="yellow"/>
              </w:rPr>
              <w:t>&lt;0.001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highlight w:val="yellow"/>
              </w:rPr>
            </w:pPr>
            <w:r w:rsidRPr="00D02DBE">
              <w:rPr>
                <w:rFonts w:ascii="Times New Roman" w:eastAsia="Arial" w:hAnsi="Times New Roman" w:cs="Times New Roman"/>
                <w:color w:val="000000"/>
                <w:sz w:val="18"/>
                <w:szCs w:val="18"/>
                <w:highlight w:val="yellow"/>
              </w:rPr>
              <w:t>-0.143 (0.065)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highlight w:val="yellow"/>
              </w:rPr>
            </w:pPr>
            <w:r w:rsidRPr="00D02DBE">
              <w:rPr>
                <w:rFonts w:ascii="Times New Roman" w:eastAsia="Arial" w:hAnsi="Times New Roman" w:cs="Times New Roman"/>
                <w:color w:val="000000"/>
                <w:sz w:val="18"/>
                <w:szCs w:val="18"/>
                <w:highlight w:val="yellow"/>
              </w:rPr>
              <w:t>0.028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-0.071 (0.044)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0.113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-0.054 (0.056)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0.334</w:t>
            </w:r>
          </w:p>
        </w:tc>
      </w:tr>
      <w:tr w:rsidR="00830F1E" w:rsidRPr="00D02DB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0.183 (0.160)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0.254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0.058 (0.055)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0.293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0.039 (0.080)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0.625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-0.032 (0.048)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0.506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-0.045 (0.048)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0.351</w:t>
            </w:r>
          </w:p>
        </w:tc>
      </w:tr>
      <w:tr w:rsidR="00830F1E" w:rsidRPr="00D02DB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2,935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2,935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2,935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2,935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r>
      <w:tr w:rsidR="00830F1E" w:rsidRPr="00D02DBE" w:rsidTr="00830F1E">
        <w:trPr>
          <w:jc w:val="center"/>
        </w:trPr>
        <w:tc>
          <w:tcPr>
            <w:tcW w:w="18521" w:type="dxa"/>
            <w:gridSpan w:val="11"/>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vertAlign w:val="superscript"/>
              </w:rPr>
              <w:t>1</w:t>
            </w:r>
            <w:r w:rsidRPr="00D02DBE">
              <w:rPr>
                <w:rFonts w:ascii="Times New Roman" w:eastAsia="Arial" w:hAnsi="Times New Roman" w:cs="Times New Roman"/>
                <w:color w:val="000000"/>
                <w:sz w:val="18"/>
                <w:szCs w:val="18"/>
              </w:rPr>
              <w:t>Coefficients with standard errors in parentheses.</w:t>
            </w:r>
          </w:p>
        </w:tc>
      </w:tr>
      <w:tr w:rsidR="00830F1E" w:rsidRPr="00D02DBE" w:rsidTr="00830F1E">
        <w:trPr>
          <w:jc w:val="center"/>
        </w:trPr>
        <w:tc>
          <w:tcPr>
            <w:tcW w:w="18521" w:type="dxa"/>
            <w:gridSpan w:val="11"/>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lastRenderedPageBreak/>
              <w:t>Abbreviations: CI = Confidence Interval, SE = Standard Error</w:t>
            </w:r>
          </w:p>
        </w:tc>
      </w:tr>
    </w:tbl>
    <w:p w:rsidR="00830F1E" w:rsidRPr="00D02DBE" w:rsidRDefault="00E15FBF">
      <w:pPr>
        <w:pStyle w:val="BodyText"/>
        <w:rPr>
          <w:rFonts w:ascii="Times New Roman" w:hAnsi="Times New Roman" w:cs="Times New Roman"/>
          <w:sz w:val="18"/>
          <w:szCs w:val="18"/>
        </w:rPr>
      </w:pPr>
      <w:r w:rsidRPr="00D02DBE">
        <w:rPr>
          <w:rFonts w:ascii="Times New Roman" w:hAnsi="Times New Roman" w:cs="Times New Roman"/>
          <w:sz w:val="18"/>
          <w:szCs w:val="18"/>
        </w:rPr>
        <w:t>Lastly, the effect of eligibilityxtreated district for the Economic Participation of Women is looked at.</w:t>
      </w:r>
    </w:p>
    <w:p w:rsidR="00830F1E" w:rsidRPr="00D02DBE" w:rsidRDefault="00E15FBF">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18"/>
          <w:szCs w:val="18"/>
        </w:rPr>
      </w:pPr>
      <w:r w:rsidRPr="00D02DBE">
        <w:rPr>
          <w:rFonts w:ascii="Times New Roman" w:hAnsi="Times New Roman" w:cs="Times New Roman"/>
          <w:sz w:val="18"/>
          <w:szCs w:val="18"/>
        </w:rPr>
        <w:t>Survey-Weighted DiD Results, No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tblGrid>
      <w:tr w:rsidR="00830F1E" w:rsidRPr="00D02DB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currently working</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has a job, currently absent</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earns more than husband</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worked in last 12 months</w:t>
            </w:r>
          </w:p>
        </w:tc>
      </w:tr>
      <w:tr w:rsidR="00830F1E" w:rsidRPr="00D02DB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Characteristic</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r>
      <w:tr w:rsidR="00830F1E" w:rsidRPr="00D02DB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-0.106 (0.018)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&lt;0.001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0.001 (0.005)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0.838</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-0.078 (0.084)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0.352</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-0.230 (0.038)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&lt;0.001</w:t>
            </w:r>
          </w:p>
        </w:tc>
      </w:tr>
      <w:tr w:rsidR="00830F1E" w:rsidRPr="00D02DB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-0.081 (0.058)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0.163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-0.007 (0.003)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0.007 (0.196)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0.972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-0.237 (0.116)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0.041</w:t>
            </w:r>
          </w:p>
        </w:tc>
      </w:tr>
      <w:tr w:rsidR="00830F1E" w:rsidRPr="00D02DB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0.033 (0.074)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0.660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0.015 (0.016)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0.363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-0.238 (0.205)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0.248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0.117 (0.149)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0.434</w:t>
            </w:r>
          </w:p>
        </w:tc>
      </w:tr>
      <w:tr w:rsidR="00830F1E" w:rsidRPr="00D02DB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4,178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2,969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1,126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4,178</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r>
      <w:tr w:rsidR="00830F1E" w:rsidRPr="00D02DBE" w:rsidTr="00830F1E">
        <w:trPr>
          <w:jc w:val="center"/>
        </w:trPr>
        <w:tc>
          <w:tcPr>
            <w:tcW w:w="15547"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vertAlign w:val="superscript"/>
              </w:rPr>
              <w:t>1</w:t>
            </w:r>
            <w:r w:rsidRPr="00D02DBE">
              <w:rPr>
                <w:rFonts w:ascii="Times New Roman" w:eastAsia="Arial" w:hAnsi="Times New Roman" w:cs="Times New Roman"/>
                <w:color w:val="000000"/>
                <w:sz w:val="18"/>
                <w:szCs w:val="18"/>
              </w:rPr>
              <w:t>Coefficients with standard errors in parentheses.</w:t>
            </w:r>
          </w:p>
        </w:tc>
      </w:tr>
      <w:tr w:rsidR="00830F1E" w:rsidRPr="00D02DBE" w:rsidTr="00830F1E">
        <w:trPr>
          <w:jc w:val="center"/>
        </w:trPr>
        <w:tc>
          <w:tcPr>
            <w:tcW w:w="15547" w:type="dxa"/>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Abbreviations: CI = Confidence Interval, SE = Standard Error</w:t>
            </w:r>
          </w:p>
        </w:tc>
      </w:tr>
    </w:tbl>
    <w:p w:rsidR="00830F1E" w:rsidRPr="00D02DBE" w:rsidRDefault="00E15FBF">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hAnsi="Times New Roman" w:cs="Times New Roman"/>
          <w:sz w:val="18"/>
          <w:szCs w:val="18"/>
        </w:rPr>
      </w:pPr>
      <w:r w:rsidRPr="00D02DBE">
        <w:rPr>
          <w:rFonts w:ascii="Times New Roman" w:hAnsi="Times New Roman" w:cs="Times New Roman"/>
          <w:sz w:val="18"/>
          <w:szCs w:val="18"/>
        </w:rPr>
        <w:t>Survey-Weighted DiD Results, Controls</w:t>
      </w:r>
    </w:p>
    <w:tbl>
      <w:tblPr>
        <w:tblStyle w:val="Table"/>
        <w:tblW w:w="0" w:type="auto"/>
        <w:jc w:val="center"/>
        <w:tblLayout w:type="fixed"/>
        <w:tblLook w:val="0420" w:firstRow="1" w:lastRow="0" w:firstColumn="0" w:lastColumn="0" w:noHBand="0" w:noVBand="1"/>
      </w:tblPr>
      <w:tblGrid>
        <w:gridCol w:w="3651"/>
        <w:gridCol w:w="1793"/>
        <w:gridCol w:w="1181"/>
        <w:gridCol w:w="1719"/>
        <w:gridCol w:w="1181"/>
        <w:gridCol w:w="1793"/>
        <w:gridCol w:w="1181"/>
        <w:gridCol w:w="1793"/>
        <w:gridCol w:w="1181"/>
      </w:tblGrid>
      <w:tr w:rsidR="00830F1E" w:rsidRPr="00D02DB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currently working</w:t>
            </w:r>
          </w:p>
        </w:tc>
        <w:tc>
          <w:tcPr>
            <w:tcW w:w="2900"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has a job, currently absent</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earns more than husband</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worked in last 12 months</w:t>
            </w:r>
          </w:p>
        </w:tc>
      </w:tr>
      <w:tr w:rsidR="00830F1E" w:rsidRPr="00D02DBE" w:rsidTr="00830F1E">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Characteristic</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1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Beta</w:t>
            </w:r>
            <w:r w:rsidRPr="00D02DBE">
              <w:rPr>
                <w:rFonts w:ascii="Times New Roman" w:eastAsia="Arial" w:hAnsi="Times New Roman" w:cs="Times New Roman"/>
                <w:color w:val="000000"/>
                <w:sz w:val="18"/>
                <w:szCs w:val="18"/>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b/>
                <w:color w:val="000000"/>
                <w:sz w:val="18"/>
                <w:szCs w:val="18"/>
              </w:rPr>
              <w:t>p-value</w:t>
            </w:r>
            <w:r w:rsidRPr="00D02DBE">
              <w:rPr>
                <w:rFonts w:ascii="Times New Roman" w:eastAsia="Arial" w:hAnsi="Times New Roman" w:cs="Times New Roman"/>
                <w:color w:val="000000"/>
                <w:sz w:val="18"/>
                <w:szCs w:val="18"/>
                <w:vertAlign w:val="superscript"/>
              </w:rPr>
              <w:t>1</w:t>
            </w:r>
          </w:p>
        </w:tc>
      </w:tr>
      <w:tr w:rsidR="00830F1E" w:rsidRPr="00D02DBE" w:rsidTr="00830F1E">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-0.020 (0.035)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0.579</w:t>
            </w:r>
          </w:p>
        </w:tc>
        <w:tc>
          <w:tcPr>
            <w:tcW w:w="171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0.000 (0.000)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0.329</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0.020 (0.126)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0.874</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-0.018 (0.018)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0.301</w:t>
            </w:r>
          </w:p>
        </w:tc>
      </w:tr>
      <w:tr w:rsidR="00830F1E" w:rsidRPr="00D02DB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highlight w:val="yellow"/>
              </w:rPr>
            </w:pPr>
            <w:r w:rsidRPr="00D02DBE">
              <w:rPr>
                <w:rFonts w:ascii="Times New Roman" w:eastAsia="Arial" w:hAnsi="Times New Roman" w:cs="Times New Roman"/>
                <w:color w:val="000000"/>
                <w:sz w:val="18"/>
                <w:szCs w:val="18"/>
                <w:highlight w:val="yellow"/>
              </w:rPr>
              <w:t>-0.125 (0.072)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highlight w:val="yellow"/>
              </w:rPr>
            </w:pPr>
            <w:r w:rsidRPr="00D02DBE">
              <w:rPr>
                <w:rFonts w:ascii="Times New Roman" w:eastAsia="Arial" w:hAnsi="Times New Roman" w:cs="Times New Roman"/>
                <w:color w:val="000000"/>
                <w:sz w:val="18"/>
                <w:szCs w:val="18"/>
                <w:highlight w:val="yellow"/>
              </w:rPr>
              <w:t>0.084</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&lt;0.001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-0.456 (0.263)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0.084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-0.078 (0.020)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&lt;0.001</w:t>
            </w:r>
          </w:p>
        </w:tc>
      </w:tr>
      <w:tr w:rsidR="00830F1E" w:rsidRPr="00D02DBE" w:rsidTr="00830F1E">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0.064 (0.108)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0.556</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&lt;0.001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0.210 (0.338)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0.536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0.062 (0.037)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0.096</w:t>
            </w:r>
          </w:p>
        </w:tc>
      </w:tr>
      <w:tr w:rsidR="00830F1E" w:rsidRPr="00D02DBE" w:rsidTr="00830F1E">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2,634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1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1,842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788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 xml:space="preserve">2,634 </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830F1E" w:rsidRPr="00D02DBE" w:rsidRDefault="00830F1E">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8"/>
                <w:szCs w:val="18"/>
              </w:rPr>
            </w:pPr>
          </w:p>
        </w:tc>
      </w:tr>
      <w:tr w:rsidR="00830F1E" w:rsidRPr="00D02DBE" w:rsidTr="00830F1E">
        <w:trPr>
          <w:jc w:val="center"/>
        </w:trPr>
        <w:tc>
          <w:tcPr>
            <w:tcW w:w="15473"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vertAlign w:val="superscript"/>
              </w:rPr>
              <w:t>1</w:t>
            </w:r>
            <w:r w:rsidRPr="00D02DBE">
              <w:rPr>
                <w:rFonts w:ascii="Times New Roman" w:eastAsia="Arial" w:hAnsi="Times New Roman" w:cs="Times New Roman"/>
                <w:color w:val="000000"/>
                <w:sz w:val="18"/>
                <w:szCs w:val="18"/>
              </w:rPr>
              <w:t>Coefficients with standard errors in parentheses.</w:t>
            </w:r>
          </w:p>
        </w:tc>
      </w:tr>
      <w:tr w:rsidR="00830F1E" w:rsidRPr="00D02DBE" w:rsidTr="00830F1E">
        <w:trPr>
          <w:jc w:val="center"/>
        </w:trPr>
        <w:tc>
          <w:tcPr>
            <w:tcW w:w="15473" w:type="dxa"/>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830F1E" w:rsidRPr="00D02DBE" w:rsidRDefault="00E15F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D02DBE">
              <w:rPr>
                <w:rFonts w:ascii="Times New Roman" w:eastAsia="Arial" w:hAnsi="Times New Roman" w:cs="Times New Roman"/>
                <w:color w:val="000000"/>
                <w:sz w:val="18"/>
                <w:szCs w:val="18"/>
              </w:rPr>
              <w:t>Abbreviations: CI = Confidence Interval, SE = Standard Error</w:t>
            </w:r>
          </w:p>
        </w:tc>
      </w:tr>
    </w:tbl>
    <w:p w:rsidR="00E15FBF" w:rsidRDefault="00E15FBF">
      <w:pPr>
        <w:rPr>
          <w:rFonts w:ascii="Times New Roman" w:hAnsi="Times New Roman" w:cs="Times New Roman"/>
          <w:sz w:val="18"/>
          <w:szCs w:val="18"/>
        </w:rPr>
      </w:pPr>
    </w:p>
    <w:p w:rsidR="00071B5B" w:rsidRPr="00D02DBE" w:rsidRDefault="00071B5B">
      <w:pPr>
        <w:rPr>
          <w:rFonts w:ascii="Times New Roman" w:hAnsi="Times New Roman" w:cs="Times New Roman"/>
          <w:sz w:val="18"/>
          <w:szCs w:val="18"/>
        </w:rPr>
      </w:pPr>
      <w:r>
        <w:rPr>
          <w:rFonts w:ascii="Times New Roman" w:hAnsi="Times New Roman" w:cs="Times New Roman"/>
          <w:noProof/>
          <w:sz w:val="18"/>
          <w:szCs w:val="18"/>
        </w:rPr>
        <w:lastRenderedPageBreak/>
        <w:drawing>
          <wp:inline distT="0" distB="0" distL="0" distR="0">
            <wp:extent cx="4765431" cy="28593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ot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65431" cy="2859327"/>
                    </a:xfrm>
                    <a:prstGeom prst="rect">
                      <a:avLst/>
                    </a:prstGeom>
                  </pic:spPr>
                </pic:pic>
              </a:graphicData>
            </a:graphic>
          </wp:inline>
        </w:drawing>
      </w:r>
      <w:r>
        <w:rPr>
          <w:rFonts w:ascii="Times New Roman" w:hAnsi="Times New Roman" w:cs="Times New Roman"/>
          <w:noProof/>
          <w:sz w:val="18"/>
          <w:szCs w:val="18"/>
        </w:rPr>
        <w:lastRenderedPageBreak/>
        <w:drawing>
          <wp:inline distT="0" distB="0" distL="0" distR="0">
            <wp:extent cx="5902569" cy="35416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ot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2569" cy="3541626"/>
                    </a:xfrm>
                    <a:prstGeom prst="rect">
                      <a:avLst/>
                    </a:prstGeom>
                  </pic:spPr>
                </pic:pic>
              </a:graphicData>
            </a:graphic>
          </wp:inline>
        </w:drawing>
      </w:r>
      <w:r>
        <w:rPr>
          <w:rFonts w:ascii="Times New Roman" w:hAnsi="Times New Roman" w:cs="Times New Roman"/>
          <w:noProof/>
          <w:sz w:val="18"/>
          <w:szCs w:val="18"/>
        </w:rPr>
        <w:lastRenderedPageBreak/>
        <w:drawing>
          <wp:inline distT="0" distB="0" distL="0" distR="0">
            <wp:extent cx="6330310" cy="37982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lot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35835" cy="3801592"/>
                    </a:xfrm>
                    <a:prstGeom prst="rect">
                      <a:avLst/>
                    </a:prstGeom>
                  </pic:spPr>
                </pic:pic>
              </a:graphicData>
            </a:graphic>
          </wp:inline>
        </w:drawing>
      </w:r>
      <w:r>
        <w:rPr>
          <w:rFonts w:ascii="Times New Roman" w:hAnsi="Times New Roman" w:cs="Times New Roman"/>
          <w:noProof/>
          <w:sz w:val="18"/>
          <w:szCs w:val="18"/>
        </w:rPr>
        <w:lastRenderedPageBreak/>
        <w:drawing>
          <wp:inline distT="0" distB="0" distL="0" distR="0">
            <wp:extent cx="5822323" cy="34934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lot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29940" cy="3498047"/>
                    </a:xfrm>
                    <a:prstGeom prst="rect">
                      <a:avLst/>
                    </a:prstGeom>
                  </pic:spPr>
                </pic:pic>
              </a:graphicData>
            </a:graphic>
          </wp:inline>
        </w:drawing>
      </w:r>
      <w:r>
        <w:rPr>
          <w:rFonts w:ascii="Times New Roman" w:hAnsi="Times New Roman" w:cs="Times New Roman"/>
          <w:noProof/>
          <w:sz w:val="18"/>
          <w:szCs w:val="18"/>
        </w:rPr>
        <w:lastRenderedPageBreak/>
        <w:drawing>
          <wp:inline distT="0" distB="0" distL="0" distR="0">
            <wp:extent cx="6342185" cy="38054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lot5.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47761" cy="3808746"/>
                    </a:xfrm>
                    <a:prstGeom prst="rect">
                      <a:avLst/>
                    </a:prstGeom>
                  </pic:spPr>
                </pic:pic>
              </a:graphicData>
            </a:graphic>
          </wp:inline>
        </w:drawing>
      </w:r>
      <w:r>
        <w:rPr>
          <w:rFonts w:ascii="Times New Roman" w:hAnsi="Times New Roman" w:cs="Times New Roman"/>
          <w:noProof/>
          <w:sz w:val="18"/>
          <w:szCs w:val="18"/>
        </w:rPr>
        <w:lastRenderedPageBreak/>
        <w:drawing>
          <wp:inline distT="0" distB="0" distL="0" distR="0">
            <wp:extent cx="6496383" cy="38979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lot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99998" cy="3900092"/>
                    </a:xfrm>
                    <a:prstGeom prst="rect">
                      <a:avLst/>
                    </a:prstGeom>
                  </pic:spPr>
                </pic:pic>
              </a:graphicData>
            </a:graphic>
          </wp:inline>
        </w:drawing>
      </w:r>
      <w:r>
        <w:rPr>
          <w:rFonts w:ascii="Times New Roman" w:hAnsi="Times New Roman" w:cs="Times New Roman"/>
          <w:noProof/>
          <w:sz w:val="18"/>
          <w:szCs w:val="18"/>
        </w:rPr>
        <w:lastRenderedPageBreak/>
        <w:drawing>
          <wp:inline distT="0" distB="0" distL="0" distR="0">
            <wp:extent cx="5773477" cy="34641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lot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80274" cy="3468247"/>
                    </a:xfrm>
                    <a:prstGeom prst="rect">
                      <a:avLst/>
                    </a:prstGeom>
                  </pic:spPr>
                </pic:pic>
              </a:graphicData>
            </a:graphic>
          </wp:inline>
        </w:drawing>
      </w:r>
      <w:r>
        <w:rPr>
          <w:rFonts w:ascii="Times New Roman" w:hAnsi="Times New Roman" w:cs="Times New Roman"/>
          <w:noProof/>
          <w:sz w:val="18"/>
          <w:szCs w:val="18"/>
        </w:rPr>
        <w:lastRenderedPageBreak/>
        <w:drawing>
          <wp:inline distT="0" distB="0" distL="0" distR="0">
            <wp:extent cx="5574323" cy="33446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lot8.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3918" cy="3350430"/>
                    </a:xfrm>
                    <a:prstGeom prst="rect">
                      <a:avLst/>
                    </a:prstGeom>
                  </pic:spPr>
                </pic:pic>
              </a:graphicData>
            </a:graphic>
          </wp:inline>
        </w:drawing>
      </w:r>
      <w:r>
        <w:rPr>
          <w:rFonts w:ascii="Times New Roman" w:hAnsi="Times New Roman" w:cs="Times New Roman"/>
          <w:noProof/>
          <w:sz w:val="18"/>
          <w:szCs w:val="18"/>
        </w:rPr>
        <w:lastRenderedPageBreak/>
        <w:drawing>
          <wp:inline distT="0" distB="0" distL="0" distR="0">
            <wp:extent cx="6125162" cy="36751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ot9.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32503" cy="3679590"/>
                    </a:xfrm>
                    <a:prstGeom prst="rect">
                      <a:avLst/>
                    </a:prstGeom>
                  </pic:spPr>
                </pic:pic>
              </a:graphicData>
            </a:graphic>
          </wp:inline>
        </w:drawing>
      </w:r>
      <w:r>
        <w:rPr>
          <w:rFonts w:ascii="Times New Roman" w:hAnsi="Times New Roman" w:cs="Times New Roman"/>
          <w:noProof/>
          <w:sz w:val="18"/>
          <w:szCs w:val="18"/>
        </w:rPr>
        <w:lastRenderedPageBreak/>
        <w:drawing>
          <wp:inline distT="0" distB="0" distL="0" distR="0">
            <wp:extent cx="6095854" cy="3657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lot10.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01815" cy="3661177"/>
                    </a:xfrm>
                    <a:prstGeom prst="rect">
                      <a:avLst/>
                    </a:prstGeom>
                  </pic:spPr>
                </pic:pic>
              </a:graphicData>
            </a:graphic>
          </wp:inline>
        </w:drawing>
      </w:r>
      <w:r>
        <w:rPr>
          <w:rFonts w:ascii="Times New Roman" w:hAnsi="Times New Roman" w:cs="Times New Roman"/>
          <w:noProof/>
          <w:sz w:val="18"/>
          <w:szCs w:val="18"/>
        </w:rPr>
        <w:lastRenderedPageBreak/>
        <w:drawing>
          <wp:inline distT="0" distB="0" distL="0" distR="0">
            <wp:extent cx="6476845" cy="3886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lot1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84951" cy="3891064"/>
                    </a:xfrm>
                    <a:prstGeom prst="rect">
                      <a:avLst/>
                    </a:prstGeom>
                  </pic:spPr>
                </pic:pic>
              </a:graphicData>
            </a:graphic>
          </wp:inline>
        </w:drawing>
      </w:r>
      <w:bookmarkStart w:id="0" w:name="_GoBack"/>
      <w:r>
        <w:rPr>
          <w:rFonts w:ascii="Times New Roman" w:hAnsi="Times New Roman" w:cs="Times New Roman"/>
          <w:noProof/>
          <w:sz w:val="18"/>
          <w:szCs w:val="18"/>
        </w:rPr>
        <w:lastRenderedPageBreak/>
        <w:drawing>
          <wp:inline distT="0" distB="0" distL="0" distR="0">
            <wp:extent cx="6301003" cy="37806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lot1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08832" cy="3785390"/>
                    </a:xfrm>
                    <a:prstGeom prst="rect">
                      <a:avLst/>
                    </a:prstGeom>
                  </pic:spPr>
                </pic:pic>
              </a:graphicData>
            </a:graphic>
          </wp:inline>
        </w:drawing>
      </w:r>
      <w:bookmarkEnd w:id="0"/>
    </w:p>
    <w:sectPr w:rsidR="00071B5B" w:rsidRPr="00D02DBE" w:rsidSect="00C62536">
      <w:footnotePr>
        <w:numRestart w:val="eachSect"/>
      </w:footnotePr>
      <w:pgSz w:w="16838" w:h="11906" w:orient="landscape"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2032B" w:rsidRDefault="0092032B" w:rsidP="00BC01A7">
      <w:pPr>
        <w:spacing w:after="0"/>
      </w:pPr>
      <w:r>
        <w:separator/>
      </w:r>
    </w:p>
  </w:endnote>
  <w:endnote w:type="continuationSeparator" w:id="0">
    <w:p w:rsidR="0092032B" w:rsidRDefault="0092032B" w:rsidP="00BC01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2032B" w:rsidRDefault="0092032B" w:rsidP="00BC01A7">
      <w:pPr>
        <w:spacing w:after="0"/>
      </w:pPr>
      <w:r>
        <w:separator/>
      </w:r>
    </w:p>
  </w:footnote>
  <w:footnote w:type="continuationSeparator" w:id="0">
    <w:p w:rsidR="0092032B" w:rsidRDefault="0092032B" w:rsidP="00BC01A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5A2CDD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30F1E"/>
    <w:rsid w:val="00071B5B"/>
    <w:rsid w:val="00151778"/>
    <w:rsid w:val="001A2861"/>
    <w:rsid w:val="00342089"/>
    <w:rsid w:val="003846B5"/>
    <w:rsid w:val="003D6DC1"/>
    <w:rsid w:val="00457413"/>
    <w:rsid w:val="006516D3"/>
    <w:rsid w:val="00737CE9"/>
    <w:rsid w:val="00752B7A"/>
    <w:rsid w:val="00830F1E"/>
    <w:rsid w:val="00842037"/>
    <w:rsid w:val="008F03B2"/>
    <w:rsid w:val="0092032B"/>
    <w:rsid w:val="00932843"/>
    <w:rsid w:val="009F12C7"/>
    <w:rsid w:val="00A901AE"/>
    <w:rsid w:val="00AE2BEC"/>
    <w:rsid w:val="00B639A3"/>
    <w:rsid w:val="00BC01A7"/>
    <w:rsid w:val="00C30FFB"/>
    <w:rsid w:val="00C62536"/>
    <w:rsid w:val="00D02DBE"/>
    <w:rsid w:val="00D9377F"/>
    <w:rsid w:val="00E15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23360"/>
  <w15:docId w15:val="{161903C6-90D5-4068-B9FA-90F46464A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BC01A7"/>
    <w:pPr>
      <w:tabs>
        <w:tab w:val="center" w:pos="4513"/>
        <w:tab w:val="right" w:pos="9026"/>
      </w:tabs>
      <w:spacing w:after="0"/>
    </w:pPr>
  </w:style>
  <w:style w:type="character" w:customStyle="1" w:styleId="HeaderChar">
    <w:name w:val="Header Char"/>
    <w:basedOn w:val="DefaultParagraphFont"/>
    <w:link w:val="Header"/>
    <w:rsid w:val="00BC01A7"/>
  </w:style>
  <w:style w:type="paragraph" w:styleId="Footer">
    <w:name w:val="footer"/>
    <w:basedOn w:val="Normal"/>
    <w:link w:val="FooterChar"/>
    <w:unhideWhenUsed/>
    <w:rsid w:val="00BC01A7"/>
    <w:pPr>
      <w:tabs>
        <w:tab w:val="center" w:pos="4513"/>
        <w:tab w:val="right" w:pos="9026"/>
      </w:tabs>
      <w:spacing w:after="0"/>
    </w:pPr>
  </w:style>
  <w:style w:type="character" w:customStyle="1" w:styleId="FooterChar">
    <w:name w:val="Footer Char"/>
    <w:basedOn w:val="DefaultParagraphFont"/>
    <w:link w:val="Footer"/>
    <w:rsid w:val="00BC01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419</TotalTime>
  <Pages>23</Pages>
  <Words>3281</Words>
  <Characters>18703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results</vt:lpstr>
    </vt:vector>
  </TitlesOfParts>
  <Company/>
  <LinksUpToDate>false</LinksUpToDate>
  <CharactersWithSpaces>21941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dc:title>
  <dc:creator>Ananya Mazumder</dc:creator>
  <cp:keywords/>
  <cp:lastModifiedBy>Ananya Mazumder</cp:lastModifiedBy>
  <cp:revision>15</cp:revision>
  <dcterms:created xsi:type="dcterms:W3CDTF">2026-01-28T15:40:00Z</dcterms:created>
  <dcterms:modified xsi:type="dcterms:W3CDTF">2026-02-03T16:39:00Z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2026-01-28</vt:lpwstr>
  </property>
  <property fmtid="{D5CDD505-2E9C-101B-9397-08002B2CF9AE}" pid="3" name="output">
    <vt:lpwstr>word_document</vt:lpwstr>
  </property>
</Properties>
</file>