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  <w:t>天地玄黄精准买卖点电脑导入方法</w:t>
      </w:r>
    </w:p>
    <w:p>
      <w:pPr>
        <w:jc w:val="center"/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</w:p>
    <w:p>
      <w:pPr>
        <w:jc w:val="left"/>
        <w:rPr>
          <w:rFonts w:hint="default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①把天地玄黄买卖点指标放在桌面。</w:t>
      </w:r>
    </w:p>
    <w:p>
      <w:pPr>
        <w:jc w:val="center"/>
      </w:pPr>
      <w:r>
        <w:drawing>
          <wp:inline distT="0" distB="0" distL="114300" distR="114300">
            <wp:extent cx="1790700" cy="85344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 w:cs="黑体"/>
          <w:b/>
          <w:bCs/>
          <w:color w:val="0000FF"/>
          <w:sz w:val="36"/>
          <w:szCs w:val="44"/>
          <w:highlight w:val="none"/>
          <w:lang w:val="en-US" w:eastAsia="zh-CN"/>
        </w:rPr>
        <w:t>②打开通达信，使用快捷键Ctrl+F、打开公式管理器</w:t>
      </w:r>
    </w:p>
    <w:p>
      <w:pPr>
        <w:jc w:val="center"/>
      </w:pPr>
      <w:r>
        <w:drawing>
          <wp:inline distT="0" distB="0" distL="114300" distR="114300">
            <wp:extent cx="4305300" cy="609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 w:cs="黑体"/>
          <w:b/>
          <w:bCs/>
          <w:color w:val="0000FF"/>
          <w:sz w:val="36"/>
          <w:szCs w:val="44"/>
          <w:highlight w:val="none"/>
          <w:lang w:val="en-US" w:eastAsia="zh-CN"/>
        </w:rPr>
        <w:t>③在桌面找到天地玄黄买卖点指标、选中打开！</w:t>
      </w:r>
    </w:p>
    <w:p>
      <w:pPr>
        <w:jc w:val="center"/>
        <w:rPr>
          <w:rFonts w:hint="eastAsia" w:ascii="黑体" w:hAnsi="黑体" w:eastAsia="黑体" w:cs="黑体"/>
          <w:b/>
          <w:bCs/>
          <w:color w:val="0000FF"/>
          <w:sz w:val="36"/>
          <w:szCs w:val="44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36"/>
          <w:szCs w:val="44"/>
          <w:highlight w:val="none"/>
          <w:lang w:val="en-US" w:eastAsia="zh-CN"/>
        </w:rPr>
        <w:t>④全部选中之后，点击确定！</w:t>
      </w:r>
    </w:p>
    <w:p>
      <w:pPr>
        <w:jc w:val="center"/>
      </w:pPr>
      <w:r>
        <w:drawing>
          <wp:inline distT="0" distB="0" distL="114300" distR="114300">
            <wp:extent cx="4732020" cy="3863340"/>
            <wp:effectExtent l="0" t="0" r="7620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</w:p>
    <w:p>
      <w:pPr>
        <w:jc w:val="center"/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  <w:t>天地玄黄精准买卖点手机导入方法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DRAWGBK(C&gt;O,RGB(60,0,0),RGB(0,0,0),1,2,1);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DRAWTEXT_FIX(1,0.88,5,0,''),COLORRED;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HZZ:=1220601;HZ:=IF(DATE&lt;HZZ,1,DRAWNULL);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Z1:=STRCAT(HYBLOCK,' ')*HZ;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Z2:=STRCAT(Z1,DYBLOCK)*HZ;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Z3:=STRCAT(Z2,' ');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DRAWTEXT_FIX(ISLASTBAR,0,0,0,STRCAT(Z3,GNBLOCK)),COLORRED;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金牛:(XMA(XMA(H,25),25)-XMA(XMA(L,25),25))*1+XMA(XMA(H,25),25)*HZ,DOTLINE,COLORYELLOW;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金钻趋势:XMA(XMA(L,25),25)-(XMA(XMA(H,25),25)-XMA(XMA(L,25),25))*1,LINETHICK2,COLORRED;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金牛2:EMA(金钻趋势,25)COLORCYAN,LINETHICK2;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DRAWBAND(金钻趋势,RGB(55,0,0),金牛2,RGB(0,91,0));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DRAWKLINE(H,O,L,C);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STICKLINE(金钻趋势&gt;LOW AND 金钻趋势&lt;HIGH,金钻趋势,MIN(MIN(OPEN,CLOSE),金钻趋势),2,0),COLORYELLOW;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STICKLINE(金钻趋势&gt;MIN(C,O) AND 金钻趋势&lt;MAX(C,O),金钻趋势,MIN(OPEN,CLOSE),2,0),COLORYELLOW;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STICKLINE(金钻趋势&gt;HIGH,OPEN,CLOSE,2,0),COLORYELLOW;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STICKLINE(金钻趋势&gt;HIGH,HIGH,LOW,0,0),COLORYELLOW;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VAR23:=100*XMA(XMA((C-REF(C,1)),6),6)/XMA(XMA(ABS((C-REF(C,1))),6),6);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回调买:=LLV(VAR23,2)=LLV(VAR23,7) AND COUNT(VAR23&lt;0,2) AND CROSS(VAR23,MA(VAR23,2));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XG:=金钻趋势&gt;HIGH AND 回调买 AND L&lt;=金钻趋势;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DRAWTEXT(XG,L,'▲买入'),COLORRED;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JJ:=(HIGH+LOW+CLOSE)/3;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QJ0:=VOL/IF(HIGH=LOW,4,HIGH-LOW);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QJ1:=IF(CAPITAL=0,QJ0*(JJ-MIN(CLOSE,OPEN)),QJ0*IF(HIGH=LOW,1,(MIN(OPEN,CLOSE)-LOW)));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QJ2:=IF(CAPITAL=0,QJ0*(MIN(OPEN,CLOSE)-LOW),QJ0*IF(HIGH=LOW,1,(JJ-MIN(CLOSE,OPEN))));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QJ3:=IF(CAPITAL=0,QJ0*(HIGH-MAX(OPEN,CLOSE)),QJ0*IF(HIGH=LOW,1,(HIGH-MAX(OPEN,CLOSE))));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QJ4:=IF(CAPITAL=0,QJ0*(MAX(CLOSE,OPEN)-JJ),QJ0*IF(HIGH=LOW,1,(MAX(CLOSE,OPEN)-JJ)));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DDX:=((QJ1+QJ2)-(QJ3+QJ4))/IF(CAPITAL=0,10000,10000),COLOR00AAAA,LINETHICK;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V2:=SMA(IF(C&gt;=REF(C,1),DDX,-DDX/100),2,1);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V5:=SMA(V2*120/FROMOPEN*5,2,1);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V10:=SMA(V5,5,1);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V20:=SMA(V10,5,1);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DY:=CURRBARSCOUNT=1 AND C&lt;REF(C,1);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DY2:=REF(V2,1)-DY;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XG2:=C&gt;O AND DY2&lt;0.02 AND MA(C,5)&gt;MA(C,60) AND C/REF(C,1)&gt;=1.02 AND H&lt;金牛;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{DRAWTEXT(XG2,L,'▲抓牛'),COLORYELLOW;}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DRAWTEXT(XG2 AND L&lt;金钻趋势,L,'金钻起涨'),COLORMAGENTA;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center"/>
        <w:rPr>
          <w:sz w:val="21"/>
          <w:szCs w:val="24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①先复制天地玄黄手机版指标源码，打开手机版通达信。</w:t>
      </w:r>
    </w:p>
    <w:p>
      <w:pPr>
        <w:jc w:val="center"/>
      </w:pPr>
      <w:r>
        <w:drawing>
          <wp:inline distT="0" distB="0" distL="114300" distR="114300">
            <wp:extent cx="1751965" cy="1604645"/>
            <wp:effectExtent l="0" t="0" r="63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②点击左上角准备导入指标</w:t>
      </w:r>
    </w:p>
    <w:p>
      <w:pPr>
        <w:jc w:val="center"/>
      </w:pPr>
      <w:r>
        <w:drawing>
          <wp:inline distT="0" distB="0" distL="114300" distR="114300">
            <wp:extent cx="3212465" cy="670369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③点击指标编辑，选择新建指标</w:t>
      </w:r>
    </w:p>
    <w:p>
      <w:pPr>
        <w:jc w:val="center"/>
      </w:pPr>
      <w:r>
        <w:drawing>
          <wp:inline distT="0" distB="0" distL="114300" distR="114300">
            <wp:extent cx="3125470" cy="6521450"/>
            <wp:effectExtent l="0" t="0" r="1778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④写入公式名字：天地玄黄，点击右上角公式</w:t>
      </w:r>
    </w:p>
    <w:p>
      <w:pPr>
        <w:jc w:val="center"/>
      </w:pPr>
      <w:r>
        <w:drawing>
          <wp:inline distT="0" distB="0" distL="114300" distR="114300">
            <wp:extent cx="3124200" cy="6324600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⑤点击粘贴、选择保存、找到天地玄黄</w:t>
      </w:r>
    </w:p>
    <w:p>
      <w:pPr>
        <w:jc w:val="center"/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40"/>
          <w:szCs w:val="48"/>
          <w:highlight w:val="none"/>
          <w:lang w:val="en-US" w:eastAsia="zh-CN"/>
        </w:rPr>
        <w:t>指标！</w:t>
      </w:r>
    </w:p>
    <w:p>
      <w:pPr>
        <w:jc w:val="center"/>
      </w:pPr>
      <w:r>
        <w:drawing>
          <wp:inline distT="0" distB="0" distL="114300" distR="114300">
            <wp:extent cx="4225290" cy="885571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78480" cy="6438900"/>
            <wp:effectExtent l="0" t="0" r="0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  <w:t>天地玄黄卖点使用方法</w:t>
      </w:r>
    </w:p>
    <w:p>
      <w:pPr>
        <w:jc w:val="center"/>
        <w:rPr>
          <w:rFonts w:hint="eastAsia" w:eastAsiaTheme="minorEastAsia"/>
          <w:color w:val="FFFFFF" w:themeColor="background1"/>
          <w:sz w:val="96"/>
          <w:szCs w:val="160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96"/>
          <w:szCs w:val="160"/>
          <w:highlight w:val="red"/>
          <w:lang w:val="en-US" w:eastAsia="zh-CN"/>
          <w14:textFill>
            <w14:solidFill>
              <w14:schemeClr w14:val="bg1"/>
            </w14:solidFill>
          </w14:textFill>
        </w:rPr>
        <w:t>卖点</w:t>
      </w:r>
    </w:p>
    <w:p>
      <w:pPr>
        <w:jc w:val="center"/>
      </w:pPr>
      <w:r>
        <w:drawing>
          <wp:inline distT="0" distB="0" distL="114300" distR="114300">
            <wp:extent cx="5272405" cy="2124075"/>
            <wp:effectExtent l="0" t="0" r="635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黄颜色虚线：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此线为天地玄黄的顶部，属于压力位，一旦股价接近此位置，一般都意味着股票短期达到顶部。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操作建议：逢高减仓，进行高抛操作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sz w:val="16"/>
          <w:szCs w:val="20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FFFF" w:themeColor="background1"/>
          <w:sz w:val="40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举例子：宁德时代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396355" cy="2557780"/>
            <wp:effectExtent l="0" t="0" r="444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rPr>
          <w:rFonts w:hint="eastAsia"/>
          <w:lang w:val="en-US" w:eastAsia="zh-CN"/>
        </w:rPr>
        <w:t>吉宏股份</w:t>
      </w:r>
      <w:r>
        <w:drawing>
          <wp:inline distT="0" distB="0" distL="114300" distR="114300">
            <wp:extent cx="6407785" cy="2583815"/>
            <wp:effectExtent l="0" t="0" r="1206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color w:val="FFFFFF" w:themeColor="background1"/>
          <w:sz w:val="56"/>
          <w:szCs w:val="96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56"/>
          <w:szCs w:val="96"/>
          <w:highlight w:val="red"/>
          <w:lang w:val="en-US" w:eastAsia="zh-CN"/>
          <w14:textFill>
            <w14:solidFill>
              <w14:schemeClr w14:val="bg1"/>
            </w14:solidFill>
          </w14:textFill>
        </w:rPr>
        <w:t>卖点二</w:t>
      </w:r>
    </w:p>
    <w:p>
      <w:pPr>
        <w:jc w:val="center"/>
      </w:pPr>
      <w:r>
        <w:drawing>
          <wp:inline distT="0" distB="0" distL="114300" distR="114300">
            <wp:extent cx="5270500" cy="2128520"/>
            <wp:effectExtent l="0" t="0" r="2540" b="508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当红色虚线下穿蓝色虚线，形成绿色下跌通道，基本确定了该股下跌的趋势，中长线投资在出现绿色下跌通道时可果断离场，等绿色下跌通道结束之后再找机会进场。短线投资者可灵活操作</w:t>
      </w:r>
    </w:p>
    <w:p>
      <w:pPr>
        <w:jc w:val="center"/>
        <w:rPr>
          <w:rFonts w:hint="eastAsia"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  <w:t>举例</w:t>
      </w:r>
    </w:p>
    <w:p>
      <w:pPr>
        <w:jc w:val="center"/>
        <w:rPr>
          <w:rFonts w:hint="default"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  <w:t>洁特生物688026</w:t>
      </w:r>
    </w:p>
    <w:p>
      <w:pPr>
        <w:jc w:val="center"/>
      </w:pPr>
      <w:r>
        <w:drawing>
          <wp:inline distT="0" distB="0" distL="114300" distR="114300">
            <wp:extent cx="5272405" cy="2128520"/>
            <wp:effectExtent l="0" t="0" r="635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139950"/>
            <wp:effectExtent l="0" t="0" r="6350" b="889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蓝帆医疗002382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36140"/>
            <wp:effectExtent l="0" t="0" r="635" b="1270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56"/>
          <w:szCs w:val="96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center"/>
      </w:pPr>
    </w:p>
    <w:p>
      <w:pPr>
        <w:jc w:val="center"/>
        <w:rPr>
          <w:rFonts w:hint="eastAsia" w:ascii="黑体" w:hAnsi="黑体" w:eastAsia="黑体" w:cs="黑体"/>
          <w:b/>
          <w:bCs/>
          <w:color w:val="FFFFFF" w:themeColor="background1"/>
          <w:sz w:val="52"/>
          <w:szCs w:val="7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i w:val="0"/>
          <w:iCs w:val="0"/>
          <w:color w:val="FFFFFF" w:themeColor="background1"/>
          <w:sz w:val="72"/>
          <w:szCs w:val="144"/>
          <w:highlight w:val="red"/>
          <w:u w:val="none"/>
          <w:lang w:val="en-US" w:eastAsia="zh-CN"/>
          <w14:textFill>
            <w14:solidFill>
              <w14:schemeClr w14:val="bg1"/>
            </w14:solidFill>
          </w14:textFill>
        </w:rPr>
        <w:t>天地玄黄</w:t>
      </w:r>
      <w:r>
        <w:rPr>
          <w:rFonts w:hint="eastAsia" w:ascii="黑体" w:hAnsi="黑体" w:eastAsia="黑体" w:cs="黑体"/>
          <w:b/>
          <w:bCs/>
          <w:color w:val="FFFFFF" w:themeColor="background1"/>
          <w:sz w:val="72"/>
          <w:szCs w:val="144"/>
          <w:highlight w:val="red"/>
          <w:lang w:val="en-US" w:eastAsia="zh-CN"/>
          <w14:textFill>
            <w14:solidFill>
              <w14:schemeClr w14:val="bg1"/>
            </w14:solidFill>
          </w14:textFill>
        </w:rPr>
        <w:t>买点使用方法</w:t>
      </w:r>
    </w:p>
    <w:p>
      <w:pPr>
        <w:jc w:val="center"/>
      </w:pPr>
      <w:r>
        <w:drawing>
          <wp:inline distT="0" distB="0" distL="114300" distR="114300">
            <wp:extent cx="6339840" cy="256730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底部买点判断：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当股票开始下跌，达到蓝色+红色线区间之后，K线开始变黄，往往意味着股价已经达到底部，当出现3根以上的黄色K线，即为买点。</w:t>
      </w:r>
    </w:p>
    <w:p>
      <w:pPr>
        <w:jc w:val="left"/>
        <w:rPr>
          <w:rFonts w:hint="eastAsia" w:ascii="黑体" w:hAnsi="黑体" w:eastAsia="黑体" w:cs="黑体"/>
          <w:b/>
          <w:bCs/>
          <w:color w:val="FFFFFF" w:themeColor="background1"/>
          <w:sz w:val="40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FFFFFF" w:themeColor="background1"/>
          <w:sz w:val="40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FFFFFF" w:themeColor="background1"/>
          <w:sz w:val="40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举例子：</w:t>
      </w:r>
    </w:p>
    <w:p>
      <w:pPr>
        <w:jc w:val="left"/>
        <w:rPr>
          <w:rFonts w:hint="default" w:ascii="黑体" w:hAnsi="黑体" w:eastAsia="黑体" w:cs="黑体"/>
          <w:b/>
          <w:bCs/>
          <w:color w:val="FFFFFF" w:themeColor="background1"/>
          <w:sz w:val="40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drawing>
          <wp:inline distT="0" distB="0" distL="114300" distR="114300">
            <wp:extent cx="6379845" cy="2588260"/>
            <wp:effectExtent l="0" t="0" r="190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382385" cy="2580005"/>
            <wp:effectExtent l="0" t="0" r="1841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16455"/>
            <wp:effectExtent l="0" t="0" r="4445" b="19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第二买点：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金钻起涨，当价格回踩到红色虚线，红色虚线支撑不破，K线走出3根黄色K线，此位支撑较强也是买点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40"/>
          <w:szCs w:val="48"/>
          <w:highlight w:val="red"/>
          <w:lang w:val="en-US" w:eastAsia="zh-CN"/>
        </w:rPr>
      </w:pPr>
      <w:r>
        <w:rPr>
          <w:rFonts w:hint="eastAsia"/>
          <w:sz w:val="40"/>
          <w:szCs w:val="48"/>
          <w:highlight w:val="red"/>
          <w:lang w:val="en-US" w:eastAsia="zh-CN"/>
        </w:rPr>
        <w:t>举例</w:t>
      </w:r>
    </w:p>
    <w:p>
      <w:pPr>
        <w:jc w:val="both"/>
      </w:pPr>
      <w:r>
        <w:rPr>
          <w:rFonts w:hint="eastAsia"/>
          <w:sz w:val="40"/>
          <w:szCs w:val="48"/>
          <w:highlight w:val="red"/>
          <w:lang w:val="en-US" w:eastAsia="zh-CN"/>
        </w:rPr>
        <w:t>300751迈为股份</w:t>
      </w:r>
      <w:r>
        <w:drawing>
          <wp:inline distT="0" distB="0" distL="114300" distR="114300">
            <wp:extent cx="5266690" cy="2148205"/>
            <wp:effectExtent l="0" t="0" r="6350" b="63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300763锦浪科技</w:t>
      </w:r>
      <w:r>
        <w:drawing>
          <wp:inline distT="0" distB="0" distL="114300" distR="114300">
            <wp:extent cx="5264785" cy="2148205"/>
            <wp:effectExtent l="0" t="0" r="8255" b="63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鹏辉能源300438</w:t>
      </w:r>
    </w:p>
    <w:p>
      <w:pPr>
        <w:jc w:val="both"/>
      </w:pPr>
      <w:r>
        <w:drawing>
          <wp:inline distT="0" distB="0" distL="114300" distR="114300">
            <wp:extent cx="5264785" cy="2144395"/>
            <wp:effectExtent l="0" t="0" r="8255" b="444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32330"/>
            <wp:effectExtent l="0" t="0" r="6350" b="127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FFFFFF" w:themeColor="background1"/>
          <w:sz w:val="32"/>
          <w:szCs w:val="40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32"/>
          <w:szCs w:val="40"/>
          <w:highlight w:val="red"/>
          <w:lang w:val="en-US" w:eastAsia="zh-CN"/>
          <w14:textFill>
            <w14:solidFill>
              <w14:schemeClr w14:val="bg1"/>
            </w14:solidFill>
          </w14:textFill>
        </w:rPr>
        <w:t>买点三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当红色虚线在上蓝色虚线在下，形成红色上升通道，基本确定了该股上涨的趋势，中长线投资在出现红色上升通道时可继续持股待涨，等红色上升通道结束之后再进行止盈出局。短线投资者可灵活操作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124075"/>
            <wp:effectExtent l="0" t="0" r="8255" b="952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44395"/>
            <wp:effectExtent l="0" t="0" r="4445" b="444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28520"/>
            <wp:effectExtent l="0" t="0" r="2540" b="508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48205"/>
            <wp:effectExtent l="0" t="0" r="635" b="63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48205"/>
            <wp:effectExtent l="0" t="0" r="254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B1461C"/>
    <w:rsid w:val="16D325E4"/>
    <w:rsid w:val="3119020D"/>
    <w:rsid w:val="454A2597"/>
    <w:rsid w:val="58816FF7"/>
    <w:rsid w:val="5C990A8B"/>
    <w:rsid w:val="6DAD05CC"/>
    <w:rsid w:val="7D5A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2021-02-18T02:06:00Z</dcterms:created>
  <dc:creator>ASUS</dc:creator>
  <cp:lastModifiedBy>建辉</cp:lastModifiedBy>
  <dcterms:modified xsi:type="dcterms:W3CDTF">2021-07-27T01:55:13Z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A2DA74706C6241EB815A5248000DF9D6</vt:lpwstr>
  </property>
</Properties>
</file>