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spacing w:before="0" w:beforeLines="0" w:after="163"/>
        <w:ind w:firstLine="482"/>
        <w:rPr>
          <w:rFonts w:ascii="楷体" w:hAnsi="楷体" w:eastAsia="楷体"/>
        </w:rPr>
      </w:pPr>
      <w:r>
        <w:rPr>
          <w:rFonts w:ascii="楷体" w:hAnsi="楷体" w:eastAsia="楷体"/>
        </w:rPr>
        <w:t>第14周</w:t>
      </w:r>
      <w:r>
        <w:rPr>
          <w:rFonts w:hint="eastAsia" w:ascii="楷体" w:hAnsi="楷体" w:eastAsia="楷体"/>
        </w:rPr>
        <w:t>作业</w:t>
      </w:r>
    </w:p>
    <w:p>
      <w:pPr>
        <w:pStyle w:val="3"/>
        <w:rPr>
          <w:rFonts w:ascii="楷体" w:hAnsi="楷体" w:eastAsia="楷体"/>
        </w:rPr>
      </w:pPr>
      <w:r>
        <w:rPr>
          <w:rFonts w:hint="eastAsia" w:ascii="楷体" w:hAnsi="楷体" w:eastAsia="楷体"/>
        </w:rPr>
        <w:t>案例一：</w:t>
      </w:r>
    </w:p>
    <w:p>
      <w:pPr>
        <w:widowControl/>
        <w:spacing w:line="360" w:lineRule="auto"/>
        <w:ind w:firstLine="480"/>
        <w:jc w:val="left"/>
        <w:rPr>
          <w:rFonts w:ascii="楷体" w:hAnsi="楷体" w:eastAsia="楷体" w:cs="宋体"/>
          <w:kern w:val="0"/>
        </w:rPr>
      </w:pPr>
      <w:r>
        <w:rPr>
          <w:rFonts w:hint="eastAsia" w:ascii="楷体" w:hAnsi="楷体" w:eastAsia="楷体" w:cs="宋体"/>
          <w:kern w:val="0"/>
        </w:rPr>
        <w:t>根据洋河股份近五年合并资产负债表信息，通过准货币资金、应收账款、预付款项、固定资产等项目，分析评价一下公司的经营资产质量情况。（100分）</w:t>
      </w:r>
    </w:p>
    <w:p>
      <w:pPr>
        <w:ind w:firstLine="0" w:firstLineChars="0"/>
        <w:rPr>
          <w:rFonts w:ascii="楷体" w:hAnsi="楷体" w:eastAsia="楷体"/>
        </w:rPr>
      </w:pPr>
      <w:r>
        <w:rPr>
          <w:rFonts w:hint="eastAsia" w:ascii="楷体" w:hAnsi="楷体" w:eastAsia="楷体"/>
          <w:b/>
          <w:bCs/>
          <w:color w:val="FF0000"/>
        </w:rPr>
        <w:t>提示：年报中查找的数据单位为“元”，填到表格时注意换算为“亿元”</w:t>
      </w:r>
    </w:p>
    <w:p>
      <w:pPr>
        <w:pStyle w:val="4"/>
        <w:rPr>
          <w:rFonts w:ascii="楷体" w:hAnsi="楷体" w:eastAsia="楷体"/>
        </w:rPr>
      </w:pPr>
      <w:r>
        <w:rPr>
          <w:rFonts w:hint="eastAsia" w:ascii="楷体" w:hAnsi="楷体" w:eastAsia="楷体"/>
        </w:rPr>
        <w:t>一、准货币资金占资产总计的比例（高一些比较好）</w:t>
      </w:r>
      <w:r>
        <w:rPr>
          <w:rFonts w:hint="eastAsia" w:ascii="微软雅黑" w:hAnsi="微软雅黑" w:eastAsia="微软雅黑" w:cs="宋体"/>
          <w:kern w:val="0"/>
          <w:sz w:val="24"/>
        </w:rPr>
        <w:t>（</w:t>
      </w:r>
      <w:r>
        <w:rPr>
          <w:rFonts w:ascii="微软雅黑" w:hAnsi="微软雅黑" w:eastAsia="微软雅黑" w:cs="宋体"/>
          <w:kern w:val="0"/>
          <w:sz w:val="24"/>
        </w:rPr>
        <w:t>25</w:t>
      </w:r>
      <w:r>
        <w:rPr>
          <w:rFonts w:hint="eastAsia" w:ascii="微软雅黑" w:hAnsi="微软雅黑" w:eastAsia="微软雅黑" w:cs="宋体"/>
          <w:kern w:val="0"/>
          <w:sz w:val="24"/>
        </w:rPr>
        <w:t>分）</w:t>
      </w:r>
    </w:p>
    <w:p>
      <w:pPr>
        <w:pStyle w:val="32"/>
      </w:pPr>
      <w:r>
        <w:rPr>
          <w:rFonts w:hint="eastAsia"/>
        </w:rPr>
        <w:t>1</w:t>
      </w:r>
      <w:r>
        <w:t>.分析思路：</w:t>
      </w:r>
    </w:p>
    <w:p>
      <w:pPr>
        <w:ind w:firstLine="0" w:firstLineChars="0"/>
        <w:jc w:val="center"/>
        <w:rPr>
          <w:rFonts w:ascii="楷体" w:hAnsi="楷体" w:eastAsia="楷体"/>
        </w:rPr>
      </w:pPr>
      <w:r>
        <w:rPr>
          <w:rFonts w:ascii="楷体" w:hAnsi="楷体" w:eastAsia="楷体"/>
        </w:rPr>
        <w:drawing>
          <wp:inline distT="0" distB="0" distL="0" distR="0">
            <wp:extent cx="5273675" cy="335534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80095" cy="3359277"/>
                    </a:xfrm>
                    <a:prstGeom prst="rect">
                      <a:avLst/>
                    </a:prstGeom>
                    <a:noFill/>
                    <a:ln>
                      <a:noFill/>
                    </a:ln>
                  </pic:spPr>
                </pic:pic>
              </a:graphicData>
            </a:graphic>
          </wp:inline>
        </w:drawing>
      </w:r>
    </w:p>
    <w:p>
      <w:pPr>
        <w:ind w:firstLine="480"/>
        <w:rPr>
          <w:rFonts w:ascii="楷体" w:hAnsi="楷体" w:eastAsia="楷体"/>
        </w:rPr>
      </w:pPr>
    </w:p>
    <w:p>
      <w:pPr>
        <w:pStyle w:val="32"/>
      </w:pPr>
      <w:bookmarkStart w:id="0" w:name="_Hlk52267060"/>
      <w:r>
        <w:rPr>
          <w:rFonts w:hint="eastAsia"/>
        </w:rPr>
        <w:t>2</w:t>
      </w:r>
      <w:r>
        <w:t>.</w:t>
      </w:r>
      <w:r>
        <w:rPr>
          <w:rFonts w:hint="eastAsia"/>
        </w:rPr>
        <w:t>近五年数据收集汇总：</w:t>
      </w:r>
      <w:bookmarkEnd w:id="0"/>
      <w:r>
        <w:rPr>
          <w:rFonts w:hint="eastAsia"/>
        </w:rPr>
        <w:t>货币资金、交易性金融资产、其他流动资产里的理财产品、资产总计，并计算准货币资金、准货币资金占资产总计的比值</w:t>
      </w:r>
    </w:p>
    <w:p>
      <w:pPr>
        <w:ind w:right="480" w:firstLine="482"/>
        <w:jc w:val="center"/>
        <w:rPr>
          <w:rFonts w:ascii="楷体" w:hAnsi="楷体" w:eastAsia="楷体"/>
          <w:b/>
          <w:bCs/>
        </w:rPr>
      </w:pPr>
      <w:r>
        <w:rPr>
          <w:rFonts w:hint="eastAsia" w:ascii="楷体" w:hAnsi="楷体" w:eastAsia="楷体"/>
          <w:b/>
          <w:bCs/>
        </w:rPr>
        <w:t xml:space="preserve"> </w:t>
      </w:r>
      <w:r>
        <w:rPr>
          <w:rFonts w:ascii="楷体" w:hAnsi="楷体" w:eastAsia="楷体"/>
          <w:b/>
          <w:bCs/>
        </w:rPr>
        <w:t xml:space="preserve">                                               </w:t>
      </w:r>
      <w:r>
        <w:rPr>
          <w:rFonts w:hint="eastAsia" w:ascii="楷体" w:hAnsi="楷体" w:eastAsia="楷体"/>
          <w:b/>
          <w:bCs/>
        </w:rPr>
        <w:t>单位：亿元</w:t>
      </w:r>
    </w:p>
    <w:tbl>
      <w:tblPr>
        <w:tblStyle w:val="13"/>
        <w:tblW w:w="8359" w:type="dxa"/>
        <w:jc w:val="center"/>
        <w:tblLayout w:type="fixed"/>
        <w:tblCellMar>
          <w:top w:w="0" w:type="dxa"/>
          <w:left w:w="108" w:type="dxa"/>
          <w:bottom w:w="0" w:type="dxa"/>
          <w:right w:w="108" w:type="dxa"/>
        </w:tblCellMar>
      </w:tblPr>
      <w:tblGrid>
        <w:gridCol w:w="2689"/>
        <w:gridCol w:w="882"/>
        <w:gridCol w:w="993"/>
        <w:gridCol w:w="882"/>
        <w:gridCol w:w="882"/>
        <w:gridCol w:w="906"/>
        <w:gridCol w:w="1125"/>
      </w:tblGrid>
      <w:tr>
        <w:tblPrEx>
          <w:tblCellMar>
            <w:top w:w="0" w:type="dxa"/>
            <w:left w:w="108" w:type="dxa"/>
            <w:bottom w:w="0" w:type="dxa"/>
            <w:right w:w="108" w:type="dxa"/>
          </w:tblCellMar>
        </w:tblPrEx>
        <w:trPr>
          <w:trHeight w:val="288" w:hRule="atLeast"/>
          <w:jc w:val="center"/>
        </w:trPr>
        <w:tc>
          <w:tcPr>
            <w:tcW w:w="2689" w:type="dxa"/>
            <w:tcBorders>
              <w:top w:val="single" w:color="auto" w:sz="4" w:space="0"/>
              <w:left w:val="single" w:color="auto" w:sz="4" w:space="0"/>
              <w:bottom w:val="single" w:color="auto" w:sz="4" w:space="0"/>
              <w:right w:val="single" w:color="auto" w:sz="4" w:space="0"/>
            </w:tcBorders>
            <w:shd w:val="clear" w:color="auto" w:fill="4472C4" w:themeFill="accent1"/>
            <w:vAlign w:val="center"/>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分析准货币资金</w:t>
            </w:r>
          </w:p>
        </w:tc>
        <w:tc>
          <w:tcPr>
            <w:tcW w:w="882"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6</w:t>
            </w:r>
          </w:p>
        </w:tc>
        <w:tc>
          <w:tcPr>
            <w:tcW w:w="993"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7</w:t>
            </w:r>
          </w:p>
        </w:tc>
        <w:tc>
          <w:tcPr>
            <w:tcW w:w="882"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8</w:t>
            </w:r>
          </w:p>
        </w:tc>
        <w:tc>
          <w:tcPr>
            <w:tcW w:w="882"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9</w:t>
            </w:r>
          </w:p>
        </w:tc>
        <w:tc>
          <w:tcPr>
            <w:tcW w:w="906"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w:t>
            </w:r>
            <w:r>
              <w:rPr>
                <w:rFonts w:ascii="楷体" w:hAnsi="楷体" w:eastAsia="楷体" w:cs="宋体"/>
                <w:b/>
                <w:bCs/>
                <w:color w:val="FFFFFF"/>
                <w:kern w:val="0"/>
                <w:sz w:val="22"/>
                <w:szCs w:val="22"/>
              </w:rPr>
              <w:t>20</w:t>
            </w:r>
          </w:p>
        </w:tc>
        <w:tc>
          <w:tcPr>
            <w:tcW w:w="1125" w:type="dxa"/>
            <w:tcBorders>
              <w:left w:val="single" w:color="auto" w:sz="4" w:space="0"/>
            </w:tcBorders>
            <w:shd w:val="clear" w:color="auto" w:fill="auto"/>
          </w:tcPr>
          <w:p>
            <w:pPr>
              <w:widowControl/>
              <w:spacing w:line="240" w:lineRule="auto"/>
              <w:ind w:firstLine="0" w:firstLineChars="0"/>
              <w:jc w:val="center"/>
              <w:rPr>
                <w:rFonts w:ascii="楷体" w:hAnsi="楷体" w:eastAsia="楷体" w:cs="宋体"/>
                <w:b/>
                <w:bCs/>
                <w:color w:val="FFFFFF"/>
                <w:kern w:val="0"/>
                <w:sz w:val="22"/>
                <w:szCs w:val="22"/>
              </w:rPr>
            </w:pPr>
          </w:p>
        </w:tc>
      </w:tr>
      <w:tr>
        <w:tblPrEx>
          <w:tblCellMar>
            <w:top w:w="0" w:type="dxa"/>
            <w:left w:w="108" w:type="dxa"/>
            <w:bottom w:w="0" w:type="dxa"/>
            <w:right w:w="108" w:type="dxa"/>
          </w:tblCellMar>
        </w:tblPrEx>
        <w:trPr>
          <w:trHeight w:val="288" w:hRule="atLeast"/>
          <w:jc w:val="center"/>
        </w:trPr>
        <w:tc>
          <w:tcPr>
            <w:tcW w:w="268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货币资金</w:t>
            </w:r>
          </w:p>
        </w:tc>
        <w:tc>
          <w:tcPr>
            <w:tcW w:w="88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24.57</w:t>
            </w:r>
          </w:p>
        </w:tc>
        <w:tc>
          <w:tcPr>
            <w:tcW w:w="993"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17.51</w:t>
            </w:r>
          </w:p>
        </w:tc>
        <w:tc>
          <w:tcPr>
            <w:tcW w:w="882"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36.15</w:t>
            </w:r>
          </w:p>
        </w:tc>
        <w:tc>
          <w:tcPr>
            <w:tcW w:w="882"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43.00</w:t>
            </w:r>
          </w:p>
        </w:tc>
        <w:tc>
          <w:tcPr>
            <w:tcW w:w="906" w:type="dxa"/>
            <w:tcBorders>
              <w:top w:val="single" w:color="auto" w:sz="4" w:space="0"/>
              <w:left w:val="single" w:color="auto" w:sz="4" w:space="0"/>
              <w:bottom w:val="single" w:color="auto" w:sz="4" w:space="0"/>
              <w:right w:val="single" w:color="auto" w:sz="4" w:space="0"/>
            </w:tcBorders>
            <w:shd w:val="clear" w:color="auto" w:fill="FFFF00"/>
          </w:tcPr>
          <w:p>
            <w:pPr>
              <w:widowControl/>
              <w:spacing w:line="240" w:lineRule="auto"/>
              <w:ind w:firstLine="0" w:firstLineChars="0"/>
              <w:jc w:val="center"/>
              <w:rPr>
                <w:rFonts w:ascii="楷体" w:hAnsi="楷体" w:eastAsia="楷体" w:cs="宋体"/>
                <w:color w:val="000000"/>
                <w:kern w:val="0"/>
                <w:sz w:val="22"/>
                <w:szCs w:val="22"/>
              </w:rPr>
            </w:pPr>
          </w:p>
        </w:tc>
        <w:tc>
          <w:tcPr>
            <w:tcW w:w="1125" w:type="dxa"/>
            <w:tcBorders>
              <w:left w:val="single" w:color="auto" w:sz="4" w:space="0"/>
            </w:tcBorders>
            <w:shd w:val="clear" w:color="auto" w:fill="auto"/>
          </w:tcPr>
          <w:p>
            <w:pPr>
              <w:widowControl/>
              <w:spacing w:line="240" w:lineRule="auto"/>
              <w:ind w:left="1" w:leftChars="-81" w:right="-226" w:rightChars="-94" w:hanging="195" w:hangingChars="89"/>
              <w:jc w:val="center"/>
              <w:rPr>
                <w:rFonts w:ascii="楷体" w:hAnsi="楷体" w:eastAsia="楷体" w:cs="宋体"/>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解析1</w:t>
            </w:r>
          </w:p>
        </w:tc>
      </w:tr>
      <w:tr>
        <w:tblPrEx>
          <w:tblCellMar>
            <w:top w:w="0" w:type="dxa"/>
            <w:left w:w="108" w:type="dxa"/>
            <w:bottom w:w="0" w:type="dxa"/>
            <w:right w:w="108" w:type="dxa"/>
          </w:tblCellMar>
        </w:tblPrEx>
        <w:trPr>
          <w:trHeight w:val="288" w:hRule="atLeast"/>
          <w:jc w:val="center"/>
        </w:trPr>
        <w:tc>
          <w:tcPr>
            <w:tcW w:w="268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交易性金融资产</w:t>
            </w:r>
          </w:p>
        </w:tc>
        <w:tc>
          <w:tcPr>
            <w:tcW w:w="88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p>
        </w:tc>
        <w:tc>
          <w:tcPr>
            <w:tcW w:w="993"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kern w:val="0"/>
                <w:sz w:val="22"/>
                <w:szCs w:val="22"/>
              </w:rPr>
            </w:pPr>
            <w:r>
              <w:rPr>
                <w:rFonts w:hint="eastAsia" w:ascii="楷体" w:hAnsi="楷体" w:eastAsia="楷体"/>
                <w:kern w:val="0"/>
                <w:sz w:val="22"/>
                <w:szCs w:val="22"/>
              </w:rPr>
              <w:t>0</w:t>
            </w:r>
          </w:p>
        </w:tc>
        <w:tc>
          <w:tcPr>
            <w:tcW w:w="882"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kern w:val="0"/>
                <w:sz w:val="22"/>
                <w:szCs w:val="22"/>
              </w:rPr>
            </w:pPr>
            <w:r>
              <w:rPr>
                <w:rFonts w:hint="eastAsia" w:ascii="楷体" w:hAnsi="楷体" w:eastAsia="楷体"/>
                <w:kern w:val="0"/>
                <w:sz w:val="22"/>
                <w:szCs w:val="22"/>
              </w:rPr>
              <w:t>0</w:t>
            </w:r>
          </w:p>
        </w:tc>
        <w:tc>
          <w:tcPr>
            <w:tcW w:w="882"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kern w:val="0"/>
                <w:sz w:val="22"/>
                <w:szCs w:val="22"/>
              </w:rPr>
            </w:pPr>
            <w:r>
              <w:rPr>
                <w:rFonts w:hint="eastAsia" w:ascii="楷体" w:hAnsi="楷体" w:eastAsia="楷体"/>
                <w:kern w:val="0"/>
                <w:sz w:val="22"/>
                <w:szCs w:val="22"/>
              </w:rPr>
              <w:t>1</w:t>
            </w:r>
            <w:r>
              <w:rPr>
                <w:rFonts w:ascii="楷体" w:hAnsi="楷体" w:eastAsia="楷体"/>
                <w:kern w:val="0"/>
                <w:sz w:val="22"/>
                <w:szCs w:val="22"/>
              </w:rPr>
              <w:t>79.77</w:t>
            </w:r>
          </w:p>
        </w:tc>
        <w:tc>
          <w:tcPr>
            <w:tcW w:w="906" w:type="dxa"/>
            <w:tcBorders>
              <w:top w:val="single" w:color="auto" w:sz="4" w:space="0"/>
              <w:left w:val="single" w:color="auto" w:sz="4" w:space="0"/>
              <w:bottom w:val="single" w:color="auto" w:sz="4" w:space="0"/>
              <w:right w:val="single" w:color="auto" w:sz="4" w:space="0"/>
            </w:tcBorders>
            <w:shd w:val="clear" w:color="auto" w:fill="FFFF00"/>
          </w:tcPr>
          <w:p>
            <w:pPr>
              <w:widowControl/>
              <w:spacing w:line="240" w:lineRule="auto"/>
              <w:ind w:firstLine="0" w:firstLineChars="0"/>
              <w:jc w:val="center"/>
              <w:rPr>
                <w:rFonts w:ascii="楷体" w:hAnsi="楷体" w:eastAsia="楷体" w:cs="宋体"/>
                <w:color w:val="000000"/>
                <w:kern w:val="0"/>
                <w:sz w:val="22"/>
                <w:szCs w:val="22"/>
              </w:rPr>
            </w:pPr>
          </w:p>
        </w:tc>
        <w:tc>
          <w:tcPr>
            <w:tcW w:w="1125" w:type="dxa"/>
            <w:tcBorders>
              <w:left w:val="single" w:color="auto" w:sz="4" w:space="0"/>
            </w:tcBorders>
            <w:shd w:val="clear" w:color="auto" w:fill="auto"/>
          </w:tcPr>
          <w:p>
            <w:pPr>
              <w:widowControl/>
              <w:spacing w:line="240" w:lineRule="auto"/>
              <w:ind w:left="1" w:leftChars="-81" w:right="-226" w:rightChars="-94" w:hanging="195" w:hangingChars="89"/>
              <w:jc w:val="center"/>
              <w:rPr>
                <w:rFonts w:ascii="楷体" w:hAnsi="楷体" w:eastAsia="楷体" w:cs="宋体"/>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解析1</w:t>
            </w:r>
          </w:p>
        </w:tc>
      </w:tr>
      <w:tr>
        <w:tblPrEx>
          <w:tblCellMar>
            <w:top w:w="0" w:type="dxa"/>
            <w:left w:w="108" w:type="dxa"/>
            <w:bottom w:w="0" w:type="dxa"/>
            <w:right w:w="108" w:type="dxa"/>
          </w:tblCellMar>
        </w:tblPrEx>
        <w:trPr>
          <w:trHeight w:val="288" w:hRule="atLeast"/>
          <w:jc w:val="center"/>
        </w:trPr>
        <w:tc>
          <w:tcPr>
            <w:tcW w:w="268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000000"/>
                <w:kern w:val="0"/>
                <w:sz w:val="22"/>
                <w:szCs w:val="22"/>
              </w:rPr>
            </w:pPr>
            <w:bookmarkStart w:id="1" w:name="_Hlk68267465"/>
            <w:r>
              <w:rPr>
                <w:rFonts w:hint="eastAsia" w:ascii="楷体" w:hAnsi="楷体" w:eastAsia="楷体" w:cs="宋体"/>
                <w:color w:val="000000"/>
                <w:kern w:val="0"/>
                <w:sz w:val="22"/>
                <w:szCs w:val="22"/>
              </w:rPr>
              <w:t>其他流动资产里边的理财</w:t>
            </w:r>
            <w:bookmarkEnd w:id="1"/>
          </w:p>
        </w:tc>
        <w:tc>
          <w:tcPr>
            <w:tcW w:w="88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color w:val="000000"/>
                <w:kern w:val="0"/>
                <w:sz w:val="22"/>
                <w:szCs w:val="22"/>
              </w:rPr>
            </w:pPr>
            <w:r>
              <w:rPr>
                <w:rFonts w:hint="eastAsia" w:ascii="楷体" w:hAnsi="楷体" w:eastAsia="楷体" w:cs="宋体"/>
                <w:color w:val="000000"/>
                <w:kern w:val="0"/>
                <w:sz w:val="22"/>
                <w:szCs w:val="22"/>
              </w:rPr>
              <w:t>9</w:t>
            </w:r>
            <w:r>
              <w:rPr>
                <w:rFonts w:ascii="楷体" w:hAnsi="楷体" w:eastAsia="楷体" w:cs="宋体"/>
                <w:color w:val="000000"/>
                <w:kern w:val="0"/>
                <w:sz w:val="22"/>
                <w:szCs w:val="22"/>
              </w:rPr>
              <w:t>8.74</w:t>
            </w:r>
          </w:p>
        </w:tc>
        <w:tc>
          <w:tcPr>
            <w:tcW w:w="993"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kern w:val="0"/>
                <w:sz w:val="20"/>
                <w:szCs w:val="20"/>
              </w:rPr>
            </w:pPr>
            <w:r>
              <w:rPr>
                <w:rFonts w:hint="eastAsia" w:ascii="楷体" w:hAnsi="楷体" w:eastAsia="楷体"/>
                <w:kern w:val="0"/>
                <w:sz w:val="21"/>
                <w:szCs w:val="21"/>
              </w:rPr>
              <w:t>1</w:t>
            </w:r>
            <w:r>
              <w:rPr>
                <w:rFonts w:ascii="楷体" w:hAnsi="楷体" w:eastAsia="楷体"/>
                <w:kern w:val="0"/>
                <w:sz w:val="21"/>
                <w:szCs w:val="21"/>
              </w:rPr>
              <w:t>28.23</w:t>
            </w:r>
          </w:p>
        </w:tc>
        <w:tc>
          <w:tcPr>
            <w:tcW w:w="882" w:type="dxa"/>
            <w:tcBorders>
              <w:top w:val="single" w:color="auto" w:sz="4" w:space="0"/>
              <w:left w:val="single" w:color="auto" w:sz="4" w:space="0"/>
              <w:bottom w:val="single" w:color="auto" w:sz="4" w:space="0"/>
              <w:right w:val="single" w:color="auto" w:sz="4" w:space="0"/>
            </w:tcBorders>
            <w:shd w:val="clear" w:color="auto" w:fill="FFFF00"/>
          </w:tcPr>
          <w:p>
            <w:pPr>
              <w:widowControl/>
              <w:spacing w:line="240" w:lineRule="auto"/>
              <w:ind w:firstLine="0" w:firstLineChars="0"/>
              <w:jc w:val="center"/>
              <w:rPr>
                <w:rFonts w:ascii="楷体" w:hAnsi="楷体" w:eastAsia="楷体" w:cs="宋体"/>
                <w:color w:val="000000"/>
                <w:kern w:val="0"/>
                <w:sz w:val="22"/>
                <w:szCs w:val="22"/>
              </w:rPr>
            </w:pPr>
          </w:p>
        </w:tc>
        <w:tc>
          <w:tcPr>
            <w:tcW w:w="882"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p>
        </w:tc>
        <w:tc>
          <w:tcPr>
            <w:tcW w:w="906"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p>
        </w:tc>
        <w:tc>
          <w:tcPr>
            <w:tcW w:w="1125" w:type="dxa"/>
            <w:tcBorders>
              <w:left w:val="single" w:color="auto" w:sz="4" w:space="0"/>
            </w:tcBorders>
            <w:shd w:val="clear" w:color="auto" w:fill="auto"/>
          </w:tcPr>
          <w:p>
            <w:pPr>
              <w:widowControl/>
              <w:spacing w:line="240" w:lineRule="auto"/>
              <w:ind w:left="1" w:leftChars="-81" w:right="-226" w:rightChars="-94" w:hanging="195" w:hangingChars="89"/>
              <w:jc w:val="center"/>
              <w:rPr>
                <w:rFonts w:ascii="楷体" w:hAnsi="楷体" w:eastAsia="楷体" w:cs="宋体"/>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解析2</w:t>
            </w:r>
          </w:p>
        </w:tc>
      </w:tr>
      <w:tr>
        <w:tblPrEx>
          <w:tblCellMar>
            <w:top w:w="0" w:type="dxa"/>
            <w:left w:w="108" w:type="dxa"/>
            <w:bottom w:w="0" w:type="dxa"/>
            <w:right w:w="108" w:type="dxa"/>
          </w:tblCellMar>
        </w:tblPrEx>
        <w:trPr>
          <w:trHeight w:val="288" w:hRule="atLeast"/>
          <w:jc w:val="center"/>
        </w:trPr>
        <w:tc>
          <w:tcPr>
            <w:tcW w:w="268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准货币资金</w:t>
            </w:r>
          </w:p>
        </w:tc>
        <w:tc>
          <w:tcPr>
            <w:tcW w:w="88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123.31</w:t>
            </w:r>
          </w:p>
        </w:tc>
        <w:tc>
          <w:tcPr>
            <w:tcW w:w="99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145.75</w:t>
            </w:r>
          </w:p>
        </w:tc>
        <w:tc>
          <w:tcPr>
            <w:tcW w:w="88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204.01</w:t>
            </w:r>
          </w:p>
        </w:tc>
        <w:tc>
          <w:tcPr>
            <w:tcW w:w="88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222.77</w:t>
            </w:r>
          </w:p>
        </w:tc>
        <w:tc>
          <w:tcPr>
            <w:tcW w:w="906" w:type="dxa"/>
            <w:tcBorders>
              <w:top w:val="single" w:color="auto" w:sz="4" w:space="0"/>
              <w:left w:val="single" w:color="auto" w:sz="4" w:space="0"/>
              <w:bottom w:val="single" w:color="auto" w:sz="4" w:space="0"/>
              <w:right w:val="single" w:color="auto" w:sz="4" w:space="0"/>
            </w:tcBorders>
            <w:shd w:val="clear" w:color="auto" w:fill="FFFF00"/>
            <w:noWrap/>
            <w:vAlign w:val="center"/>
          </w:tcPr>
          <w:p>
            <w:pPr>
              <w:widowControl/>
              <w:spacing w:line="240" w:lineRule="auto"/>
              <w:ind w:firstLine="0" w:firstLineChars="0"/>
              <w:jc w:val="center"/>
              <w:rPr>
                <w:rFonts w:ascii="楷体" w:hAnsi="楷体" w:eastAsia="楷体" w:cs="宋体"/>
                <w:b/>
                <w:bCs/>
                <w:color w:val="ED7D31"/>
                <w:kern w:val="0"/>
                <w:sz w:val="22"/>
                <w:szCs w:val="22"/>
                <w:highlight w:val="yellow"/>
              </w:rPr>
            </w:pPr>
          </w:p>
        </w:tc>
        <w:tc>
          <w:tcPr>
            <w:tcW w:w="1125" w:type="dxa"/>
            <w:tcBorders>
              <w:left w:val="single" w:color="auto" w:sz="4" w:space="0"/>
            </w:tcBorders>
            <w:shd w:val="clear" w:color="auto" w:fill="auto"/>
          </w:tcPr>
          <w:p>
            <w:pPr>
              <w:widowControl/>
              <w:spacing w:line="240" w:lineRule="auto"/>
              <w:ind w:left="1" w:leftChars="-81" w:right="-226" w:rightChars="-94" w:hanging="195" w:hangingChars="89"/>
              <w:jc w:val="center"/>
              <w:rPr>
                <w:rFonts w:ascii="楷体" w:hAnsi="楷体" w:eastAsia="楷体" w:cs="宋体"/>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下面有公式</w:t>
            </w:r>
          </w:p>
        </w:tc>
      </w:tr>
      <w:tr>
        <w:tblPrEx>
          <w:tblCellMar>
            <w:top w:w="0" w:type="dxa"/>
            <w:left w:w="108" w:type="dxa"/>
            <w:bottom w:w="0" w:type="dxa"/>
            <w:right w:w="108" w:type="dxa"/>
          </w:tblCellMar>
        </w:tblPrEx>
        <w:trPr>
          <w:trHeight w:val="288" w:hRule="atLeast"/>
          <w:jc w:val="center"/>
        </w:trPr>
        <w:tc>
          <w:tcPr>
            <w:tcW w:w="268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资产总计</w:t>
            </w:r>
          </w:p>
        </w:tc>
        <w:tc>
          <w:tcPr>
            <w:tcW w:w="88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388.04</w:t>
            </w:r>
          </w:p>
        </w:tc>
        <w:tc>
          <w:tcPr>
            <w:tcW w:w="993"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432.58</w:t>
            </w:r>
          </w:p>
        </w:tc>
        <w:tc>
          <w:tcPr>
            <w:tcW w:w="882"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495.64</w:t>
            </w:r>
          </w:p>
        </w:tc>
        <w:tc>
          <w:tcPr>
            <w:tcW w:w="882"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534</w:t>
            </w:r>
            <w:r>
              <w:rPr>
                <w:rFonts w:hint="eastAsia" w:ascii="楷体" w:hAnsi="楷体" w:eastAsia="楷体" w:cs="宋体"/>
                <w:color w:val="000000"/>
                <w:kern w:val="0"/>
                <w:sz w:val="22"/>
                <w:szCs w:val="22"/>
              </w:rPr>
              <w:t>.55</w:t>
            </w:r>
          </w:p>
        </w:tc>
        <w:tc>
          <w:tcPr>
            <w:tcW w:w="906" w:type="dxa"/>
            <w:tcBorders>
              <w:top w:val="single" w:color="auto" w:sz="4" w:space="0"/>
              <w:left w:val="single" w:color="auto" w:sz="4" w:space="0"/>
              <w:bottom w:val="single" w:color="auto" w:sz="4" w:space="0"/>
              <w:right w:val="single" w:color="auto" w:sz="4" w:space="0"/>
            </w:tcBorders>
            <w:shd w:val="clear" w:color="auto" w:fill="FFFF00"/>
          </w:tcPr>
          <w:p>
            <w:pPr>
              <w:widowControl/>
              <w:spacing w:line="240" w:lineRule="auto"/>
              <w:ind w:firstLine="0" w:firstLineChars="0"/>
              <w:jc w:val="center"/>
              <w:rPr>
                <w:rFonts w:ascii="楷体" w:hAnsi="楷体" w:eastAsia="楷体" w:cs="宋体"/>
                <w:color w:val="000000"/>
                <w:kern w:val="0"/>
                <w:sz w:val="22"/>
                <w:szCs w:val="22"/>
              </w:rPr>
            </w:pPr>
          </w:p>
        </w:tc>
        <w:tc>
          <w:tcPr>
            <w:tcW w:w="1125" w:type="dxa"/>
            <w:tcBorders>
              <w:left w:val="single" w:color="auto" w:sz="4" w:space="0"/>
            </w:tcBorders>
            <w:shd w:val="clear" w:color="auto" w:fill="auto"/>
          </w:tcPr>
          <w:p>
            <w:pPr>
              <w:widowControl/>
              <w:spacing w:line="240" w:lineRule="auto"/>
              <w:ind w:left="1" w:leftChars="-81" w:right="-226" w:rightChars="-94" w:hanging="195" w:hangingChars="89"/>
              <w:jc w:val="center"/>
              <w:rPr>
                <w:rFonts w:ascii="楷体" w:hAnsi="楷体" w:eastAsia="楷体" w:cs="宋体"/>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解析3</w:t>
            </w:r>
          </w:p>
        </w:tc>
      </w:tr>
      <w:tr>
        <w:tblPrEx>
          <w:tblCellMar>
            <w:top w:w="0" w:type="dxa"/>
            <w:left w:w="108" w:type="dxa"/>
            <w:bottom w:w="0" w:type="dxa"/>
            <w:right w:w="108" w:type="dxa"/>
          </w:tblCellMar>
        </w:tblPrEx>
        <w:trPr>
          <w:trHeight w:val="288" w:hRule="atLeast"/>
          <w:jc w:val="center"/>
        </w:trPr>
        <w:tc>
          <w:tcPr>
            <w:tcW w:w="268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kern w:val="0"/>
                <w:sz w:val="22"/>
                <w:szCs w:val="22"/>
              </w:rPr>
            </w:pPr>
            <w:r>
              <w:rPr>
                <w:rFonts w:hint="eastAsia" w:ascii="楷体" w:hAnsi="楷体" w:eastAsia="楷体" w:cs="宋体"/>
                <w:kern w:val="0"/>
                <w:sz w:val="22"/>
                <w:szCs w:val="22"/>
              </w:rPr>
              <w:t>准货币资金占资产总计的比例</w:t>
            </w:r>
          </w:p>
        </w:tc>
        <w:tc>
          <w:tcPr>
            <w:tcW w:w="88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kern w:val="0"/>
                <w:sz w:val="22"/>
                <w:szCs w:val="22"/>
              </w:rPr>
            </w:pPr>
            <w:r>
              <w:rPr>
                <w:rFonts w:ascii="楷体" w:hAnsi="楷体" w:eastAsia="楷体" w:cs="宋体"/>
                <w:kern w:val="0"/>
                <w:sz w:val="22"/>
                <w:szCs w:val="22"/>
              </w:rPr>
              <w:t>31.78</w:t>
            </w:r>
            <w:r>
              <w:rPr>
                <w:rFonts w:hint="eastAsia" w:ascii="楷体" w:hAnsi="楷体" w:eastAsia="楷体" w:cs="宋体"/>
                <w:kern w:val="0"/>
                <w:sz w:val="22"/>
                <w:szCs w:val="22"/>
              </w:rPr>
              <w:t>%</w:t>
            </w:r>
          </w:p>
        </w:tc>
        <w:tc>
          <w:tcPr>
            <w:tcW w:w="993"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kern w:val="0"/>
                <w:sz w:val="22"/>
                <w:szCs w:val="22"/>
              </w:rPr>
            </w:pPr>
            <w:r>
              <w:rPr>
                <w:rFonts w:ascii="楷体" w:hAnsi="楷体" w:eastAsia="楷体" w:cs="宋体"/>
                <w:kern w:val="0"/>
                <w:sz w:val="22"/>
                <w:szCs w:val="22"/>
              </w:rPr>
              <w:t>33.69</w:t>
            </w:r>
            <w:r>
              <w:rPr>
                <w:rFonts w:hint="eastAsia" w:ascii="楷体" w:hAnsi="楷体" w:eastAsia="楷体" w:cs="宋体"/>
                <w:kern w:val="0"/>
                <w:sz w:val="22"/>
                <w:szCs w:val="22"/>
              </w:rPr>
              <w:t>%</w:t>
            </w:r>
          </w:p>
        </w:tc>
        <w:tc>
          <w:tcPr>
            <w:tcW w:w="88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kern w:val="0"/>
                <w:sz w:val="22"/>
                <w:szCs w:val="22"/>
              </w:rPr>
            </w:pPr>
            <w:r>
              <w:rPr>
                <w:rFonts w:ascii="楷体" w:hAnsi="楷体" w:eastAsia="楷体" w:cs="宋体"/>
                <w:kern w:val="0"/>
                <w:sz w:val="22"/>
                <w:szCs w:val="22"/>
              </w:rPr>
              <w:t>41.16</w:t>
            </w:r>
            <w:r>
              <w:rPr>
                <w:rFonts w:hint="eastAsia" w:ascii="楷体" w:hAnsi="楷体" w:eastAsia="楷体" w:cs="宋体"/>
                <w:kern w:val="0"/>
                <w:sz w:val="22"/>
                <w:szCs w:val="22"/>
              </w:rPr>
              <w:t>%</w:t>
            </w:r>
          </w:p>
        </w:tc>
        <w:tc>
          <w:tcPr>
            <w:tcW w:w="88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kern w:val="0"/>
                <w:sz w:val="22"/>
                <w:szCs w:val="22"/>
              </w:rPr>
            </w:pPr>
            <w:r>
              <w:rPr>
                <w:rFonts w:ascii="楷体" w:hAnsi="楷体" w:eastAsia="楷体" w:cs="宋体"/>
                <w:kern w:val="0"/>
                <w:sz w:val="22"/>
                <w:szCs w:val="22"/>
              </w:rPr>
              <w:t>41.67</w:t>
            </w:r>
            <w:r>
              <w:rPr>
                <w:rFonts w:hint="eastAsia" w:ascii="楷体" w:hAnsi="楷体" w:eastAsia="楷体" w:cs="宋体"/>
                <w:kern w:val="0"/>
                <w:sz w:val="22"/>
                <w:szCs w:val="22"/>
              </w:rPr>
              <w:t>%</w:t>
            </w:r>
          </w:p>
        </w:tc>
        <w:tc>
          <w:tcPr>
            <w:tcW w:w="906" w:type="dxa"/>
            <w:tcBorders>
              <w:top w:val="single" w:color="auto" w:sz="4" w:space="0"/>
              <w:left w:val="single" w:color="auto" w:sz="4" w:space="0"/>
              <w:bottom w:val="single" w:color="auto" w:sz="4" w:space="0"/>
              <w:right w:val="single" w:color="auto" w:sz="4" w:space="0"/>
            </w:tcBorders>
            <w:shd w:val="clear" w:color="auto" w:fill="FFFF00"/>
            <w:noWrap/>
            <w:vAlign w:val="center"/>
          </w:tcPr>
          <w:p>
            <w:pPr>
              <w:widowControl/>
              <w:spacing w:line="240" w:lineRule="auto"/>
              <w:ind w:firstLine="0" w:firstLineChars="0"/>
              <w:jc w:val="right"/>
              <w:rPr>
                <w:rFonts w:ascii="楷体" w:hAnsi="楷体" w:eastAsia="楷体" w:cs="宋体"/>
                <w:kern w:val="0"/>
                <w:sz w:val="22"/>
                <w:szCs w:val="22"/>
              </w:rPr>
            </w:pPr>
            <w:r>
              <w:rPr>
                <w:rFonts w:ascii="楷体" w:hAnsi="楷体" w:eastAsia="楷体" w:cs="宋体"/>
                <w:kern w:val="0"/>
                <w:sz w:val="22"/>
                <w:szCs w:val="22"/>
              </w:rPr>
              <w:t xml:space="preserve"> </w:t>
            </w:r>
            <w:r>
              <w:rPr>
                <w:rFonts w:hint="eastAsia" w:ascii="楷体" w:hAnsi="楷体" w:eastAsia="楷体" w:cs="宋体"/>
                <w:kern w:val="0"/>
                <w:sz w:val="22"/>
                <w:szCs w:val="22"/>
              </w:rPr>
              <w:t>%</w:t>
            </w:r>
          </w:p>
        </w:tc>
        <w:tc>
          <w:tcPr>
            <w:tcW w:w="1125" w:type="dxa"/>
            <w:tcBorders>
              <w:left w:val="single" w:color="auto" w:sz="4" w:space="0"/>
            </w:tcBorders>
            <w:shd w:val="clear" w:color="auto" w:fill="FFFFFF" w:themeFill="background1"/>
            <w:vAlign w:val="center"/>
          </w:tcPr>
          <w:p>
            <w:pPr>
              <w:widowControl/>
              <w:spacing w:line="240" w:lineRule="auto"/>
              <w:ind w:left="1" w:leftChars="-81" w:right="-226" w:rightChars="-94" w:hanging="195" w:hangingChars="89"/>
              <w:jc w:val="center"/>
              <w:rPr>
                <w:rFonts w:ascii="楷体" w:hAnsi="楷体" w:eastAsia="楷体" w:cs="宋体"/>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下面有公式</w:t>
            </w:r>
          </w:p>
        </w:tc>
      </w:tr>
    </w:tbl>
    <w:p>
      <w:pPr>
        <w:ind w:firstLine="0" w:firstLineChars="0"/>
        <w:rPr>
          <w:rFonts w:ascii="楷体" w:hAnsi="楷体" w:eastAsia="楷体"/>
          <w:b/>
          <w:bCs/>
          <w:color w:val="4472C4" w:themeColor="accent1"/>
          <w14:textFill>
            <w14:solidFill>
              <w14:schemeClr w14:val="accent1"/>
            </w14:solidFill>
          </w14:textFill>
        </w:rPr>
      </w:pPr>
      <w:r>
        <w:rPr>
          <w:rFonts w:hint="eastAsia" w:ascii="楷体" w:hAnsi="楷体" w:eastAsia="楷体"/>
          <w:b/>
          <w:bCs/>
          <w:color w:val="4472C4" w:themeColor="accent1"/>
          <w14:textFill>
            <w14:solidFill>
              <w14:schemeClr w14:val="accent1"/>
            </w14:solidFill>
          </w14:textFill>
        </w:rPr>
        <w:t>计算公式：</w:t>
      </w:r>
    </w:p>
    <w:p>
      <w:pPr>
        <w:ind w:firstLine="0" w:firstLineChars="0"/>
        <w:rPr>
          <w:rFonts w:ascii="楷体" w:hAnsi="楷体" w:eastAsia="楷体"/>
          <w:b/>
          <w:bCs/>
          <w:color w:val="4472C4" w:themeColor="accent1"/>
          <w14:textFill>
            <w14:solidFill>
              <w14:schemeClr w14:val="accent1"/>
            </w14:solidFill>
          </w14:textFill>
        </w:rPr>
      </w:pPr>
      <w:r>
        <w:rPr>
          <w:rFonts w:hint="eastAsia" w:ascii="楷体" w:hAnsi="楷体" w:eastAsia="楷体"/>
          <w:b/>
          <w:bCs/>
          <w:color w:val="4472C4" w:themeColor="accent1"/>
          <w14:textFill>
            <w14:solidFill>
              <w14:schemeClr w14:val="accent1"/>
            </w14:solidFill>
          </w14:textFill>
        </w:rPr>
        <w:t>①2018年及以前：准货币资金=货币资金+其他流动资产里的理财产品</w:t>
      </w:r>
    </w:p>
    <w:p>
      <w:pPr>
        <w:ind w:firstLine="0" w:firstLineChars="0"/>
        <w:rPr>
          <w:rFonts w:ascii="楷体" w:hAnsi="楷体" w:eastAsia="楷体"/>
          <w:b/>
          <w:bCs/>
          <w:color w:val="4472C4" w:themeColor="accent1"/>
          <w14:textFill>
            <w14:solidFill>
              <w14:schemeClr w14:val="accent1"/>
            </w14:solidFill>
          </w14:textFill>
        </w:rPr>
      </w:pPr>
      <w:r>
        <w:rPr>
          <w:rFonts w:hint="eastAsia" w:ascii="楷体" w:hAnsi="楷体" w:eastAsia="楷体"/>
          <w:b/>
          <w:bCs/>
          <w:color w:val="4472C4" w:themeColor="accent1"/>
          <w14:textFill>
            <w14:solidFill>
              <w14:schemeClr w14:val="accent1"/>
            </w14:solidFill>
          </w14:textFill>
        </w:rPr>
        <w:t>2019年及以后：准货币资金=货币资金+交易性金融资产</w:t>
      </w:r>
    </w:p>
    <w:p>
      <w:pPr>
        <w:ind w:firstLine="0" w:firstLineChars="0"/>
        <w:rPr>
          <w:rFonts w:ascii="楷体" w:hAnsi="楷体" w:eastAsia="楷体"/>
          <w:b/>
          <w:bCs/>
          <w:color w:val="4472C4" w:themeColor="accent1"/>
          <w14:textFill>
            <w14:solidFill>
              <w14:schemeClr w14:val="accent1"/>
            </w14:solidFill>
          </w14:textFill>
        </w:rPr>
      </w:pPr>
      <w:r>
        <w:rPr>
          <w:rFonts w:hint="eastAsia" w:ascii="楷体" w:hAnsi="楷体" w:eastAsia="楷体"/>
          <w:b/>
          <w:bCs/>
          <w:color w:val="4472C4" w:themeColor="accent1"/>
          <w14:textFill>
            <w14:solidFill>
              <w14:schemeClr w14:val="accent1"/>
            </w14:solidFill>
          </w14:textFill>
        </w:rPr>
        <w:t>②准货币资金占资产总计的比例=准货币资金 除以 资产总计 乘以1</w:t>
      </w:r>
      <w:r>
        <w:rPr>
          <w:rFonts w:ascii="楷体" w:hAnsi="楷体" w:eastAsia="楷体"/>
          <w:b/>
          <w:bCs/>
          <w:color w:val="4472C4" w:themeColor="accent1"/>
          <w14:textFill>
            <w14:solidFill>
              <w14:schemeClr w14:val="accent1"/>
            </w14:solidFill>
          </w14:textFill>
        </w:rPr>
        <w:t>00%</w:t>
      </w:r>
    </w:p>
    <w:p>
      <w:pPr>
        <w:ind w:firstLine="0" w:firstLineChars="0"/>
        <w:rPr>
          <w:rFonts w:ascii="楷体" w:hAnsi="楷体" w:eastAsia="楷体"/>
        </w:rPr>
      </w:pPr>
    </w:p>
    <w:p>
      <w:pPr>
        <w:ind w:firstLine="0" w:firstLineChars="0"/>
        <w:rPr>
          <w:rFonts w:ascii="楷体" w:hAnsi="楷体" w:eastAsia="楷体"/>
        </w:rPr>
      </w:pPr>
    </w:p>
    <w:p>
      <w:pPr>
        <w:pStyle w:val="32"/>
      </w:pPr>
      <w:bookmarkStart w:id="2" w:name="_Hlk52266378"/>
      <w:r>
        <w:rPr>
          <w:rFonts w:hint="eastAsia"/>
        </w:rPr>
        <w:t>3</w:t>
      </w:r>
      <w:r>
        <w:t>.</w:t>
      </w:r>
      <w:r>
        <w:rPr>
          <w:rFonts w:hint="eastAsia"/>
        </w:rPr>
        <w:t>分析各年变化趋势</w:t>
      </w:r>
    </w:p>
    <w:p>
      <w:pPr>
        <w:pStyle w:val="34"/>
        <w:ind w:firstLine="0" w:firstLineChars="0"/>
        <w:rPr>
          <w:rFonts w:ascii="楷体" w:hAnsi="楷体" w:eastAsia="楷体"/>
          <w:sz w:val="24"/>
          <w:szCs w:val="24"/>
        </w:rPr>
      </w:pPr>
      <w:r>
        <w:rPr>
          <w:rFonts w:hint="eastAsia" w:ascii="楷体" w:hAnsi="楷体" w:eastAsia="楷体"/>
          <w:sz w:val="24"/>
          <w:szCs w:val="24"/>
        </w:rPr>
        <w:t>根据计算可以看出，近五年洋河股份准货币资金占资产总计的比值分别为</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p>
    <w:p>
      <w:pPr>
        <w:pStyle w:val="34"/>
        <w:ind w:firstLine="0" w:firstLineChars="0"/>
        <w:rPr>
          <w:rFonts w:ascii="楷体" w:hAnsi="楷体" w:eastAsia="楷体"/>
          <w:sz w:val="24"/>
          <w:szCs w:val="24"/>
        </w:rPr>
      </w:pPr>
      <w:r>
        <w:rPr>
          <w:rFonts w:hint="eastAsia" w:ascii="楷体" w:hAnsi="楷体" w:eastAsia="楷体"/>
          <w:sz w:val="24"/>
          <w:szCs w:val="24"/>
        </w:rPr>
        <w:t>同学们参考:</w:t>
      </w:r>
      <w:r>
        <w:rPr>
          <w:rFonts w:hint="eastAsia" w:ascii="楷体" w:hAnsi="楷体" w:eastAsia="楷体"/>
          <w:color w:val="4472C4" w:themeColor="accent1"/>
          <w:kern w:val="2"/>
          <w:sz w:val="24"/>
          <w:szCs w:val="24"/>
          <w:u w:val="single"/>
          <w14:textFill>
            <w14:solidFill>
              <w14:schemeClr w14:val="accent1"/>
            </w14:solidFill>
          </w14:textFill>
        </w:rPr>
        <w:t>1.分析思路导图中的数据标准对照的结论</w:t>
      </w:r>
      <w:r>
        <w:rPr>
          <w:rFonts w:hint="eastAsia" w:ascii="楷体" w:hAnsi="楷体" w:eastAsia="楷体"/>
          <w:sz w:val="24"/>
          <w:szCs w:val="24"/>
        </w:rPr>
        <w:t>，来进行判断：</w:t>
      </w:r>
    </w:p>
    <w:p>
      <w:pPr>
        <w:pStyle w:val="34"/>
        <w:ind w:firstLineChars="0"/>
        <w:rPr>
          <w:rFonts w:ascii="楷体" w:hAnsi="楷体" w:eastAsia="楷体"/>
          <w:sz w:val="24"/>
          <w:szCs w:val="24"/>
        </w:rPr>
      </w:pPr>
      <w:r>
        <w:rPr>
          <w:rFonts w:hint="eastAsia" w:ascii="楷体" w:hAnsi="楷体" w:eastAsia="楷体"/>
          <w:sz w:val="24"/>
          <w:szCs w:val="24"/>
        </w:rPr>
        <w:t>洋河股份近5年的，准货币资金占资产总计的比值均</w:t>
      </w:r>
      <w:r>
        <w:rPr>
          <w:rFonts w:hint="eastAsia" w:ascii="楷体" w:hAnsi="楷体" w:eastAsia="楷体"/>
          <w:sz w:val="24"/>
          <w:szCs w:val="24"/>
          <w:u w:val="single"/>
        </w:rPr>
        <w:t xml:space="preserve"> </w:t>
      </w:r>
      <w:r>
        <w:rPr>
          <w:rFonts w:ascii="楷体" w:hAnsi="楷体" w:eastAsia="楷体"/>
          <w:sz w:val="24"/>
          <w:szCs w:val="24"/>
          <w:u w:val="single"/>
        </w:rPr>
        <w:t xml:space="preserve">      </w:t>
      </w:r>
      <w:r>
        <w:rPr>
          <w:rFonts w:ascii="楷体" w:hAnsi="楷体" w:eastAsia="楷体"/>
          <w:sz w:val="24"/>
          <w:szCs w:val="24"/>
        </w:rPr>
        <w:t xml:space="preserve"> </w:t>
      </w:r>
      <w:r>
        <w:rPr>
          <w:rFonts w:ascii="楷体" w:hAnsi="楷体" w:eastAsia="楷体"/>
          <w:b/>
          <w:bCs/>
          <w:color w:val="C55A11" w:themeColor="accent2" w:themeShade="BF"/>
          <w:sz w:val="24"/>
          <w:szCs w:val="24"/>
        </w:rPr>
        <w:t>(</w:t>
      </w:r>
      <w:r>
        <w:rPr>
          <w:rFonts w:hint="eastAsia" w:ascii="楷体" w:hAnsi="楷体" w:eastAsia="楷体"/>
          <w:b/>
          <w:bCs/>
          <w:color w:val="C55A11" w:themeColor="accent2" w:themeShade="BF"/>
          <w:sz w:val="24"/>
          <w:szCs w:val="24"/>
        </w:rPr>
        <w:t>选项:小于2</w:t>
      </w:r>
      <w:r>
        <w:rPr>
          <w:rFonts w:ascii="楷体" w:hAnsi="楷体" w:eastAsia="楷体"/>
          <w:b/>
          <w:bCs/>
          <w:color w:val="C55A11" w:themeColor="accent2" w:themeShade="BF"/>
          <w:sz w:val="24"/>
          <w:szCs w:val="24"/>
        </w:rPr>
        <w:t>5%</w:t>
      </w:r>
      <w:r>
        <w:rPr>
          <w:rFonts w:hint="eastAsia" w:ascii="楷体" w:hAnsi="楷体" w:eastAsia="楷体"/>
          <w:b/>
          <w:bCs/>
          <w:color w:val="C55A11" w:themeColor="accent2" w:themeShade="BF"/>
          <w:sz w:val="24"/>
          <w:szCs w:val="24"/>
        </w:rPr>
        <w:t>或大于2</w:t>
      </w:r>
      <w:r>
        <w:rPr>
          <w:rFonts w:ascii="楷体" w:hAnsi="楷体" w:eastAsia="楷体"/>
          <w:b/>
          <w:bCs/>
          <w:color w:val="C55A11" w:themeColor="accent2" w:themeShade="BF"/>
          <w:sz w:val="24"/>
          <w:szCs w:val="24"/>
        </w:rPr>
        <w:t>5%</w:t>
      </w:r>
      <w:r>
        <w:rPr>
          <w:rFonts w:hint="eastAsia" w:ascii="楷体" w:hAnsi="楷体" w:eastAsia="楷体"/>
          <w:b/>
          <w:bCs/>
          <w:color w:val="C55A11" w:themeColor="accent2" w:themeShade="BF"/>
          <w:sz w:val="24"/>
          <w:szCs w:val="24"/>
        </w:rPr>
        <w:t>或大于5</w:t>
      </w:r>
      <w:r>
        <w:rPr>
          <w:rFonts w:ascii="楷体" w:hAnsi="楷体" w:eastAsia="楷体"/>
          <w:b/>
          <w:bCs/>
          <w:color w:val="C55A11" w:themeColor="accent2" w:themeShade="BF"/>
          <w:sz w:val="24"/>
          <w:szCs w:val="24"/>
        </w:rPr>
        <w:t>0%)</w:t>
      </w:r>
      <w:r>
        <w:rPr>
          <w:rFonts w:hint="eastAsia" w:ascii="楷体" w:hAnsi="楷体" w:eastAsia="楷体"/>
          <w:sz w:val="24"/>
          <w:szCs w:val="24"/>
        </w:rPr>
        <w:t>，并且呈现出</w:t>
      </w:r>
      <w:r>
        <w:rPr>
          <w:rFonts w:ascii="楷体" w:hAnsi="楷体" w:eastAsia="楷体"/>
          <w:sz w:val="24"/>
          <w:szCs w:val="24"/>
          <w:u w:val="single"/>
        </w:rPr>
        <w:t xml:space="preserve">        </w:t>
      </w:r>
      <w:r>
        <w:rPr>
          <w:rFonts w:hint="eastAsia" w:ascii="楷体" w:hAnsi="楷体" w:eastAsia="楷体"/>
          <w:sz w:val="24"/>
          <w:szCs w:val="24"/>
        </w:rPr>
        <w:t>的趋势</w:t>
      </w:r>
      <w:r>
        <w:rPr>
          <w:rFonts w:hint="eastAsia" w:ascii="楷体" w:hAnsi="楷体" w:eastAsia="楷体"/>
          <w:b/>
          <w:bCs/>
          <w:color w:val="C55A11" w:themeColor="accent2" w:themeShade="BF"/>
          <w:sz w:val="24"/>
          <w:szCs w:val="24"/>
        </w:rPr>
        <w:t>（选项：上升或下降，稳定或不稳定）</w:t>
      </w:r>
      <w:r>
        <w:rPr>
          <w:rFonts w:hint="eastAsia" w:ascii="楷体" w:hAnsi="楷体" w:eastAsia="楷体"/>
          <w:sz w:val="24"/>
          <w:szCs w:val="24"/>
        </w:rPr>
        <w:t>，说明企业的</w:t>
      </w:r>
      <w:r>
        <w:rPr>
          <w:rFonts w:hint="eastAsia" w:ascii="楷体" w:hAnsi="楷体" w:eastAsia="楷体"/>
          <w:sz w:val="24"/>
          <w:szCs w:val="24"/>
          <w:u w:val="single"/>
        </w:rPr>
        <w:t xml:space="preserve"> </w:t>
      </w:r>
      <w:r>
        <w:rPr>
          <w:rFonts w:ascii="楷体" w:hAnsi="楷体" w:eastAsia="楷体"/>
          <w:sz w:val="24"/>
          <w:szCs w:val="24"/>
          <w:u w:val="single"/>
        </w:rPr>
        <w:t xml:space="preserve">            </w:t>
      </w:r>
      <w:r>
        <w:rPr>
          <w:rFonts w:ascii="楷体" w:hAnsi="楷体" w:eastAsia="楷体"/>
          <w:sz w:val="24"/>
          <w:szCs w:val="24"/>
        </w:rPr>
        <w:t xml:space="preserve"> </w:t>
      </w:r>
      <w:r>
        <w:rPr>
          <w:rFonts w:hint="eastAsia" w:ascii="楷体" w:hAnsi="楷体" w:eastAsia="楷体"/>
          <w:b/>
          <w:bCs/>
          <w:color w:val="C55A11" w:themeColor="accent2" w:themeShade="BF"/>
          <w:sz w:val="24"/>
          <w:szCs w:val="24"/>
        </w:rPr>
        <w:t>（选项：货币资金非常充足，本科目符合最好的标准；或货币资金充足，本科目指标优秀；或货币资金不充足，本科目指标不够优秀</w:t>
      </w:r>
      <w:r>
        <w:rPr>
          <w:rFonts w:ascii="楷体" w:hAnsi="楷体" w:eastAsia="楷体"/>
          <w:b/>
          <w:bCs/>
          <w:color w:val="C55A11" w:themeColor="accent2" w:themeShade="BF"/>
          <w:sz w:val="24"/>
          <w:szCs w:val="24"/>
        </w:rPr>
        <w:t>;</w:t>
      </w:r>
      <w:r>
        <w:rPr>
          <w:rFonts w:hint="eastAsia" w:ascii="楷体" w:hAnsi="楷体" w:eastAsia="楷体"/>
          <w:b/>
          <w:bCs/>
          <w:color w:val="C55A11" w:themeColor="accent2" w:themeShade="BF"/>
          <w:sz w:val="24"/>
          <w:szCs w:val="24"/>
        </w:rPr>
        <w:t>）</w:t>
      </w:r>
    </w:p>
    <w:p>
      <w:pPr>
        <w:pStyle w:val="34"/>
        <w:ind w:firstLine="0" w:firstLineChars="0"/>
        <w:rPr>
          <w:rFonts w:ascii="楷体" w:hAnsi="楷体" w:eastAsia="楷体"/>
          <w:sz w:val="24"/>
          <w:szCs w:val="24"/>
        </w:rPr>
      </w:pPr>
    </w:p>
    <w:p>
      <w:pPr>
        <w:pStyle w:val="32"/>
        <w:spacing w:line="360" w:lineRule="auto"/>
      </w:pPr>
      <w:r>
        <w:rPr>
          <w:rFonts w:hint="eastAsia"/>
        </w:rPr>
        <w:t>4</w:t>
      </w:r>
      <w:r>
        <w:t>.根据分析得出结论</w:t>
      </w:r>
    </w:p>
    <w:bookmarkEnd w:id="2"/>
    <w:p>
      <w:pPr>
        <w:spacing w:line="360" w:lineRule="auto"/>
        <w:ind w:firstLine="480"/>
        <w:rPr>
          <w:rFonts w:ascii="楷体" w:hAnsi="楷体" w:eastAsia="楷体"/>
        </w:rPr>
      </w:pPr>
      <w:r>
        <w:rPr>
          <w:rFonts w:hint="eastAsia" w:ascii="楷体" w:hAnsi="楷体" w:eastAsia="楷体"/>
        </w:rPr>
        <w:t>洋河股份的货币资金</w:t>
      </w:r>
      <w:r>
        <w:rPr>
          <w:rFonts w:hint="eastAsia" w:ascii="楷体" w:hAnsi="楷体" w:eastAsia="楷体"/>
          <w:u w:val="single"/>
        </w:rPr>
        <w:t xml:space="preserve"> </w:t>
      </w:r>
      <w:r>
        <w:rPr>
          <w:rFonts w:ascii="楷体" w:hAnsi="楷体" w:eastAsia="楷体"/>
          <w:u w:val="single"/>
        </w:rPr>
        <w:t xml:space="preserve">           </w:t>
      </w:r>
      <w:r>
        <w:rPr>
          <w:rFonts w:hint="eastAsia" w:ascii="楷体" w:hAnsi="楷体" w:eastAsia="楷体"/>
          <w:u w:val="single"/>
        </w:rPr>
        <w:t xml:space="preserve"> </w:t>
      </w:r>
      <w:r>
        <w:rPr>
          <w:rFonts w:ascii="楷体" w:hAnsi="楷体" w:eastAsia="楷体"/>
          <w:u w:val="single"/>
        </w:rPr>
        <w:t xml:space="preserve">   </w:t>
      </w:r>
      <w:r>
        <w:rPr>
          <w:rFonts w:hint="eastAsia" w:ascii="楷体" w:hAnsi="楷体" w:eastAsia="楷体"/>
        </w:rPr>
        <w:t>，属于</w:t>
      </w:r>
      <w:r>
        <w:rPr>
          <w:rFonts w:hint="eastAsia" w:ascii="楷体" w:hAnsi="楷体" w:eastAsia="楷体"/>
          <w:u w:val="single"/>
        </w:rPr>
        <w:t xml:space="preserve"> </w:t>
      </w:r>
      <w:r>
        <w:rPr>
          <w:rFonts w:ascii="楷体" w:hAnsi="楷体" w:eastAsia="楷体"/>
          <w:u w:val="single"/>
        </w:rPr>
        <w:t xml:space="preserve">         </w:t>
      </w:r>
      <w:r>
        <w:rPr>
          <w:rFonts w:hint="eastAsia" w:ascii="楷体" w:hAnsi="楷体" w:eastAsia="楷体"/>
        </w:rPr>
        <w:t>的指标。</w:t>
      </w:r>
      <w:r>
        <w:rPr>
          <w:rFonts w:hint="eastAsia" w:ascii="楷体" w:hAnsi="楷体" w:eastAsia="楷体"/>
          <w:color w:val="FF0000"/>
        </w:rPr>
        <w:t>（最后结论参考上面3.变化趋势的结论来写）</w:t>
      </w:r>
    </w:p>
    <w:p>
      <w:pPr>
        <w:widowControl/>
        <w:spacing w:line="240" w:lineRule="auto"/>
        <w:ind w:firstLine="0" w:firstLineChars="0"/>
        <w:jc w:val="left"/>
        <w:rPr>
          <w:rFonts w:ascii="楷体" w:hAnsi="楷体" w:eastAsia="楷体"/>
        </w:rPr>
      </w:pPr>
    </w:p>
    <w:p>
      <w:pPr>
        <w:pStyle w:val="4"/>
        <w:rPr>
          <w:rFonts w:ascii="楷体" w:hAnsi="楷体" w:eastAsia="楷体"/>
        </w:rPr>
      </w:pPr>
      <w:r>
        <w:rPr>
          <w:rFonts w:hint="eastAsia" w:ascii="楷体" w:hAnsi="楷体" w:eastAsia="楷体"/>
        </w:rPr>
        <w:t>二、应收账款和合同资产占资产总计的比例（越低越好）</w:t>
      </w:r>
      <w:r>
        <w:rPr>
          <w:rFonts w:hint="eastAsia" w:ascii="微软雅黑" w:hAnsi="微软雅黑" w:eastAsia="微软雅黑" w:cs="宋体"/>
          <w:kern w:val="0"/>
          <w:sz w:val="24"/>
        </w:rPr>
        <w:t>（</w:t>
      </w:r>
      <w:r>
        <w:rPr>
          <w:rFonts w:ascii="微软雅黑" w:hAnsi="微软雅黑" w:eastAsia="微软雅黑" w:cs="宋体"/>
          <w:kern w:val="0"/>
          <w:sz w:val="24"/>
        </w:rPr>
        <w:t>25</w:t>
      </w:r>
      <w:r>
        <w:rPr>
          <w:rFonts w:hint="eastAsia" w:ascii="微软雅黑" w:hAnsi="微软雅黑" w:eastAsia="微软雅黑" w:cs="宋体"/>
          <w:kern w:val="0"/>
          <w:sz w:val="24"/>
        </w:rPr>
        <w:t>分）</w:t>
      </w:r>
    </w:p>
    <w:p>
      <w:pPr>
        <w:pStyle w:val="32"/>
      </w:pPr>
      <w:r>
        <w:rPr>
          <w:rFonts w:hint="eastAsia"/>
        </w:rPr>
        <w:t>1</w:t>
      </w:r>
      <w:r>
        <w:t>.分析思路：</w:t>
      </w:r>
    </w:p>
    <w:p>
      <w:pPr>
        <w:ind w:firstLine="0" w:firstLineChars="0"/>
        <w:jc w:val="center"/>
        <w:rPr>
          <w:rFonts w:ascii="楷体" w:hAnsi="楷体" w:eastAsia="楷体"/>
        </w:rPr>
      </w:pPr>
      <w:r>
        <w:drawing>
          <wp:inline distT="0" distB="0" distL="0" distR="0">
            <wp:extent cx="5274310" cy="27152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4310" cy="2715260"/>
                    </a:xfrm>
                    <a:prstGeom prst="rect">
                      <a:avLst/>
                    </a:prstGeom>
                  </pic:spPr>
                </pic:pic>
              </a:graphicData>
            </a:graphic>
          </wp:inline>
        </w:drawing>
      </w:r>
    </w:p>
    <w:p>
      <w:pPr>
        <w:pStyle w:val="32"/>
      </w:pPr>
      <w:r>
        <w:rPr>
          <w:rFonts w:hint="eastAsia"/>
        </w:rPr>
        <w:t>2</w:t>
      </w:r>
      <w:r>
        <w:t>.</w:t>
      </w:r>
      <w:r>
        <w:rPr>
          <w:rFonts w:hint="eastAsia"/>
        </w:rPr>
        <w:t>近五年数据收集汇总：应收账款、合同资产、资产总计，并计算应收账款加合同资产之和占资产总计的比值</w:t>
      </w:r>
    </w:p>
    <w:p>
      <w:pPr>
        <w:ind w:firstLine="6505" w:firstLineChars="2700"/>
        <w:rPr>
          <w:rFonts w:ascii="楷体" w:hAnsi="楷体" w:eastAsia="楷体"/>
          <w:b/>
          <w:bCs/>
        </w:rPr>
      </w:pPr>
      <w:r>
        <w:rPr>
          <w:rFonts w:hint="eastAsia" w:ascii="楷体" w:hAnsi="楷体" w:eastAsia="楷体"/>
          <w:b/>
          <w:bCs/>
        </w:rPr>
        <w:t>单位：亿元</w:t>
      </w:r>
    </w:p>
    <w:tbl>
      <w:tblPr>
        <w:tblStyle w:val="13"/>
        <w:tblW w:w="8642" w:type="dxa"/>
        <w:jc w:val="center"/>
        <w:tblLayout w:type="fixed"/>
        <w:tblCellMar>
          <w:top w:w="0" w:type="dxa"/>
          <w:left w:w="108" w:type="dxa"/>
          <w:bottom w:w="0" w:type="dxa"/>
          <w:right w:w="108" w:type="dxa"/>
        </w:tblCellMar>
      </w:tblPr>
      <w:tblGrid>
        <w:gridCol w:w="2749"/>
        <w:gridCol w:w="885"/>
        <w:gridCol w:w="885"/>
        <w:gridCol w:w="885"/>
        <w:gridCol w:w="885"/>
        <w:gridCol w:w="1012"/>
        <w:gridCol w:w="1341"/>
      </w:tblGrid>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应收账款和合同资产</w:t>
            </w:r>
          </w:p>
        </w:tc>
        <w:tc>
          <w:tcPr>
            <w:tcW w:w="885"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6</w:t>
            </w:r>
          </w:p>
        </w:tc>
        <w:tc>
          <w:tcPr>
            <w:tcW w:w="885"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7</w:t>
            </w:r>
          </w:p>
        </w:tc>
        <w:tc>
          <w:tcPr>
            <w:tcW w:w="885"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8</w:t>
            </w:r>
          </w:p>
        </w:tc>
        <w:tc>
          <w:tcPr>
            <w:tcW w:w="885"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9</w:t>
            </w:r>
          </w:p>
        </w:tc>
        <w:tc>
          <w:tcPr>
            <w:tcW w:w="1012"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w:t>
            </w:r>
            <w:r>
              <w:rPr>
                <w:rFonts w:ascii="楷体" w:hAnsi="楷体" w:eastAsia="楷体" w:cs="宋体"/>
                <w:b/>
                <w:bCs/>
                <w:color w:val="FFFFFF"/>
                <w:kern w:val="0"/>
                <w:sz w:val="22"/>
                <w:szCs w:val="22"/>
              </w:rPr>
              <w:t>20</w:t>
            </w:r>
          </w:p>
        </w:tc>
        <w:tc>
          <w:tcPr>
            <w:tcW w:w="1341" w:type="dxa"/>
            <w:tcBorders>
              <w:top w:val="single" w:color="FFFFFF" w:themeColor="background1" w:sz="4" w:space="0"/>
              <w:left w:val="single" w:color="auto" w:sz="4" w:space="0"/>
              <w:bottom w:val="single" w:color="FFFFFF" w:themeColor="background1" w:sz="4" w:space="0"/>
              <w:right w:val="single" w:color="FFFFFF" w:themeColor="background1" w:sz="4" w:space="0"/>
            </w:tcBorders>
            <w:shd w:val="clear" w:color="auto" w:fill="auto"/>
          </w:tcPr>
          <w:p>
            <w:pPr>
              <w:widowControl/>
              <w:spacing w:line="240" w:lineRule="auto"/>
              <w:ind w:firstLine="0" w:firstLineChars="0"/>
              <w:jc w:val="center"/>
              <w:rPr>
                <w:rFonts w:ascii="楷体" w:hAnsi="楷体" w:eastAsia="楷体" w:cs="宋体"/>
                <w:b/>
                <w:bCs/>
                <w:color w:val="FFFFFF"/>
                <w:kern w:val="0"/>
                <w:sz w:val="22"/>
                <w:szCs w:val="22"/>
              </w:rPr>
            </w:pPr>
          </w:p>
        </w:tc>
      </w:tr>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应收账款</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0.11</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r>
              <w:rPr>
                <w:rFonts w:ascii="楷体" w:hAnsi="楷体" w:eastAsia="楷体" w:cs="宋体"/>
                <w:color w:val="000000"/>
                <w:kern w:val="0"/>
                <w:sz w:val="22"/>
                <w:szCs w:val="22"/>
              </w:rPr>
              <w:t>.</w:t>
            </w:r>
            <w:r>
              <w:rPr>
                <w:rFonts w:hint="eastAsia" w:ascii="楷体" w:hAnsi="楷体" w:eastAsia="楷体" w:cs="宋体"/>
                <w:color w:val="000000"/>
                <w:kern w:val="0"/>
                <w:sz w:val="22"/>
                <w:szCs w:val="22"/>
              </w:rPr>
              <w:t>0</w:t>
            </w:r>
            <w:r>
              <w:rPr>
                <w:rFonts w:ascii="楷体" w:hAnsi="楷体" w:eastAsia="楷体" w:cs="宋体"/>
                <w:color w:val="000000"/>
                <w:kern w:val="0"/>
                <w:sz w:val="22"/>
                <w:szCs w:val="22"/>
              </w:rPr>
              <w:t>8</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0.05</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rPr>
                <w:rFonts w:ascii="楷体" w:hAnsi="楷体" w:eastAsia="楷体" w:cs="宋体"/>
                <w:color w:val="000000"/>
                <w:kern w:val="0"/>
                <w:sz w:val="22"/>
                <w:szCs w:val="22"/>
              </w:rPr>
              <w:t>0.16</w:t>
            </w:r>
          </w:p>
        </w:tc>
        <w:tc>
          <w:tcPr>
            <w:tcW w:w="1012" w:type="dxa"/>
            <w:tcBorders>
              <w:top w:val="single" w:color="auto" w:sz="4" w:space="0"/>
              <w:left w:val="single" w:color="auto" w:sz="4" w:space="0"/>
              <w:bottom w:val="single" w:color="auto" w:sz="4" w:space="0"/>
              <w:right w:val="single" w:color="auto" w:sz="4" w:space="0"/>
            </w:tcBorders>
            <w:shd w:val="clear" w:color="auto" w:fill="FFFF00"/>
          </w:tcPr>
          <w:p>
            <w:pPr>
              <w:widowControl/>
              <w:spacing w:line="240" w:lineRule="auto"/>
              <w:ind w:firstLine="0" w:firstLineChars="0"/>
              <w:jc w:val="center"/>
              <w:rPr>
                <w:rFonts w:ascii="楷体" w:hAnsi="楷体" w:eastAsia="楷体" w:cs="宋体"/>
                <w:color w:val="000000"/>
                <w:kern w:val="0"/>
                <w:sz w:val="22"/>
                <w:szCs w:val="22"/>
              </w:rPr>
            </w:pPr>
          </w:p>
        </w:tc>
        <w:tc>
          <w:tcPr>
            <w:tcW w:w="1341" w:type="dxa"/>
            <w:tcBorders>
              <w:top w:val="single" w:color="FFFFFF" w:themeColor="background1" w:sz="4" w:space="0"/>
              <w:left w:val="single" w:color="auto" w:sz="4" w:space="0"/>
              <w:bottom w:val="single" w:color="FFFFFF" w:themeColor="background1" w:sz="4" w:space="0"/>
              <w:right w:val="single" w:color="FFFFFF" w:themeColor="background1" w:sz="4" w:space="0"/>
            </w:tcBorders>
            <w:shd w:val="clear" w:color="auto" w:fill="auto"/>
          </w:tcPr>
          <w:p>
            <w:pPr>
              <w:widowControl/>
              <w:spacing w:line="240" w:lineRule="auto"/>
              <w:ind w:firstLine="0" w:firstLineChars="0"/>
              <w:jc w:val="center"/>
              <w:rPr>
                <w:rFonts w:ascii="楷体" w:hAnsi="楷体" w:eastAsia="楷体" w:cs="宋体"/>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解析4</w:t>
            </w:r>
          </w:p>
        </w:tc>
      </w:tr>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合同资产</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p>
        </w:tc>
        <w:tc>
          <w:tcPr>
            <w:tcW w:w="1012" w:type="dxa"/>
            <w:tcBorders>
              <w:top w:val="single" w:color="auto" w:sz="4" w:space="0"/>
              <w:left w:val="single" w:color="auto" w:sz="4" w:space="0"/>
              <w:bottom w:val="single" w:color="auto" w:sz="4" w:space="0"/>
              <w:right w:val="single" w:color="auto" w:sz="4" w:space="0"/>
            </w:tcBorders>
            <w:shd w:val="clear" w:color="auto" w:fill="FFFF00"/>
          </w:tcPr>
          <w:p>
            <w:pPr>
              <w:widowControl/>
              <w:spacing w:line="240" w:lineRule="auto"/>
              <w:ind w:firstLine="0" w:firstLineChars="0"/>
              <w:jc w:val="center"/>
              <w:rPr>
                <w:rFonts w:ascii="楷体" w:hAnsi="楷体" w:eastAsia="楷体" w:cs="宋体"/>
                <w:color w:val="000000"/>
                <w:kern w:val="0"/>
                <w:sz w:val="22"/>
                <w:szCs w:val="22"/>
              </w:rPr>
            </w:pPr>
          </w:p>
        </w:tc>
        <w:tc>
          <w:tcPr>
            <w:tcW w:w="1341" w:type="dxa"/>
            <w:tcBorders>
              <w:top w:val="single" w:color="FFFFFF" w:themeColor="background1" w:sz="4" w:space="0"/>
              <w:left w:val="single" w:color="auto" w:sz="4" w:space="0"/>
              <w:bottom w:val="single" w:color="FFFFFF" w:themeColor="background1" w:sz="4" w:space="0"/>
              <w:right w:val="single" w:color="FFFFFF" w:themeColor="background1" w:sz="4" w:space="0"/>
            </w:tcBorders>
            <w:shd w:val="clear" w:color="auto" w:fill="auto"/>
          </w:tcPr>
          <w:p>
            <w:pPr>
              <w:widowControl/>
              <w:spacing w:line="240" w:lineRule="auto"/>
              <w:ind w:firstLine="0" w:firstLineChars="0"/>
              <w:jc w:val="center"/>
              <w:rPr>
                <w:rFonts w:ascii="楷体" w:hAnsi="楷体" w:eastAsia="楷体" w:cs="宋体"/>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解析4</w:t>
            </w:r>
          </w:p>
        </w:tc>
      </w:tr>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资产总计</w:t>
            </w:r>
          </w:p>
        </w:tc>
        <w:tc>
          <w:tcPr>
            <w:tcW w:w="885" w:type="dxa"/>
            <w:tcBorders>
              <w:top w:val="single" w:color="auto" w:sz="4" w:space="0"/>
              <w:left w:val="single" w:color="auto" w:sz="4" w:space="0"/>
              <w:bottom w:val="single" w:color="auto" w:sz="4" w:space="0"/>
              <w:right w:val="single" w:color="auto" w:sz="4" w:space="0"/>
            </w:tcBorders>
            <w:shd w:val="clear" w:color="auto" w:fill="auto"/>
            <w:noWrap/>
          </w:tcPr>
          <w:p>
            <w:pPr>
              <w:widowControl/>
              <w:spacing w:line="240" w:lineRule="auto"/>
              <w:ind w:firstLine="0" w:firstLineChars="0"/>
              <w:jc w:val="right"/>
              <w:rPr>
                <w:rFonts w:ascii="楷体" w:hAnsi="楷体" w:eastAsia="楷体" w:cs="宋体"/>
                <w:color w:val="000000"/>
                <w:kern w:val="0"/>
                <w:sz w:val="22"/>
                <w:szCs w:val="22"/>
              </w:rPr>
            </w:pPr>
            <w:r>
              <w:t>388.04</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t>432.58</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t>495.64</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right"/>
              <w:rPr>
                <w:rFonts w:ascii="楷体" w:hAnsi="楷体" w:eastAsia="楷体" w:cs="宋体"/>
                <w:color w:val="000000"/>
                <w:kern w:val="0"/>
                <w:sz w:val="22"/>
                <w:szCs w:val="22"/>
              </w:rPr>
            </w:pPr>
            <w:r>
              <w:t>534.55</w:t>
            </w:r>
          </w:p>
        </w:tc>
        <w:tc>
          <w:tcPr>
            <w:tcW w:w="1012" w:type="dxa"/>
            <w:tcBorders>
              <w:top w:val="single" w:color="auto" w:sz="4" w:space="0"/>
              <w:left w:val="single" w:color="auto" w:sz="4" w:space="0"/>
              <w:bottom w:val="single" w:color="auto" w:sz="4" w:space="0"/>
              <w:right w:val="single" w:color="auto" w:sz="4" w:space="0"/>
            </w:tcBorders>
            <w:shd w:val="clear" w:color="auto" w:fill="FFFF00"/>
          </w:tcPr>
          <w:p>
            <w:pPr>
              <w:widowControl/>
              <w:spacing w:line="240" w:lineRule="auto"/>
              <w:ind w:firstLine="0" w:firstLineChars="0"/>
              <w:jc w:val="center"/>
              <w:rPr>
                <w:rFonts w:ascii="楷体" w:hAnsi="楷体" w:eastAsia="楷体" w:cs="宋体"/>
                <w:color w:val="000000"/>
                <w:kern w:val="0"/>
                <w:sz w:val="22"/>
                <w:szCs w:val="22"/>
              </w:rPr>
            </w:pPr>
          </w:p>
        </w:tc>
        <w:tc>
          <w:tcPr>
            <w:tcW w:w="1341" w:type="dxa"/>
            <w:tcBorders>
              <w:top w:val="single" w:color="FFFFFF" w:themeColor="background1" w:sz="4" w:space="0"/>
              <w:left w:val="single" w:color="auto" w:sz="4" w:space="0"/>
              <w:bottom w:val="single" w:color="FFFFFF" w:themeColor="background1" w:sz="4" w:space="0"/>
              <w:right w:val="single" w:color="FFFFFF" w:themeColor="background1" w:sz="4" w:space="0"/>
            </w:tcBorders>
            <w:shd w:val="clear" w:color="auto" w:fill="auto"/>
          </w:tcPr>
          <w:p>
            <w:pPr>
              <w:widowControl/>
              <w:spacing w:line="240" w:lineRule="auto"/>
              <w:ind w:firstLine="0" w:firstLineChars="0"/>
              <w:jc w:val="center"/>
              <w:rPr>
                <w:rFonts w:ascii="楷体" w:hAnsi="楷体" w:eastAsia="楷体" w:cs="宋体"/>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解析3</w:t>
            </w:r>
          </w:p>
        </w:tc>
      </w:tr>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kern w:val="0"/>
                <w:sz w:val="22"/>
                <w:szCs w:val="22"/>
              </w:rPr>
            </w:pPr>
            <w:bookmarkStart w:id="3" w:name="_Hlk68273639"/>
            <w:r>
              <w:rPr>
                <w:rFonts w:hint="eastAsia" w:ascii="楷体" w:hAnsi="楷体" w:eastAsia="楷体" w:cs="宋体"/>
                <w:kern w:val="0"/>
                <w:sz w:val="22"/>
                <w:szCs w:val="22"/>
              </w:rPr>
              <w:t>（应收账款+合同资产）占资产总计比例</w:t>
            </w:r>
            <w:bookmarkEnd w:id="3"/>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kern w:val="0"/>
                <w:sz w:val="22"/>
                <w:szCs w:val="22"/>
              </w:rPr>
            </w:pPr>
            <w:r>
              <w:rPr>
                <w:rFonts w:ascii="楷体" w:hAnsi="楷体" w:eastAsia="楷体" w:cs="宋体"/>
                <w:kern w:val="0"/>
                <w:sz w:val="22"/>
                <w:szCs w:val="22"/>
              </w:rPr>
              <w:t>0.03</w:t>
            </w:r>
            <w:r>
              <w:rPr>
                <w:rFonts w:hint="eastAsia" w:ascii="楷体" w:hAnsi="楷体" w:eastAsia="楷体" w:cs="宋体"/>
                <w:kern w:val="0"/>
                <w:sz w:val="22"/>
                <w:szCs w:val="22"/>
              </w:rPr>
              <w:t>%</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kern w:val="0"/>
                <w:sz w:val="22"/>
                <w:szCs w:val="22"/>
              </w:rPr>
            </w:pPr>
            <w:r>
              <w:rPr>
                <w:rFonts w:ascii="楷体" w:hAnsi="楷体" w:eastAsia="楷体" w:cs="宋体"/>
                <w:kern w:val="0"/>
                <w:sz w:val="22"/>
                <w:szCs w:val="22"/>
              </w:rPr>
              <w:t>0.02</w:t>
            </w:r>
            <w:r>
              <w:rPr>
                <w:rFonts w:hint="eastAsia" w:ascii="楷体" w:hAnsi="楷体" w:eastAsia="楷体" w:cs="宋体"/>
                <w:kern w:val="0"/>
                <w:sz w:val="22"/>
                <w:szCs w:val="22"/>
              </w:rPr>
              <w:t>%</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kern w:val="0"/>
                <w:sz w:val="22"/>
                <w:szCs w:val="22"/>
              </w:rPr>
            </w:pPr>
            <w:r>
              <w:rPr>
                <w:rFonts w:ascii="楷体" w:hAnsi="楷体" w:eastAsia="楷体" w:cs="宋体"/>
                <w:kern w:val="0"/>
                <w:sz w:val="22"/>
                <w:szCs w:val="22"/>
              </w:rPr>
              <w:t>0.01</w:t>
            </w:r>
            <w:r>
              <w:rPr>
                <w:rFonts w:hint="eastAsia" w:ascii="楷体" w:hAnsi="楷体" w:eastAsia="楷体" w:cs="宋体"/>
                <w:kern w:val="0"/>
                <w:sz w:val="22"/>
                <w:szCs w:val="22"/>
              </w:rPr>
              <w:t>%</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right"/>
              <w:rPr>
                <w:rFonts w:ascii="楷体" w:hAnsi="楷体" w:eastAsia="楷体" w:cs="宋体"/>
                <w:kern w:val="0"/>
                <w:sz w:val="22"/>
                <w:szCs w:val="22"/>
              </w:rPr>
            </w:pPr>
            <w:r>
              <w:rPr>
                <w:rFonts w:ascii="楷体" w:hAnsi="楷体" w:eastAsia="楷体" w:cs="宋体"/>
                <w:kern w:val="0"/>
                <w:sz w:val="22"/>
                <w:szCs w:val="22"/>
              </w:rPr>
              <w:t>0.03</w:t>
            </w:r>
            <w:r>
              <w:rPr>
                <w:rFonts w:hint="eastAsia" w:ascii="楷体" w:hAnsi="楷体" w:eastAsia="楷体" w:cs="宋体"/>
                <w:kern w:val="0"/>
                <w:sz w:val="22"/>
                <w:szCs w:val="22"/>
              </w:rPr>
              <w:t>%</w:t>
            </w:r>
          </w:p>
        </w:tc>
        <w:tc>
          <w:tcPr>
            <w:tcW w:w="1012" w:type="dxa"/>
            <w:tcBorders>
              <w:top w:val="single" w:color="auto" w:sz="4" w:space="0"/>
              <w:left w:val="single" w:color="auto" w:sz="4" w:space="0"/>
              <w:bottom w:val="single" w:color="auto" w:sz="4" w:space="0"/>
              <w:right w:val="single" w:color="auto" w:sz="4" w:space="0"/>
            </w:tcBorders>
            <w:shd w:val="clear" w:color="auto" w:fill="FFFF00"/>
            <w:noWrap/>
            <w:vAlign w:val="center"/>
          </w:tcPr>
          <w:p>
            <w:pPr>
              <w:widowControl/>
              <w:spacing w:line="240" w:lineRule="auto"/>
              <w:ind w:firstLine="0" w:firstLineChars="0"/>
              <w:jc w:val="right"/>
              <w:rPr>
                <w:rFonts w:ascii="楷体" w:hAnsi="楷体" w:eastAsia="楷体" w:cs="宋体"/>
                <w:kern w:val="0"/>
                <w:sz w:val="22"/>
                <w:szCs w:val="22"/>
              </w:rPr>
            </w:pPr>
            <w:r>
              <w:rPr>
                <w:rFonts w:hint="eastAsia" w:ascii="楷体" w:hAnsi="楷体" w:eastAsia="楷体" w:cs="宋体"/>
                <w:kern w:val="0"/>
                <w:sz w:val="22"/>
                <w:szCs w:val="22"/>
              </w:rPr>
              <w:t>%</w:t>
            </w:r>
          </w:p>
        </w:tc>
        <w:tc>
          <w:tcPr>
            <w:tcW w:w="1341" w:type="dxa"/>
            <w:tcBorders>
              <w:top w:val="single" w:color="FFFFFF" w:themeColor="background1" w:sz="4" w:space="0"/>
              <w:left w:val="single" w:color="auto" w:sz="4" w:space="0"/>
              <w:bottom w:val="single" w:color="FFFFFF" w:themeColor="background1" w:sz="4" w:space="0"/>
              <w:right w:val="single" w:color="FFFFFF" w:themeColor="background1" w:sz="4" w:space="0"/>
            </w:tcBorders>
            <w:shd w:val="clear" w:color="auto" w:fill="auto"/>
            <w:vAlign w:val="center"/>
          </w:tcPr>
          <w:p>
            <w:pPr>
              <w:widowControl/>
              <w:spacing w:line="240" w:lineRule="auto"/>
              <w:ind w:firstLine="0" w:firstLineChars="0"/>
              <w:jc w:val="center"/>
              <w:rPr>
                <w:rFonts w:ascii="楷体" w:hAnsi="楷体" w:eastAsia="楷体" w:cs="宋体"/>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下面有公式</w:t>
            </w:r>
          </w:p>
        </w:tc>
      </w:tr>
    </w:tbl>
    <w:p>
      <w:pPr>
        <w:ind w:firstLine="0" w:firstLineChars="0"/>
        <w:rPr>
          <w:rFonts w:ascii="楷体" w:hAnsi="楷体" w:eastAsia="楷体"/>
          <w:b/>
          <w:bCs/>
          <w:color w:val="4472C4" w:themeColor="accent1"/>
          <w14:textFill>
            <w14:solidFill>
              <w14:schemeClr w14:val="accent1"/>
            </w14:solidFill>
          </w14:textFill>
        </w:rPr>
      </w:pPr>
      <w:r>
        <w:rPr>
          <w:rFonts w:hint="eastAsia" w:ascii="楷体" w:hAnsi="楷体" w:eastAsia="楷体"/>
          <w:b/>
          <w:bCs/>
          <w:color w:val="4472C4" w:themeColor="accent1"/>
          <w14:textFill>
            <w14:solidFill>
              <w14:schemeClr w14:val="accent1"/>
            </w14:solidFill>
          </w14:textFill>
        </w:rPr>
        <w:t>计算公式：（应收账款+合同资产）占资产总计比例=（应收账款+合同资产） 除以 资产总计 乘以1</w:t>
      </w:r>
      <w:r>
        <w:rPr>
          <w:rFonts w:ascii="楷体" w:hAnsi="楷体" w:eastAsia="楷体"/>
          <w:b/>
          <w:bCs/>
          <w:color w:val="4472C4" w:themeColor="accent1"/>
          <w14:textFill>
            <w14:solidFill>
              <w14:schemeClr w14:val="accent1"/>
            </w14:solidFill>
          </w14:textFill>
        </w:rPr>
        <w:t>00%</w:t>
      </w:r>
    </w:p>
    <w:p>
      <w:pPr>
        <w:ind w:firstLine="0" w:firstLineChars="0"/>
        <w:rPr>
          <w:rFonts w:ascii="楷体" w:hAnsi="楷体" w:eastAsia="楷体"/>
        </w:rPr>
      </w:pPr>
    </w:p>
    <w:p>
      <w:pPr>
        <w:ind w:firstLine="0" w:firstLineChars="0"/>
        <w:rPr>
          <w:rFonts w:ascii="楷体" w:hAnsi="楷体" w:eastAsia="楷体"/>
        </w:rPr>
      </w:pPr>
    </w:p>
    <w:p>
      <w:pPr>
        <w:pStyle w:val="32"/>
      </w:pPr>
      <w:r>
        <w:rPr>
          <w:rFonts w:hint="eastAsia"/>
        </w:rPr>
        <w:t>3</w:t>
      </w:r>
      <w:r>
        <w:t>.</w:t>
      </w:r>
      <w:r>
        <w:rPr>
          <w:rFonts w:hint="eastAsia"/>
        </w:rPr>
        <w:t>分析各年变化趋势</w:t>
      </w:r>
    </w:p>
    <w:p>
      <w:pPr>
        <w:pStyle w:val="34"/>
        <w:ind w:firstLineChars="0"/>
        <w:rPr>
          <w:rFonts w:ascii="楷体" w:hAnsi="楷体" w:eastAsia="楷体"/>
          <w:sz w:val="24"/>
          <w:szCs w:val="24"/>
        </w:rPr>
      </w:pPr>
      <w:r>
        <w:rPr>
          <w:rFonts w:hint="eastAsia" w:ascii="楷体" w:hAnsi="楷体" w:eastAsia="楷体"/>
          <w:sz w:val="24"/>
          <w:szCs w:val="24"/>
        </w:rPr>
        <w:t>根据计算可以看出，近五年洋河股份（应收账款+合同资产）占资产总计比例分别为</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p>
    <w:p>
      <w:pPr>
        <w:pStyle w:val="34"/>
        <w:ind w:firstLine="0" w:firstLineChars="0"/>
        <w:rPr>
          <w:rFonts w:ascii="楷体" w:hAnsi="楷体" w:eastAsia="楷体"/>
          <w:sz w:val="24"/>
          <w:szCs w:val="24"/>
        </w:rPr>
      </w:pPr>
      <w:r>
        <w:rPr>
          <w:rFonts w:hint="eastAsia" w:ascii="楷体" w:hAnsi="楷体" w:eastAsia="楷体"/>
          <w:sz w:val="24"/>
          <w:szCs w:val="24"/>
        </w:rPr>
        <w:t>同学们参考:</w:t>
      </w:r>
      <w:r>
        <w:rPr>
          <w:rFonts w:hint="eastAsia" w:ascii="楷体" w:hAnsi="楷体" w:eastAsia="楷体"/>
          <w:color w:val="4472C4" w:themeColor="accent1"/>
          <w:kern w:val="2"/>
          <w:sz w:val="24"/>
          <w:szCs w:val="24"/>
          <w:u w:val="single"/>
          <w14:textFill>
            <w14:solidFill>
              <w14:schemeClr w14:val="accent1"/>
            </w14:solidFill>
          </w14:textFill>
        </w:rPr>
        <w:t>1.分析思路导图中的数据标准对照的结论</w:t>
      </w:r>
      <w:r>
        <w:rPr>
          <w:rFonts w:hint="eastAsia" w:ascii="楷体" w:hAnsi="楷体" w:eastAsia="楷体"/>
          <w:sz w:val="24"/>
          <w:szCs w:val="24"/>
        </w:rPr>
        <w:t>，来进行判断：</w:t>
      </w:r>
    </w:p>
    <w:p>
      <w:pPr>
        <w:pStyle w:val="34"/>
        <w:ind w:firstLineChars="0"/>
        <w:rPr>
          <w:rFonts w:ascii="楷体" w:hAnsi="楷体" w:eastAsia="楷体"/>
        </w:rPr>
      </w:pPr>
      <w:r>
        <w:rPr>
          <w:rFonts w:hint="eastAsia" w:ascii="楷体" w:hAnsi="楷体" w:eastAsia="楷体"/>
          <w:sz w:val="24"/>
          <w:szCs w:val="24"/>
        </w:rPr>
        <w:t>洋河股份近5年的，（应收账款+合同资产）占资产总计比例均</w:t>
      </w:r>
      <w:r>
        <w:rPr>
          <w:rFonts w:hint="eastAsia" w:ascii="楷体" w:hAnsi="楷体" w:eastAsia="楷体"/>
          <w:sz w:val="24"/>
          <w:szCs w:val="24"/>
          <w:u w:val="single"/>
        </w:rPr>
        <w:t xml:space="preserve"> </w:t>
      </w:r>
      <w:r>
        <w:rPr>
          <w:rFonts w:ascii="楷体" w:hAnsi="楷体" w:eastAsia="楷体"/>
          <w:sz w:val="24"/>
          <w:szCs w:val="24"/>
          <w:u w:val="single"/>
        </w:rPr>
        <w:t xml:space="preserve">    </w:t>
      </w:r>
      <w:r>
        <w:rPr>
          <w:rFonts w:hint="eastAsia" w:ascii="楷体" w:hAnsi="楷体" w:eastAsia="楷体"/>
          <w:b/>
          <w:bCs/>
          <w:color w:val="C55A11" w:themeColor="accent2" w:themeShade="BF"/>
          <w:sz w:val="24"/>
          <w:szCs w:val="24"/>
        </w:rPr>
        <w:t>（选项：小于</w:t>
      </w:r>
      <w:r>
        <w:rPr>
          <w:rFonts w:ascii="楷体" w:hAnsi="楷体" w:eastAsia="楷体"/>
          <w:b/>
          <w:bCs/>
          <w:color w:val="C55A11" w:themeColor="accent2" w:themeShade="BF"/>
          <w:sz w:val="24"/>
          <w:szCs w:val="24"/>
        </w:rPr>
        <w:t>1%</w:t>
      </w:r>
      <w:r>
        <w:rPr>
          <w:rFonts w:hint="eastAsia" w:ascii="楷体" w:hAnsi="楷体" w:eastAsia="楷体"/>
          <w:b/>
          <w:bCs/>
          <w:color w:val="C55A11" w:themeColor="accent2" w:themeShade="BF"/>
          <w:sz w:val="24"/>
          <w:szCs w:val="24"/>
        </w:rPr>
        <w:t>或大于</w:t>
      </w:r>
      <w:r>
        <w:rPr>
          <w:rFonts w:ascii="楷体" w:hAnsi="楷体" w:eastAsia="楷体"/>
          <w:b/>
          <w:bCs/>
          <w:color w:val="C55A11" w:themeColor="accent2" w:themeShade="BF"/>
          <w:sz w:val="24"/>
          <w:szCs w:val="24"/>
        </w:rPr>
        <w:t>3%</w:t>
      </w:r>
      <w:r>
        <w:rPr>
          <w:rFonts w:hint="eastAsia" w:ascii="楷体" w:hAnsi="楷体" w:eastAsia="楷体"/>
          <w:b/>
          <w:bCs/>
          <w:color w:val="C55A11" w:themeColor="accent2" w:themeShade="BF"/>
          <w:sz w:val="24"/>
          <w:szCs w:val="24"/>
        </w:rPr>
        <w:t>或大于</w:t>
      </w:r>
      <w:r>
        <w:rPr>
          <w:rFonts w:ascii="楷体" w:hAnsi="楷体" w:eastAsia="楷体"/>
          <w:b/>
          <w:bCs/>
          <w:color w:val="C55A11" w:themeColor="accent2" w:themeShade="BF"/>
          <w:sz w:val="24"/>
          <w:szCs w:val="24"/>
        </w:rPr>
        <w:t>10%</w:t>
      </w:r>
      <w:r>
        <w:rPr>
          <w:rFonts w:hint="eastAsia" w:ascii="楷体" w:hAnsi="楷体" w:eastAsia="楷体"/>
          <w:b/>
          <w:bCs/>
          <w:color w:val="C55A11" w:themeColor="accent2" w:themeShade="BF"/>
          <w:sz w:val="24"/>
          <w:szCs w:val="24"/>
        </w:rPr>
        <w:t>或大于</w:t>
      </w:r>
      <w:r>
        <w:rPr>
          <w:rFonts w:ascii="楷体" w:hAnsi="楷体" w:eastAsia="楷体"/>
          <w:b/>
          <w:bCs/>
          <w:color w:val="C55A11" w:themeColor="accent2" w:themeShade="BF"/>
          <w:sz w:val="24"/>
          <w:szCs w:val="24"/>
        </w:rPr>
        <w:t>20%</w:t>
      </w:r>
      <w:r>
        <w:rPr>
          <w:rFonts w:hint="eastAsia" w:ascii="楷体" w:hAnsi="楷体" w:eastAsia="楷体"/>
          <w:b/>
          <w:bCs/>
          <w:color w:val="C55A11" w:themeColor="accent2" w:themeShade="BF"/>
          <w:sz w:val="24"/>
          <w:szCs w:val="24"/>
        </w:rPr>
        <w:t>）</w:t>
      </w:r>
      <w:r>
        <w:rPr>
          <w:rFonts w:hint="eastAsia" w:ascii="楷体" w:hAnsi="楷体" w:eastAsia="楷体"/>
          <w:sz w:val="24"/>
          <w:szCs w:val="24"/>
        </w:rPr>
        <w:t>，并且呈现出</w:t>
      </w:r>
      <w:r>
        <w:rPr>
          <w:rFonts w:ascii="楷体" w:hAnsi="楷体" w:eastAsia="楷体"/>
          <w:sz w:val="24"/>
          <w:szCs w:val="24"/>
          <w:u w:val="single"/>
        </w:rPr>
        <w:t xml:space="preserve">      </w:t>
      </w:r>
      <w:r>
        <w:rPr>
          <w:rFonts w:hint="eastAsia" w:ascii="楷体" w:hAnsi="楷体" w:eastAsia="楷体"/>
          <w:sz w:val="24"/>
          <w:szCs w:val="24"/>
        </w:rPr>
        <w:t>的趋势</w:t>
      </w:r>
      <w:r>
        <w:rPr>
          <w:rFonts w:hint="eastAsia" w:ascii="楷体" w:hAnsi="楷体" w:eastAsia="楷体"/>
        </w:rPr>
        <w:t>（</w:t>
      </w:r>
      <w:r>
        <w:rPr>
          <w:rFonts w:hint="eastAsia" w:ascii="楷体" w:hAnsi="楷体" w:eastAsia="楷体"/>
          <w:b/>
          <w:bCs/>
          <w:color w:val="C55A11" w:themeColor="accent2" w:themeShade="BF"/>
          <w:sz w:val="24"/>
          <w:szCs w:val="24"/>
        </w:rPr>
        <w:t>选项：上升或下降</w:t>
      </w:r>
      <w:r>
        <w:rPr>
          <w:rFonts w:ascii="楷体" w:hAnsi="楷体" w:eastAsia="楷体"/>
          <w:b/>
          <w:bCs/>
          <w:color w:val="C55A11" w:themeColor="accent2" w:themeShade="BF"/>
          <w:sz w:val="24"/>
          <w:szCs w:val="24"/>
        </w:rPr>
        <w:t xml:space="preserve"> ; </w:t>
      </w:r>
      <w:r>
        <w:rPr>
          <w:rFonts w:hint="eastAsia" w:ascii="楷体" w:hAnsi="楷体" w:eastAsia="楷体"/>
          <w:b/>
          <w:bCs/>
          <w:color w:val="C55A11" w:themeColor="accent2" w:themeShade="BF"/>
          <w:sz w:val="24"/>
          <w:szCs w:val="24"/>
        </w:rPr>
        <w:t>稳定或不稳定）</w:t>
      </w:r>
      <w:r>
        <w:rPr>
          <w:rFonts w:hint="eastAsia" w:ascii="楷体" w:hAnsi="楷体" w:eastAsia="楷体"/>
        </w:rPr>
        <w:t>，</w:t>
      </w:r>
      <w:r>
        <w:rPr>
          <w:rFonts w:hint="eastAsia" w:ascii="楷体" w:hAnsi="楷体" w:eastAsia="楷体"/>
          <w:sz w:val="24"/>
          <w:szCs w:val="21"/>
        </w:rPr>
        <w:t>说明</w:t>
      </w:r>
      <w:r>
        <w:rPr>
          <w:rFonts w:hint="eastAsia" w:ascii="楷体" w:hAnsi="楷体" w:eastAsia="楷体"/>
          <w:sz w:val="24"/>
          <w:szCs w:val="21"/>
          <w:u w:val="single"/>
        </w:rPr>
        <w:t xml:space="preserve"> </w:t>
      </w:r>
      <w:r>
        <w:rPr>
          <w:rFonts w:ascii="楷体" w:hAnsi="楷体" w:eastAsia="楷体"/>
          <w:sz w:val="24"/>
          <w:szCs w:val="21"/>
          <w:u w:val="single"/>
        </w:rPr>
        <w:t xml:space="preserve">   </w:t>
      </w:r>
      <w:r>
        <w:rPr>
          <w:rFonts w:ascii="楷体" w:hAnsi="楷体" w:eastAsia="楷体"/>
          <w:u w:val="single"/>
        </w:rPr>
        <w:t xml:space="preserve">          </w:t>
      </w:r>
      <w:r>
        <w:rPr>
          <w:rFonts w:hint="eastAsia" w:ascii="楷体" w:hAnsi="楷体" w:eastAsia="楷体"/>
          <w:b/>
          <w:bCs/>
          <w:color w:val="C55A11" w:themeColor="accent2" w:themeShade="BF"/>
          <w:sz w:val="24"/>
          <w:szCs w:val="24"/>
        </w:rPr>
        <w:t>（选项：公司产品很畅销；或公司产品畅销；或公司的产品比较难销售；或公司的产品很难销售）</w:t>
      </w:r>
    </w:p>
    <w:p>
      <w:pPr>
        <w:pStyle w:val="34"/>
        <w:ind w:firstLine="0" w:firstLineChars="0"/>
        <w:rPr>
          <w:rFonts w:ascii="楷体" w:hAnsi="楷体" w:eastAsia="楷体"/>
          <w:sz w:val="24"/>
          <w:szCs w:val="24"/>
        </w:rPr>
      </w:pPr>
    </w:p>
    <w:p>
      <w:pPr>
        <w:pStyle w:val="32"/>
      </w:pPr>
      <w:r>
        <w:rPr>
          <w:rFonts w:hint="eastAsia"/>
        </w:rPr>
        <w:t>4</w:t>
      </w:r>
      <w:r>
        <w:t>.根据分析得出结论</w:t>
      </w:r>
    </w:p>
    <w:p>
      <w:pPr>
        <w:spacing w:line="360" w:lineRule="auto"/>
        <w:ind w:firstLine="480"/>
        <w:rPr>
          <w:rFonts w:ascii="楷体" w:hAnsi="楷体" w:eastAsia="楷体"/>
        </w:rPr>
      </w:pPr>
      <w:r>
        <w:rPr>
          <w:rFonts w:hint="eastAsia" w:ascii="楷体" w:hAnsi="楷体" w:eastAsia="楷体"/>
        </w:rPr>
        <w:t>应收账款与合同资产的合计占资产总计的比例本质反映的是公司产品的销售难易度，洋河股份的比例</w:t>
      </w:r>
      <w:r>
        <w:rPr>
          <w:rFonts w:hint="eastAsia" w:ascii="楷体" w:hAnsi="楷体" w:eastAsia="楷体"/>
          <w:u w:val="single"/>
        </w:rPr>
        <w:t xml:space="preserve"> </w:t>
      </w:r>
      <w:r>
        <w:rPr>
          <w:rFonts w:ascii="楷体" w:hAnsi="楷体" w:eastAsia="楷体"/>
          <w:u w:val="single"/>
        </w:rPr>
        <w:t xml:space="preserve">       </w:t>
      </w:r>
      <w:r>
        <w:rPr>
          <w:rFonts w:hint="eastAsia" w:ascii="楷体" w:hAnsi="楷体" w:eastAsia="楷体"/>
        </w:rPr>
        <w:t>，表明洋河股份的产品</w:t>
      </w:r>
      <w:r>
        <w:rPr>
          <w:rFonts w:hint="eastAsia" w:ascii="楷体" w:hAnsi="楷体" w:eastAsia="楷体"/>
          <w:u w:val="single"/>
        </w:rPr>
        <w:t xml:space="preserve"> </w:t>
      </w:r>
      <w:r>
        <w:rPr>
          <w:rFonts w:ascii="楷体" w:hAnsi="楷体" w:eastAsia="楷体"/>
          <w:u w:val="single"/>
        </w:rPr>
        <w:t xml:space="preserve">        </w:t>
      </w:r>
      <w:r>
        <w:rPr>
          <w:rFonts w:hint="eastAsia" w:ascii="楷体" w:hAnsi="楷体" w:eastAsia="楷体"/>
        </w:rPr>
        <w:t>。</w:t>
      </w:r>
      <w:r>
        <w:rPr>
          <w:rFonts w:hint="eastAsia" w:ascii="楷体" w:hAnsi="楷体" w:eastAsia="楷体"/>
          <w:color w:val="FF0000"/>
        </w:rPr>
        <w:t>（最后结论参考上面3.变化趋势的结论来写）</w:t>
      </w:r>
    </w:p>
    <w:p>
      <w:pPr>
        <w:ind w:firstLine="0" w:firstLineChars="0"/>
        <w:rPr>
          <w:rFonts w:ascii="楷体" w:hAnsi="楷体" w:eastAsia="楷体"/>
        </w:rPr>
      </w:pPr>
    </w:p>
    <w:p>
      <w:pPr>
        <w:widowControl/>
        <w:spacing w:line="240" w:lineRule="auto"/>
        <w:ind w:firstLine="0" w:firstLineChars="0"/>
        <w:jc w:val="left"/>
        <w:rPr>
          <w:rFonts w:ascii="楷体" w:hAnsi="楷体" w:eastAsia="楷体"/>
        </w:rPr>
      </w:pPr>
    </w:p>
    <w:p>
      <w:pPr>
        <w:pStyle w:val="4"/>
        <w:rPr>
          <w:rFonts w:ascii="楷体" w:hAnsi="楷体" w:eastAsia="楷体"/>
        </w:rPr>
      </w:pPr>
      <w:r>
        <w:rPr>
          <w:rFonts w:hint="eastAsia" w:ascii="楷体" w:hAnsi="楷体" w:eastAsia="楷体"/>
        </w:rPr>
        <w:t>三、预付款项占资产总计的比例（越低越好）</w:t>
      </w:r>
      <w:r>
        <w:rPr>
          <w:rFonts w:hint="eastAsia" w:ascii="微软雅黑" w:hAnsi="微软雅黑" w:eastAsia="微软雅黑" w:cs="宋体"/>
          <w:kern w:val="0"/>
          <w:sz w:val="24"/>
        </w:rPr>
        <w:t>（</w:t>
      </w:r>
      <w:r>
        <w:rPr>
          <w:rFonts w:ascii="微软雅黑" w:hAnsi="微软雅黑" w:eastAsia="微软雅黑" w:cs="宋体"/>
          <w:kern w:val="0"/>
          <w:sz w:val="24"/>
        </w:rPr>
        <w:t>25</w:t>
      </w:r>
      <w:r>
        <w:rPr>
          <w:rFonts w:hint="eastAsia" w:ascii="微软雅黑" w:hAnsi="微软雅黑" w:eastAsia="微软雅黑" w:cs="宋体"/>
          <w:kern w:val="0"/>
          <w:sz w:val="24"/>
        </w:rPr>
        <w:t>分）</w:t>
      </w:r>
    </w:p>
    <w:p>
      <w:pPr>
        <w:pStyle w:val="32"/>
      </w:pPr>
      <w:r>
        <w:rPr>
          <w:rFonts w:hint="eastAsia"/>
        </w:rPr>
        <w:t>1</w:t>
      </w:r>
      <w:r>
        <w:t>.分析思路：</w:t>
      </w:r>
    </w:p>
    <w:p>
      <w:pPr>
        <w:ind w:firstLine="480"/>
        <w:jc w:val="center"/>
        <w:rPr>
          <w:rFonts w:ascii="楷体" w:hAnsi="楷体" w:eastAsia="楷体"/>
        </w:rPr>
      </w:pPr>
      <w:r>
        <w:rPr>
          <w:rFonts w:ascii="楷体" w:hAnsi="楷体" w:eastAsia="楷体"/>
        </w:rPr>
        <w:drawing>
          <wp:inline distT="0" distB="0" distL="0" distR="0">
            <wp:extent cx="5111750" cy="25787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140126" cy="2592730"/>
                    </a:xfrm>
                    <a:prstGeom prst="rect">
                      <a:avLst/>
                    </a:prstGeom>
                    <a:noFill/>
                    <a:ln>
                      <a:noFill/>
                    </a:ln>
                  </pic:spPr>
                </pic:pic>
              </a:graphicData>
            </a:graphic>
          </wp:inline>
        </w:drawing>
      </w:r>
    </w:p>
    <w:p>
      <w:pPr>
        <w:ind w:firstLine="0" w:firstLineChars="0"/>
        <w:rPr>
          <w:rFonts w:ascii="楷体" w:hAnsi="楷体" w:eastAsia="楷体"/>
        </w:rPr>
      </w:pPr>
    </w:p>
    <w:p>
      <w:pPr>
        <w:pStyle w:val="32"/>
      </w:pPr>
      <w:bookmarkStart w:id="4" w:name="_Hlk68276178"/>
      <w:r>
        <w:rPr>
          <w:rFonts w:hint="eastAsia"/>
        </w:rPr>
        <w:t>2</w:t>
      </w:r>
      <w:r>
        <w:t>.</w:t>
      </w:r>
      <w:r>
        <w:rPr>
          <w:rFonts w:hint="eastAsia"/>
        </w:rPr>
        <w:t>近五年数据收集汇总：预付款项、资产总计，并计算预付款项占资产总计的比值</w:t>
      </w:r>
    </w:p>
    <w:p>
      <w:pPr>
        <w:ind w:firstLine="6505" w:firstLineChars="2700"/>
        <w:rPr>
          <w:rFonts w:ascii="楷体" w:hAnsi="楷体" w:eastAsia="楷体"/>
          <w:b/>
          <w:bCs/>
        </w:rPr>
      </w:pPr>
      <w:r>
        <w:rPr>
          <w:rFonts w:hint="eastAsia" w:ascii="楷体" w:hAnsi="楷体" w:eastAsia="楷体"/>
          <w:b/>
          <w:bCs/>
        </w:rPr>
        <w:t>单位：亿元</w:t>
      </w:r>
    </w:p>
    <w:bookmarkEnd w:id="4"/>
    <w:tbl>
      <w:tblPr>
        <w:tblStyle w:val="13"/>
        <w:tblW w:w="8500" w:type="dxa"/>
        <w:jc w:val="center"/>
        <w:tblLayout w:type="fixed"/>
        <w:tblCellMar>
          <w:top w:w="0" w:type="dxa"/>
          <w:left w:w="108" w:type="dxa"/>
          <w:bottom w:w="0" w:type="dxa"/>
          <w:right w:w="108" w:type="dxa"/>
        </w:tblCellMar>
      </w:tblPr>
      <w:tblGrid>
        <w:gridCol w:w="2749"/>
        <w:gridCol w:w="885"/>
        <w:gridCol w:w="885"/>
        <w:gridCol w:w="885"/>
        <w:gridCol w:w="885"/>
        <w:gridCol w:w="828"/>
        <w:gridCol w:w="1100"/>
        <w:gridCol w:w="283"/>
      </w:tblGrid>
      <w:tr>
        <w:tblPrEx>
          <w:tblCellMar>
            <w:top w:w="0" w:type="dxa"/>
            <w:left w:w="108" w:type="dxa"/>
            <w:bottom w:w="0" w:type="dxa"/>
            <w:right w:w="108" w:type="dxa"/>
          </w:tblCellMar>
        </w:tblPrEx>
        <w:trPr>
          <w:gridAfter w:val="1"/>
          <w:wAfter w:w="283" w:type="dxa"/>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4472C4" w:themeFill="accent1"/>
            <w:vAlign w:val="center"/>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用预付款项看资产质量</w:t>
            </w:r>
          </w:p>
        </w:tc>
        <w:tc>
          <w:tcPr>
            <w:tcW w:w="885" w:type="dxa"/>
            <w:tcBorders>
              <w:top w:val="single" w:color="auto" w:sz="4" w:space="0"/>
              <w:left w:val="single" w:color="auto" w:sz="4" w:space="0"/>
              <w:bottom w:val="single" w:color="auto" w:sz="4" w:space="0"/>
              <w:right w:val="single" w:color="auto" w:sz="4" w:space="0"/>
            </w:tcBorders>
            <w:shd w:val="clear" w:color="auto" w:fill="4472C4" w:themeFill="accent1"/>
            <w:vAlign w:val="center"/>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6</w:t>
            </w:r>
          </w:p>
        </w:tc>
        <w:tc>
          <w:tcPr>
            <w:tcW w:w="885" w:type="dxa"/>
            <w:tcBorders>
              <w:top w:val="single" w:color="auto" w:sz="4" w:space="0"/>
              <w:left w:val="single" w:color="auto" w:sz="4" w:space="0"/>
              <w:bottom w:val="single" w:color="auto" w:sz="4" w:space="0"/>
              <w:right w:val="single" w:color="auto" w:sz="4" w:space="0"/>
            </w:tcBorders>
            <w:shd w:val="clear" w:color="auto" w:fill="4472C4" w:themeFill="accent1"/>
            <w:vAlign w:val="center"/>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7</w:t>
            </w:r>
          </w:p>
        </w:tc>
        <w:tc>
          <w:tcPr>
            <w:tcW w:w="885" w:type="dxa"/>
            <w:tcBorders>
              <w:top w:val="single" w:color="auto" w:sz="4" w:space="0"/>
              <w:left w:val="single" w:color="auto" w:sz="4" w:space="0"/>
              <w:bottom w:val="single" w:color="auto" w:sz="4" w:space="0"/>
              <w:right w:val="single" w:color="auto" w:sz="4" w:space="0"/>
            </w:tcBorders>
            <w:shd w:val="clear" w:color="auto" w:fill="4472C4" w:themeFill="accent1"/>
            <w:vAlign w:val="center"/>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8</w:t>
            </w:r>
          </w:p>
        </w:tc>
        <w:tc>
          <w:tcPr>
            <w:tcW w:w="885" w:type="dxa"/>
            <w:tcBorders>
              <w:top w:val="single" w:color="auto" w:sz="4" w:space="0"/>
              <w:left w:val="single" w:color="auto" w:sz="4" w:space="0"/>
              <w:bottom w:val="single" w:color="auto" w:sz="4" w:space="0"/>
              <w:right w:val="single" w:color="auto" w:sz="4" w:space="0"/>
            </w:tcBorders>
            <w:shd w:val="clear" w:color="auto" w:fill="4472C4" w:themeFill="accent1"/>
            <w:vAlign w:val="center"/>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9</w:t>
            </w:r>
          </w:p>
        </w:tc>
        <w:tc>
          <w:tcPr>
            <w:tcW w:w="828" w:type="dxa"/>
            <w:tcBorders>
              <w:top w:val="single" w:color="auto" w:sz="4" w:space="0"/>
              <w:left w:val="single" w:color="auto" w:sz="4" w:space="0"/>
              <w:bottom w:val="single" w:color="auto" w:sz="4" w:space="0"/>
              <w:right w:val="single" w:color="auto" w:sz="4" w:space="0"/>
            </w:tcBorders>
            <w:shd w:val="clear" w:color="auto" w:fill="4472C4" w:themeFill="accent1"/>
            <w:vAlign w:val="center"/>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w:t>
            </w:r>
            <w:r>
              <w:rPr>
                <w:rFonts w:ascii="楷体" w:hAnsi="楷体" w:eastAsia="楷体" w:cs="宋体"/>
                <w:b/>
                <w:bCs/>
                <w:color w:val="FFFFFF"/>
                <w:kern w:val="0"/>
                <w:sz w:val="22"/>
                <w:szCs w:val="22"/>
              </w:rPr>
              <w:t>20</w:t>
            </w:r>
          </w:p>
        </w:tc>
        <w:tc>
          <w:tcPr>
            <w:tcW w:w="1100" w:type="dxa"/>
            <w:tcBorders>
              <w:left w:val="single" w:color="auto" w:sz="4" w:space="0"/>
            </w:tcBorders>
            <w:shd w:val="clear" w:color="auto" w:fill="auto"/>
          </w:tcPr>
          <w:p>
            <w:pPr>
              <w:widowControl/>
              <w:spacing w:line="240" w:lineRule="auto"/>
              <w:ind w:firstLine="0" w:firstLineChars="0"/>
              <w:jc w:val="center"/>
              <w:rPr>
                <w:rFonts w:ascii="楷体" w:hAnsi="楷体" w:eastAsia="楷体" w:cs="宋体"/>
                <w:b/>
                <w:bCs/>
                <w:color w:val="FFFFFF"/>
                <w:kern w:val="0"/>
                <w:sz w:val="22"/>
                <w:szCs w:val="22"/>
              </w:rPr>
            </w:pPr>
          </w:p>
        </w:tc>
      </w:tr>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预付款项</w:t>
            </w:r>
          </w:p>
        </w:tc>
        <w:tc>
          <w:tcPr>
            <w:tcW w:w="8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r>
              <w:rPr>
                <w:rFonts w:ascii="楷体" w:hAnsi="楷体" w:eastAsia="楷体" w:cs="宋体"/>
                <w:color w:val="000000"/>
                <w:kern w:val="0"/>
                <w:sz w:val="22"/>
                <w:szCs w:val="22"/>
              </w:rPr>
              <w:t>69</w:t>
            </w:r>
          </w:p>
        </w:tc>
        <w:tc>
          <w:tcPr>
            <w:tcW w:w="8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r>
              <w:rPr>
                <w:rFonts w:ascii="楷体" w:hAnsi="楷体" w:eastAsia="楷体" w:cs="宋体"/>
                <w:color w:val="000000"/>
                <w:kern w:val="0"/>
                <w:sz w:val="22"/>
                <w:szCs w:val="22"/>
              </w:rPr>
              <w:t>87</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r>
              <w:rPr>
                <w:rFonts w:ascii="楷体" w:hAnsi="楷体" w:eastAsia="楷体" w:cs="宋体"/>
                <w:color w:val="000000"/>
                <w:kern w:val="0"/>
                <w:sz w:val="22"/>
                <w:szCs w:val="22"/>
              </w:rPr>
              <w:t>19</w:t>
            </w:r>
          </w:p>
        </w:tc>
        <w:tc>
          <w:tcPr>
            <w:tcW w:w="8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000000"/>
                <w:kern w:val="0"/>
                <w:sz w:val="22"/>
                <w:szCs w:val="22"/>
              </w:rPr>
            </w:pPr>
            <w:r>
              <w:rPr>
                <w:rFonts w:ascii="楷体" w:hAnsi="楷体" w:eastAsia="楷体" w:cs="宋体"/>
                <w:color w:val="000000"/>
                <w:kern w:val="0"/>
                <w:sz w:val="22"/>
                <w:szCs w:val="22"/>
              </w:rPr>
              <w:t>2.00</w:t>
            </w:r>
          </w:p>
        </w:tc>
        <w:tc>
          <w:tcPr>
            <w:tcW w:w="828" w:type="dxa"/>
            <w:tcBorders>
              <w:top w:val="single" w:color="auto" w:sz="4" w:space="0"/>
              <w:left w:val="single" w:color="auto" w:sz="4" w:space="0"/>
              <w:bottom w:val="single" w:color="auto" w:sz="4" w:space="0"/>
              <w:right w:val="single" w:color="auto" w:sz="4" w:space="0"/>
            </w:tcBorders>
            <w:shd w:val="clear" w:color="auto" w:fill="FFFF00"/>
            <w:vAlign w:val="center"/>
          </w:tcPr>
          <w:p>
            <w:pPr>
              <w:widowControl/>
              <w:spacing w:line="240" w:lineRule="auto"/>
              <w:ind w:firstLine="0" w:firstLineChars="0"/>
              <w:jc w:val="center"/>
              <w:rPr>
                <w:rFonts w:ascii="楷体" w:hAnsi="楷体" w:eastAsia="楷体" w:cs="宋体"/>
                <w:color w:val="000000"/>
                <w:kern w:val="0"/>
                <w:sz w:val="22"/>
                <w:szCs w:val="22"/>
              </w:rPr>
            </w:pPr>
          </w:p>
        </w:tc>
        <w:tc>
          <w:tcPr>
            <w:tcW w:w="1383" w:type="dxa"/>
            <w:gridSpan w:val="2"/>
            <w:tcBorders>
              <w:lef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4472C4" w:themeColor="accent1"/>
                <w:kern w:val="0"/>
                <w:sz w:val="22"/>
                <w:szCs w:val="22"/>
                <w14:textFill>
                  <w14:solidFill>
                    <w14:schemeClr w14:val="accent1"/>
                  </w14:solidFill>
                </w14:textFill>
              </w:rPr>
              <w:t>解析5</w:t>
            </w:r>
          </w:p>
        </w:tc>
      </w:tr>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资产总计</w:t>
            </w:r>
          </w:p>
        </w:tc>
        <w:tc>
          <w:tcPr>
            <w:tcW w:w="885" w:type="dxa"/>
            <w:tcBorders>
              <w:top w:val="single" w:color="auto" w:sz="4" w:space="0"/>
              <w:left w:val="single" w:color="auto" w:sz="4" w:space="0"/>
              <w:bottom w:val="single" w:color="auto" w:sz="4" w:space="0"/>
              <w:right w:val="single" w:color="auto" w:sz="4" w:space="0"/>
            </w:tcBorders>
            <w:shd w:val="clear" w:color="auto" w:fill="auto"/>
            <w:noWrap/>
          </w:tcPr>
          <w:p>
            <w:pPr>
              <w:widowControl/>
              <w:spacing w:line="240" w:lineRule="auto"/>
              <w:ind w:firstLine="0" w:firstLineChars="0"/>
              <w:jc w:val="center"/>
              <w:rPr>
                <w:rFonts w:ascii="楷体" w:hAnsi="楷体" w:eastAsia="楷体" w:cs="宋体"/>
                <w:color w:val="000000"/>
                <w:kern w:val="0"/>
                <w:sz w:val="22"/>
                <w:szCs w:val="22"/>
              </w:rPr>
            </w:pPr>
            <w:r>
              <w:rPr>
                <w:rFonts w:ascii="楷体" w:hAnsi="楷体" w:eastAsia="楷体" w:cs="宋体"/>
                <w:color w:val="000000"/>
                <w:kern w:val="0"/>
                <w:sz w:val="22"/>
                <w:szCs w:val="22"/>
              </w:rPr>
              <w:t>388.04</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ascii="楷体" w:hAnsi="楷体" w:eastAsia="楷体" w:cs="宋体"/>
                <w:color w:val="000000"/>
                <w:kern w:val="0"/>
                <w:sz w:val="22"/>
                <w:szCs w:val="22"/>
              </w:rPr>
              <w:t>432.58</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ascii="楷体" w:hAnsi="楷体" w:eastAsia="楷体" w:cs="宋体"/>
                <w:color w:val="000000"/>
                <w:kern w:val="0"/>
                <w:sz w:val="22"/>
                <w:szCs w:val="22"/>
              </w:rPr>
              <w:t>495.64</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ascii="楷体" w:hAnsi="楷体" w:eastAsia="楷体" w:cs="宋体"/>
                <w:color w:val="000000"/>
                <w:kern w:val="0"/>
                <w:sz w:val="22"/>
                <w:szCs w:val="22"/>
              </w:rPr>
              <w:t>534.55</w:t>
            </w:r>
          </w:p>
        </w:tc>
        <w:tc>
          <w:tcPr>
            <w:tcW w:w="828" w:type="dxa"/>
            <w:tcBorders>
              <w:top w:val="single" w:color="auto" w:sz="4" w:space="0"/>
              <w:left w:val="single" w:color="auto" w:sz="4" w:space="0"/>
              <w:bottom w:val="single" w:color="auto" w:sz="4" w:space="0"/>
              <w:right w:val="single" w:color="auto" w:sz="4" w:space="0"/>
            </w:tcBorders>
            <w:shd w:val="clear" w:color="auto" w:fill="FFFF00"/>
            <w:vAlign w:val="center"/>
          </w:tcPr>
          <w:p>
            <w:pPr>
              <w:widowControl/>
              <w:spacing w:line="240" w:lineRule="auto"/>
              <w:ind w:firstLine="0" w:firstLineChars="0"/>
              <w:jc w:val="center"/>
              <w:rPr>
                <w:rFonts w:ascii="楷体" w:hAnsi="楷体" w:eastAsia="楷体" w:cs="宋体"/>
                <w:color w:val="000000"/>
                <w:kern w:val="0"/>
                <w:sz w:val="22"/>
                <w:szCs w:val="22"/>
              </w:rPr>
            </w:pPr>
          </w:p>
        </w:tc>
        <w:tc>
          <w:tcPr>
            <w:tcW w:w="1383" w:type="dxa"/>
            <w:gridSpan w:val="2"/>
            <w:tcBorders>
              <w:lef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4472C4" w:themeColor="accent1"/>
                <w:kern w:val="0"/>
                <w:sz w:val="22"/>
                <w:szCs w:val="22"/>
                <w14:textFill>
                  <w14:solidFill>
                    <w14:schemeClr w14:val="accent1"/>
                  </w14:solidFill>
                </w14:textFill>
              </w:rPr>
              <w:t>解析3</w:t>
            </w:r>
          </w:p>
        </w:tc>
      </w:tr>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kern w:val="0"/>
                <w:sz w:val="22"/>
                <w:szCs w:val="22"/>
              </w:rPr>
            </w:pPr>
            <w:r>
              <w:rPr>
                <w:rFonts w:hint="eastAsia" w:ascii="楷体" w:hAnsi="楷体" w:eastAsia="楷体" w:cs="宋体"/>
                <w:kern w:val="0"/>
                <w:sz w:val="22"/>
                <w:szCs w:val="22"/>
              </w:rPr>
              <w:t>预付款项占资产总计比例</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kern w:val="0"/>
                <w:sz w:val="22"/>
                <w:szCs w:val="22"/>
              </w:rPr>
            </w:pPr>
            <w:r>
              <w:rPr>
                <w:rFonts w:hint="eastAsia" w:ascii="楷体" w:hAnsi="楷体" w:eastAsia="楷体" w:cs="宋体"/>
                <w:kern w:val="0"/>
                <w:sz w:val="22"/>
                <w:szCs w:val="22"/>
              </w:rPr>
              <w:t>0.</w:t>
            </w:r>
            <w:r>
              <w:rPr>
                <w:rFonts w:ascii="楷体" w:hAnsi="楷体" w:eastAsia="楷体" w:cs="宋体"/>
                <w:kern w:val="0"/>
                <w:sz w:val="22"/>
                <w:szCs w:val="22"/>
              </w:rPr>
              <w:t>18</w:t>
            </w:r>
            <w:r>
              <w:rPr>
                <w:rFonts w:hint="eastAsia" w:ascii="楷体" w:hAnsi="楷体" w:eastAsia="楷体" w:cs="宋体"/>
                <w:kern w:val="0"/>
                <w:sz w:val="22"/>
                <w:szCs w:val="22"/>
              </w:rPr>
              <w:t>%</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kern w:val="0"/>
                <w:sz w:val="22"/>
                <w:szCs w:val="22"/>
              </w:rPr>
            </w:pPr>
            <w:r>
              <w:rPr>
                <w:rFonts w:hint="eastAsia" w:ascii="楷体" w:hAnsi="楷体" w:eastAsia="楷体" w:cs="宋体"/>
                <w:kern w:val="0"/>
                <w:sz w:val="22"/>
                <w:szCs w:val="22"/>
              </w:rPr>
              <w:t>0.</w:t>
            </w:r>
            <w:r>
              <w:rPr>
                <w:rFonts w:ascii="楷体" w:hAnsi="楷体" w:eastAsia="楷体" w:cs="宋体"/>
                <w:kern w:val="0"/>
                <w:sz w:val="22"/>
                <w:szCs w:val="22"/>
              </w:rPr>
              <w:t>20</w:t>
            </w:r>
            <w:r>
              <w:rPr>
                <w:rFonts w:hint="eastAsia" w:ascii="楷体" w:hAnsi="楷体" w:eastAsia="楷体" w:cs="宋体"/>
                <w:kern w:val="0"/>
                <w:sz w:val="22"/>
                <w:szCs w:val="22"/>
              </w:rPr>
              <w:t>%</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kern w:val="0"/>
                <w:sz w:val="22"/>
                <w:szCs w:val="22"/>
              </w:rPr>
            </w:pPr>
            <w:r>
              <w:rPr>
                <w:rFonts w:hint="eastAsia" w:ascii="楷体" w:hAnsi="楷体" w:eastAsia="楷体" w:cs="宋体"/>
                <w:kern w:val="0"/>
                <w:sz w:val="22"/>
                <w:szCs w:val="22"/>
              </w:rPr>
              <w:t>0.</w:t>
            </w:r>
            <w:r>
              <w:rPr>
                <w:rFonts w:ascii="楷体" w:hAnsi="楷体" w:eastAsia="楷体" w:cs="宋体"/>
                <w:kern w:val="0"/>
                <w:sz w:val="22"/>
                <w:szCs w:val="22"/>
              </w:rPr>
              <w:t>04</w:t>
            </w:r>
            <w:r>
              <w:rPr>
                <w:rFonts w:hint="eastAsia" w:ascii="楷体" w:hAnsi="楷体" w:eastAsia="楷体" w:cs="宋体"/>
                <w:kern w:val="0"/>
                <w:sz w:val="22"/>
                <w:szCs w:val="22"/>
              </w:rPr>
              <w:t>%</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kern w:val="0"/>
                <w:sz w:val="22"/>
                <w:szCs w:val="22"/>
              </w:rPr>
            </w:pPr>
            <w:r>
              <w:rPr>
                <w:rFonts w:hint="eastAsia" w:ascii="楷体" w:hAnsi="楷体" w:eastAsia="楷体" w:cs="宋体"/>
                <w:kern w:val="0"/>
                <w:sz w:val="22"/>
                <w:szCs w:val="22"/>
              </w:rPr>
              <w:t>0.</w:t>
            </w:r>
            <w:r>
              <w:rPr>
                <w:rFonts w:ascii="楷体" w:hAnsi="楷体" w:eastAsia="楷体" w:cs="宋体"/>
                <w:kern w:val="0"/>
                <w:sz w:val="22"/>
                <w:szCs w:val="22"/>
              </w:rPr>
              <w:t>37</w:t>
            </w:r>
            <w:r>
              <w:rPr>
                <w:rFonts w:hint="eastAsia" w:ascii="楷体" w:hAnsi="楷体" w:eastAsia="楷体" w:cs="宋体"/>
                <w:kern w:val="0"/>
                <w:sz w:val="22"/>
                <w:szCs w:val="22"/>
              </w:rPr>
              <w:t>%</w:t>
            </w:r>
          </w:p>
        </w:tc>
        <w:tc>
          <w:tcPr>
            <w:tcW w:w="828" w:type="dxa"/>
            <w:tcBorders>
              <w:top w:val="single" w:color="auto" w:sz="4" w:space="0"/>
              <w:left w:val="single" w:color="auto" w:sz="4" w:space="0"/>
              <w:bottom w:val="single" w:color="auto" w:sz="4" w:space="0"/>
              <w:right w:val="single" w:color="auto" w:sz="4" w:space="0"/>
            </w:tcBorders>
            <w:shd w:val="clear" w:color="auto" w:fill="FFFF00"/>
            <w:noWrap/>
            <w:vAlign w:val="center"/>
          </w:tcPr>
          <w:p>
            <w:pPr>
              <w:widowControl/>
              <w:spacing w:line="240" w:lineRule="auto"/>
              <w:ind w:firstLine="0" w:firstLineChars="0"/>
              <w:jc w:val="right"/>
              <w:rPr>
                <w:rFonts w:ascii="楷体" w:hAnsi="楷体" w:eastAsia="楷体" w:cs="宋体"/>
                <w:kern w:val="0"/>
                <w:sz w:val="22"/>
                <w:szCs w:val="22"/>
              </w:rPr>
            </w:pPr>
            <w:r>
              <w:rPr>
                <w:rFonts w:ascii="楷体" w:hAnsi="楷体" w:eastAsia="楷体" w:cs="宋体"/>
                <w:kern w:val="0"/>
                <w:sz w:val="22"/>
                <w:szCs w:val="22"/>
              </w:rPr>
              <w:t xml:space="preserve">  </w:t>
            </w:r>
            <w:r>
              <w:rPr>
                <w:rFonts w:hint="eastAsia" w:ascii="楷体" w:hAnsi="楷体" w:eastAsia="楷体" w:cs="宋体"/>
                <w:kern w:val="0"/>
                <w:sz w:val="22"/>
                <w:szCs w:val="22"/>
              </w:rPr>
              <w:t>%</w:t>
            </w:r>
          </w:p>
        </w:tc>
        <w:tc>
          <w:tcPr>
            <w:tcW w:w="1383" w:type="dxa"/>
            <w:gridSpan w:val="2"/>
            <w:tcBorders>
              <w:left w:val="single" w:color="auto" w:sz="4" w:space="0"/>
            </w:tcBorders>
            <w:shd w:val="clear" w:color="auto" w:fill="auto"/>
          </w:tcPr>
          <w:p>
            <w:pPr>
              <w:widowControl/>
              <w:spacing w:line="240" w:lineRule="auto"/>
              <w:ind w:firstLine="0" w:firstLineChars="0"/>
              <w:jc w:val="center"/>
              <w:rPr>
                <w:rFonts w:ascii="楷体" w:hAnsi="楷体" w:eastAsia="楷体" w:cs="宋体"/>
                <w:b/>
                <w:bCs/>
                <w:color w:val="FF0000"/>
                <w:kern w:val="0"/>
                <w:sz w:val="22"/>
                <w:szCs w:val="22"/>
              </w:rPr>
            </w:pPr>
            <w:r>
              <w:rPr>
                <w:rFonts w:hint="eastAsia" w:ascii="楷体" w:hAnsi="楷体" w:eastAsia="楷体" w:cs="宋体"/>
                <w:color w:val="4472C4" w:themeColor="accent1"/>
                <w:kern w:val="0"/>
                <w:sz w:val="22"/>
                <w:szCs w:val="22"/>
                <w14:textFill>
                  <w14:solidFill>
                    <w14:schemeClr w14:val="accent1"/>
                  </w14:solidFill>
                </w14:textFill>
              </w:rPr>
              <w:t>下面有公式</w:t>
            </w:r>
          </w:p>
        </w:tc>
      </w:tr>
    </w:tbl>
    <w:p>
      <w:pPr>
        <w:ind w:firstLine="0" w:firstLineChars="0"/>
        <w:rPr>
          <w:rFonts w:ascii="楷体" w:hAnsi="楷体" w:eastAsia="楷体"/>
          <w:b/>
          <w:bCs/>
          <w:color w:val="4472C4" w:themeColor="accent1"/>
          <w14:textFill>
            <w14:solidFill>
              <w14:schemeClr w14:val="accent1"/>
            </w14:solidFill>
          </w14:textFill>
        </w:rPr>
      </w:pPr>
      <w:r>
        <w:rPr>
          <w:rFonts w:hint="eastAsia" w:ascii="楷体" w:hAnsi="楷体" w:eastAsia="楷体"/>
          <w:b/>
          <w:bCs/>
          <w:color w:val="4472C4" w:themeColor="accent1"/>
          <w14:textFill>
            <w14:solidFill>
              <w14:schemeClr w14:val="accent1"/>
            </w14:solidFill>
          </w14:textFill>
        </w:rPr>
        <w:t>计算公式：预付款项占资产总计比例=预付款项 除以 资产总计 乘以1</w:t>
      </w:r>
      <w:r>
        <w:rPr>
          <w:rFonts w:ascii="楷体" w:hAnsi="楷体" w:eastAsia="楷体"/>
          <w:b/>
          <w:bCs/>
          <w:color w:val="4472C4" w:themeColor="accent1"/>
          <w14:textFill>
            <w14:solidFill>
              <w14:schemeClr w14:val="accent1"/>
            </w14:solidFill>
          </w14:textFill>
        </w:rPr>
        <w:t>00%</w:t>
      </w:r>
    </w:p>
    <w:p>
      <w:pPr>
        <w:ind w:firstLine="0" w:firstLineChars="0"/>
        <w:rPr>
          <w:rFonts w:ascii="楷体" w:hAnsi="楷体" w:eastAsia="楷体"/>
        </w:rPr>
      </w:pPr>
    </w:p>
    <w:p>
      <w:pPr>
        <w:ind w:firstLine="0" w:firstLineChars="0"/>
        <w:rPr>
          <w:rFonts w:ascii="楷体" w:hAnsi="楷体" w:eastAsia="楷体"/>
        </w:rPr>
      </w:pPr>
    </w:p>
    <w:p>
      <w:pPr>
        <w:pStyle w:val="32"/>
      </w:pPr>
      <w:r>
        <w:rPr>
          <w:rFonts w:hint="eastAsia"/>
        </w:rPr>
        <w:t>3</w:t>
      </w:r>
      <w:r>
        <w:t>.</w:t>
      </w:r>
      <w:r>
        <w:rPr>
          <w:rFonts w:hint="eastAsia"/>
        </w:rPr>
        <w:t>分析各年变化趋势</w:t>
      </w:r>
    </w:p>
    <w:p>
      <w:pPr>
        <w:pStyle w:val="34"/>
        <w:ind w:firstLine="0" w:firstLineChars="0"/>
        <w:rPr>
          <w:rFonts w:ascii="楷体" w:hAnsi="楷体" w:eastAsia="楷体"/>
          <w:sz w:val="24"/>
          <w:szCs w:val="24"/>
        </w:rPr>
      </w:pPr>
      <w:r>
        <w:rPr>
          <w:rFonts w:hint="eastAsia" w:ascii="楷体" w:hAnsi="楷体" w:eastAsia="楷体"/>
          <w:sz w:val="24"/>
          <w:szCs w:val="24"/>
        </w:rPr>
        <w:t>根据计算可以看出，近五年洋河股份预付款项占资产总计比例分别为</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p>
    <w:p>
      <w:pPr>
        <w:pStyle w:val="34"/>
        <w:ind w:firstLine="0" w:firstLineChars="0"/>
        <w:rPr>
          <w:rFonts w:ascii="楷体" w:hAnsi="楷体" w:eastAsia="楷体"/>
          <w:sz w:val="24"/>
          <w:szCs w:val="24"/>
        </w:rPr>
      </w:pPr>
      <w:r>
        <w:rPr>
          <w:rFonts w:hint="eastAsia" w:ascii="楷体" w:hAnsi="楷体" w:eastAsia="楷体"/>
          <w:sz w:val="24"/>
          <w:szCs w:val="24"/>
        </w:rPr>
        <w:t>同学们参考:</w:t>
      </w:r>
      <w:r>
        <w:rPr>
          <w:rFonts w:hint="eastAsia" w:ascii="楷体" w:hAnsi="楷体" w:eastAsia="楷体"/>
          <w:color w:val="4472C4" w:themeColor="accent1"/>
          <w:kern w:val="2"/>
          <w:sz w:val="24"/>
          <w:szCs w:val="24"/>
          <w:u w:val="single"/>
          <w14:textFill>
            <w14:solidFill>
              <w14:schemeClr w14:val="accent1"/>
            </w14:solidFill>
          </w14:textFill>
        </w:rPr>
        <w:t>1.分析思路导图中的数据标准对照的结论</w:t>
      </w:r>
      <w:r>
        <w:rPr>
          <w:rFonts w:hint="eastAsia" w:ascii="楷体" w:hAnsi="楷体" w:eastAsia="楷体"/>
          <w:sz w:val="24"/>
          <w:szCs w:val="24"/>
        </w:rPr>
        <w:t>，来进行判断：</w:t>
      </w:r>
    </w:p>
    <w:p>
      <w:pPr>
        <w:pStyle w:val="34"/>
        <w:ind w:firstLineChars="0"/>
        <w:rPr>
          <w:rFonts w:ascii="楷体" w:hAnsi="楷体" w:eastAsia="楷体"/>
          <w:sz w:val="24"/>
          <w:szCs w:val="24"/>
        </w:rPr>
      </w:pPr>
      <w:r>
        <w:rPr>
          <w:rFonts w:hint="eastAsia" w:ascii="楷体" w:hAnsi="楷体" w:eastAsia="楷体"/>
          <w:sz w:val="24"/>
          <w:szCs w:val="24"/>
        </w:rPr>
        <w:t>洋河股份近5年的，预付款项占资产总计比例均</w:t>
      </w:r>
      <w:r>
        <w:rPr>
          <w:rFonts w:hint="eastAsia" w:ascii="楷体" w:hAnsi="楷体" w:eastAsia="楷体"/>
          <w:sz w:val="24"/>
          <w:szCs w:val="24"/>
          <w:u w:val="single"/>
        </w:rPr>
        <w:t xml:space="preserve"> </w:t>
      </w:r>
      <w:r>
        <w:rPr>
          <w:rFonts w:ascii="楷体" w:hAnsi="楷体" w:eastAsia="楷体"/>
          <w:sz w:val="24"/>
          <w:szCs w:val="24"/>
          <w:u w:val="single"/>
        </w:rPr>
        <w:t xml:space="preserve">       </w:t>
      </w:r>
      <w:r>
        <w:rPr>
          <w:rFonts w:ascii="楷体" w:hAnsi="楷体" w:eastAsia="楷体"/>
          <w:u w:val="single"/>
        </w:rPr>
        <w:t xml:space="preserve">  </w:t>
      </w:r>
      <w:r>
        <w:rPr>
          <w:rFonts w:hint="eastAsia" w:ascii="楷体" w:hAnsi="楷体" w:eastAsia="楷体"/>
          <w:b/>
          <w:bCs/>
          <w:color w:val="C55A11" w:themeColor="accent2" w:themeShade="BF"/>
          <w:sz w:val="24"/>
          <w:szCs w:val="24"/>
        </w:rPr>
        <w:t>（选项：小于</w:t>
      </w:r>
      <w:r>
        <w:rPr>
          <w:rFonts w:ascii="楷体" w:hAnsi="楷体" w:eastAsia="楷体"/>
          <w:b/>
          <w:bCs/>
          <w:color w:val="C55A11" w:themeColor="accent2" w:themeShade="BF"/>
          <w:sz w:val="24"/>
          <w:szCs w:val="24"/>
        </w:rPr>
        <w:t xml:space="preserve">1% </w:t>
      </w:r>
      <w:r>
        <w:rPr>
          <w:rFonts w:hint="eastAsia" w:ascii="楷体" w:hAnsi="楷体" w:eastAsia="楷体"/>
          <w:b/>
          <w:bCs/>
          <w:color w:val="C55A11" w:themeColor="accent2" w:themeShade="BF"/>
          <w:sz w:val="24"/>
          <w:szCs w:val="24"/>
        </w:rPr>
        <w:t>或大于</w:t>
      </w:r>
      <w:r>
        <w:rPr>
          <w:rFonts w:ascii="楷体" w:hAnsi="楷体" w:eastAsia="楷体"/>
          <w:b/>
          <w:bCs/>
          <w:color w:val="C55A11" w:themeColor="accent2" w:themeShade="BF"/>
          <w:sz w:val="24"/>
          <w:szCs w:val="24"/>
        </w:rPr>
        <w:t>3%</w:t>
      </w:r>
      <w:r>
        <w:rPr>
          <w:rFonts w:hint="eastAsia" w:ascii="楷体" w:hAnsi="楷体" w:eastAsia="楷体"/>
          <w:b/>
          <w:bCs/>
          <w:color w:val="C55A11" w:themeColor="accent2" w:themeShade="BF"/>
          <w:sz w:val="24"/>
          <w:szCs w:val="24"/>
        </w:rPr>
        <w:t>）</w:t>
      </w:r>
      <w:r>
        <w:rPr>
          <w:rFonts w:hint="eastAsia" w:ascii="楷体" w:hAnsi="楷体" w:eastAsia="楷体"/>
          <w:sz w:val="24"/>
          <w:szCs w:val="24"/>
        </w:rPr>
        <w:t>，并且呈现出</w:t>
      </w:r>
      <w:r>
        <w:rPr>
          <w:rFonts w:ascii="楷体" w:hAnsi="楷体" w:eastAsia="楷体"/>
          <w:sz w:val="24"/>
          <w:szCs w:val="24"/>
          <w:u w:val="single"/>
        </w:rPr>
        <w:t xml:space="preserve">      </w:t>
      </w:r>
      <w:r>
        <w:rPr>
          <w:rFonts w:hint="eastAsia" w:ascii="楷体" w:hAnsi="楷体" w:eastAsia="楷体"/>
          <w:sz w:val="24"/>
          <w:szCs w:val="24"/>
        </w:rPr>
        <w:t>的趋势</w:t>
      </w:r>
      <w:r>
        <w:rPr>
          <w:rFonts w:hint="eastAsia" w:ascii="楷体" w:hAnsi="楷体" w:eastAsia="楷体"/>
          <w:b/>
          <w:bCs/>
          <w:color w:val="C55A11" w:themeColor="accent2" w:themeShade="BF"/>
          <w:sz w:val="24"/>
          <w:szCs w:val="24"/>
        </w:rPr>
        <w:t>（选项：上升或下降</w:t>
      </w:r>
      <w:r>
        <w:rPr>
          <w:rFonts w:ascii="楷体" w:hAnsi="楷体" w:eastAsia="楷体"/>
          <w:b/>
          <w:bCs/>
          <w:color w:val="C55A11" w:themeColor="accent2" w:themeShade="BF"/>
          <w:sz w:val="24"/>
          <w:szCs w:val="24"/>
        </w:rPr>
        <w:t xml:space="preserve"> ; </w:t>
      </w:r>
      <w:r>
        <w:rPr>
          <w:rFonts w:hint="eastAsia" w:ascii="楷体" w:hAnsi="楷体" w:eastAsia="楷体"/>
          <w:b/>
          <w:bCs/>
          <w:color w:val="C55A11" w:themeColor="accent2" w:themeShade="BF"/>
          <w:sz w:val="24"/>
          <w:szCs w:val="24"/>
        </w:rPr>
        <w:t>稳定或不稳定）</w:t>
      </w:r>
      <w:r>
        <w:rPr>
          <w:rFonts w:hint="eastAsia" w:ascii="楷体" w:hAnsi="楷体" w:eastAsia="楷体"/>
          <w:sz w:val="24"/>
          <w:szCs w:val="24"/>
        </w:rPr>
        <w:t>，说明企业</w:t>
      </w:r>
      <w:r>
        <w:rPr>
          <w:rFonts w:hint="eastAsia" w:ascii="楷体" w:hAnsi="楷体" w:eastAsia="楷体"/>
          <w:sz w:val="24"/>
          <w:szCs w:val="24"/>
          <w:u w:val="single"/>
        </w:rPr>
        <w:t xml:space="preserve"> </w:t>
      </w:r>
      <w:r>
        <w:rPr>
          <w:rFonts w:ascii="楷体" w:hAnsi="楷体" w:eastAsia="楷体"/>
          <w:sz w:val="24"/>
          <w:szCs w:val="24"/>
          <w:u w:val="single"/>
        </w:rPr>
        <w:t xml:space="preserve">            </w:t>
      </w:r>
      <w:r>
        <w:rPr>
          <w:rFonts w:hint="eastAsia" w:ascii="楷体" w:hAnsi="楷体" w:eastAsia="楷体"/>
          <w:b/>
          <w:bCs/>
          <w:color w:val="C55A11" w:themeColor="accent2" w:themeShade="BF"/>
          <w:sz w:val="24"/>
          <w:szCs w:val="24"/>
        </w:rPr>
        <w:t>（选项：企业信用好，竞争力强，是非常优秀的；或企业信用差，公司实力弱）</w:t>
      </w:r>
    </w:p>
    <w:p>
      <w:pPr>
        <w:pStyle w:val="34"/>
        <w:ind w:firstLine="0" w:firstLineChars="0"/>
        <w:rPr>
          <w:rFonts w:ascii="楷体" w:hAnsi="楷体" w:eastAsia="楷体"/>
          <w:sz w:val="24"/>
          <w:szCs w:val="24"/>
        </w:rPr>
      </w:pPr>
    </w:p>
    <w:p>
      <w:pPr>
        <w:pStyle w:val="34"/>
        <w:ind w:firstLine="0" w:firstLineChars="0"/>
        <w:rPr>
          <w:rFonts w:ascii="楷体" w:hAnsi="楷体" w:eastAsia="楷体"/>
          <w:sz w:val="24"/>
          <w:szCs w:val="24"/>
        </w:rPr>
      </w:pPr>
    </w:p>
    <w:p>
      <w:pPr>
        <w:pStyle w:val="32"/>
        <w:spacing w:line="360" w:lineRule="auto"/>
      </w:pPr>
      <w:r>
        <w:rPr>
          <w:rFonts w:hint="eastAsia"/>
        </w:rPr>
        <w:t>4</w:t>
      </w:r>
      <w:r>
        <w:t>.根据分析得出结论</w:t>
      </w:r>
    </w:p>
    <w:p>
      <w:pPr>
        <w:spacing w:line="360" w:lineRule="auto"/>
        <w:ind w:firstLine="480"/>
        <w:rPr>
          <w:rFonts w:ascii="楷体" w:hAnsi="楷体" w:eastAsia="楷体"/>
        </w:rPr>
      </w:pPr>
      <w:r>
        <w:rPr>
          <w:rFonts w:hint="eastAsia" w:ascii="楷体" w:hAnsi="楷体" w:eastAsia="楷体"/>
        </w:rPr>
        <w:t>从洋河股份近5年的预付款项占资产总计的比例</w:t>
      </w:r>
      <w:r>
        <w:rPr>
          <w:rFonts w:hint="eastAsia" w:ascii="楷体" w:hAnsi="楷体" w:eastAsia="楷体"/>
          <w:u w:val="single"/>
        </w:rPr>
        <w:t xml:space="preserve"> </w:t>
      </w:r>
      <w:r>
        <w:rPr>
          <w:rFonts w:ascii="楷体" w:hAnsi="楷体" w:eastAsia="楷体"/>
          <w:u w:val="single"/>
        </w:rPr>
        <w:t xml:space="preserve">         </w:t>
      </w:r>
      <w:r>
        <w:rPr>
          <w:rFonts w:hint="eastAsia" w:ascii="楷体" w:hAnsi="楷体" w:eastAsia="楷体"/>
        </w:rPr>
        <w:t>，表明企业</w:t>
      </w:r>
      <w:r>
        <w:rPr>
          <w:rFonts w:hint="eastAsia" w:ascii="楷体" w:hAnsi="楷体" w:eastAsia="楷体"/>
          <w:u w:val="single"/>
        </w:rPr>
        <w:t xml:space="preserve"> </w:t>
      </w:r>
      <w:r>
        <w:rPr>
          <w:rFonts w:ascii="楷体" w:hAnsi="楷体" w:eastAsia="楷体"/>
          <w:u w:val="single"/>
        </w:rPr>
        <w:t xml:space="preserve">            </w:t>
      </w:r>
      <w:r>
        <w:rPr>
          <w:rFonts w:hint="eastAsia" w:ascii="楷体" w:hAnsi="楷体" w:eastAsia="楷体"/>
        </w:rPr>
        <w:t>。</w:t>
      </w:r>
      <w:r>
        <w:rPr>
          <w:rFonts w:hint="eastAsia" w:ascii="楷体" w:hAnsi="楷体" w:eastAsia="楷体"/>
          <w:color w:val="FF0000"/>
        </w:rPr>
        <w:t>（最后结论参考上面3.变化趋势的结论来写）</w:t>
      </w:r>
    </w:p>
    <w:p>
      <w:pPr>
        <w:ind w:firstLine="0" w:firstLineChars="0"/>
        <w:rPr>
          <w:rFonts w:ascii="楷体" w:hAnsi="楷体" w:eastAsia="楷体"/>
        </w:rPr>
      </w:pPr>
    </w:p>
    <w:p>
      <w:pPr>
        <w:ind w:firstLine="0" w:firstLineChars="0"/>
        <w:rPr>
          <w:rFonts w:ascii="楷体" w:hAnsi="楷体" w:eastAsia="楷体"/>
        </w:rPr>
      </w:pPr>
    </w:p>
    <w:p>
      <w:pPr>
        <w:pStyle w:val="4"/>
        <w:rPr>
          <w:rFonts w:ascii="楷体" w:hAnsi="楷体" w:eastAsia="楷体"/>
        </w:rPr>
      </w:pPr>
      <w:r>
        <w:rPr>
          <w:rFonts w:hint="eastAsia" w:ascii="楷体" w:hAnsi="楷体" w:eastAsia="楷体"/>
        </w:rPr>
        <w:t>四、固定资产占资产总计的比例（偏低一些比较好）</w:t>
      </w:r>
      <w:r>
        <w:rPr>
          <w:rFonts w:hint="eastAsia" w:ascii="微软雅黑" w:hAnsi="微软雅黑" w:eastAsia="微软雅黑" w:cs="宋体"/>
          <w:kern w:val="0"/>
          <w:sz w:val="24"/>
        </w:rPr>
        <w:t>（</w:t>
      </w:r>
      <w:r>
        <w:rPr>
          <w:rFonts w:ascii="微软雅黑" w:hAnsi="微软雅黑" w:eastAsia="微软雅黑" w:cs="宋体"/>
          <w:kern w:val="0"/>
          <w:sz w:val="24"/>
        </w:rPr>
        <w:t>25</w:t>
      </w:r>
      <w:r>
        <w:rPr>
          <w:rFonts w:hint="eastAsia" w:ascii="微软雅黑" w:hAnsi="微软雅黑" w:eastAsia="微软雅黑" w:cs="宋体"/>
          <w:kern w:val="0"/>
          <w:sz w:val="24"/>
        </w:rPr>
        <w:t>分）</w:t>
      </w:r>
    </w:p>
    <w:p>
      <w:pPr>
        <w:ind w:firstLine="0" w:firstLineChars="0"/>
        <w:jc w:val="center"/>
        <w:rPr>
          <w:rFonts w:ascii="楷体" w:hAnsi="楷体" w:eastAsia="楷体"/>
        </w:rPr>
      </w:pPr>
      <w:r>
        <w:rPr>
          <w:rFonts w:ascii="楷体" w:hAnsi="楷体" w:eastAsia="楷体"/>
        </w:rPr>
        <w:drawing>
          <wp:inline distT="0" distB="0" distL="0" distR="0">
            <wp:extent cx="5263515" cy="3132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3138" cy="3138034"/>
                    </a:xfrm>
                    <a:prstGeom prst="rect">
                      <a:avLst/>
                    </a:prstGeom>
                  </pic:spPr>
                </pic:pic>
              </a:graphicData>
            </a:graphic>
          </wp:inline>
        </w:drawing>
      </w:r>
    </w:p>
    <w:p>
      <w:pPr>
        <w:ind w:firstLine="0" w:firstLineChars="0"/>
        <w:rPr>
          <w:rFonts w:ascii="楷体" w:hAnsi="楷体" w:eastAsia="楷体"/>
        </w:rPr>
      </w:pPr>
    </w:p>
    <w:p>
      <w:pPr>
        <w:pStyle w:val="32"/>
      </w:pPr>
      <w:r>
        <w:rPr>
          <w:rFonts w:hint="eastAsia"/>
        </w:rPr>
        <w:t>2</w:t>
      </w:r>
      <w:r>
        <w:t>.</w:t>
      </w:r>
      <w:r>
        <w:rPr>
          <w:rFonts w:hint="eastAsia"/>
        </w:rPr>
        <w:t>近五年数据收集汇总：</w:t>
      </w:r>
      <w:bookmarkStart w:id="5" w:name="_Hlk68600639"/>
      <w:r>
        <w:rPr>
          <w:rFonts w:hint="eastAsia"/>
        </w:rPr>
        <w:t>固定资产、在建工程、工程物资</w:t>
      </w:r>
      <w:bookmarkEnd w:id="5"/>
      <w:r>
        <w:rPr>
          <w:rFonts w:hint="eastAsia"/>
        </w:rPr>
        <w:t>（2</w:t>
      </w:r>
      <w:r>
        <w:t>018</w:t>
      </w:r>
      <w:r>
        <w:rPr>
          <w:rFonts w:hint="eastAsia"/>
        </w:rPr>
        <w:t>之后合并入在建工程之内）、资产总计，并计算三个科目之和占资产总计的比值</w:t>
      </w:r>
    </w:p>
    <w:p>
      <w:pPr>
        <w:ind w:firstLine="6464" w:firstLineChars="2683"/>
        <w:rPr>
          <w:rFonts w:ascii="楷体" w:hAnsi="楷体" w:eastAsia="楷体"/>
          <w:b/>
          <w:bCs/>
        </w:rPr>
      </w:pPr>
      <w:r>
        <w:rPr>
          <w:rFonts w:hint="eastAsia" w:ascii="楷体" w:hAnsi="楷体" w:eastAsia="楷体"/>
          <w:b/>
          <w:bCs/>
        </w:rPr>
        <w:t>单位：亿元</w:t>
      </w:r>
    </w:p>
    <w:tbl>
      <w:tblPr>
        <w:tblStyle w:val="13"/>
        <w:tblW w:w="8500" w:type="dxa"/>
        <w:jc w:val="center"/>
        <w:tblLayout w:type="fixed"/>
        <w:tblCellMar>
          <w:top w:w="0" w:type="dxa"/>
          <w:left w:w="108" w:type="dxa"/>
          <w:bottom w:w="0" w:type="dxa"/>
          <w:right w:w="108" w:type="dxa"/>
        </w:tblCellMar>
      </w:tblPr>
      <w:tblGrid>
        <w:gridCol w:w="2749"/>
        <w:gridCol w:w="885"/>
        <w:gridCol w:w="885"/>
        <w:gridCol w:w="885"/>
        <w:gridCol w:w="885"/>
        <w:gridCol w:w="882"/>
        <w:gridCol w:w="1329"/>
      </w:tblGrid>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固定资产</w:t>
            </w:r>
          </w:p>
        </w:tc>
        <w:tc>
          <w:tcPr>
            <w:tcW w:w="885"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6</w:t>
            </w:r>
          </w:p>
        </w:tc>
        <w:tc>
          <w:tcPr>
            <w:tcW w:w="885"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7</w:t>
            </w:r>
          </w:p>
        </w:tc>
        <w:tc>
          <w:tcPr>
            <w:tcW w:w="885"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8</w:t>
            </w:r>
          </w:p>
        </w:tc>
        <w:tc>
          <w:tcPr>
            <w:tcW w:w="885"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201</w:t>
            </w:r>
            <w:r>
              <w:rPr>
                <w:rFonts w:ascii="楷体" w:hAnsi="楷体" w:eastAsia="楷体" w:cs="宋体"/>
                <w:b/>
                <w:bCs/>
                <w:color w:val="FFFFFF"/>
                <w:kern w:val="0"/>
                <w:sz w:val="22"/>
                <w:szCs w:val="22"/>
              </w:rPr>
              <w:t>9</w:t>
            </w:r>
          </w:p>
        </w:tc>
        <w:tc>
          <w:tcPr>
            <w:tcW w:w="882" w:type="dxa"/>
            <w:tcBorders>
              <w:top w:val="single" w:color="auto" w:sz="4" w:space="0"/>
              <w:left w:val="single" w:color="auto" w:sz="4" w:space="0"/>
              <w:bottom w:val="single" w:color="auto" w:sz="4" w:space="0"/>
              <w:right w:val="single" w:color="auto" w:sz="4" w:space="0"/>
            </w:tcBorders>
            <w:shd w:val="clear" w:color="auto" w:fill="4472C4" w:themeFill="accent1"/>
          </w:tcPr>
          <w:p>
            <w:pPr>
              <w:widowControl/>
              <w:spacing w:line="240" w:lineRule="auto"/>
              <w:ind w:firstLine="0" w:firstLineChars="0"/>
              <w:jc w:val="center"/>
              <w:rPr>
                <w:rFonts w:ascii="楷体" w:hAnsi="楷体" w:eastAsia="楷体" w:cs="宋体"/>
                <w:b/>
                <w:bCs/>
                <w:color w:val="FFFFFF"/>
                <w:kern w:val="0"/>
                <w:sz w:val="22"/>
                <w:szCs w:val="22"/>
              </w:rPr>
            </w:pPr>
            <w:r>
              <w:rPr>
                <w:rFonts w:hint="eastAsia" w:ascii="楷体" w:hAnsi="楷体" w:eastAsia="楷体" w:cs="宋体"/>
                <w:b/>
                <w:bCs/>
                <w:color w:val="FFFFFF"/>
                <w:kern w:val="0"/>
                <w:sz w:val="22"/>
                <w:szCs w:val="22"/>
              </w:rPr>
              <w:t>20</w:t>
            </w:r>
            <w:r>
              <w:rPr>
                <w:rFonts w:ascii="楷体" w:hAnsi="楷体" w:eastAsia="楷体" w:cs="宋体"/>
                <w:b/>
                <w:bCs/>
                <w:color w:val="FFFFFF"/>
                <w:kern w:val="0"/>
                <w:sz w:val="22"/>
                <w:szCs w:val="22"/>
              </w:rPr>
              <w:t>20</w:t>
            </w:r>
          </w:p>
        </w:tc>
        <w:tc>
          <w:tcPr>
            <w:tcW w:w="1329" w:type="dxa"/>
            <w:tcBorders>
              <w:left w:val="single" w:color="auto" w:sz="4" w:space="0"/>
            </w:tcBorders>
            <w:shd w:val="clear" w:color="auto" w:fill="auto"/>
            <w:vAlign w:val="center"/>
          </w:tcPr>
          <w:p>
            <w:pPr>
              <w:widowControl/>
              <w:spacing w:line="240" w:lineRule="auto"/>
              <w:ind w:firstLine="0" w:firstLineChars="0"/>
              <w:jc w:val="center"/>
              <w:rPr>
                <w:rFonts w:ascii="楷体" w:hAnsi="楷体" w:eastAsia="楷体" w:cs="宋体"/>
                <w:b/>
                <w:bCs/>
                <w:color w:val="FFFFFF"/>
                <w:kern w:val="0"/>
                <w:sz w:val="22"/>
                <w:szCs w:val="22"/>
              </w:rPr>
            </w:pPr>
          </w:p>
        </w:tc>
      </w:tr>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固定资产</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ascii="楷体" w:hAnsi="楷体" w:eastAsia="楷体" w:cs="宋体"/>
                <w:color w:val="000000"/>
                <w:kern w:val="0"/>
                <w:sz w:val="22"/>
                <w:szCs w:val="22"/>
              </w:rPr>
              <w:t>79.70</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8</w:t>
            </w:r>
            <w:r>
              <w:rPr>
                <w:rFonts w:ascii="楷体" w:hAnsi="楷体" w:eastAsia="楷体" w:cs="宋体"/>
                <w:color w:val="000000"/>
                <w:kern w:val="0"/>
                <w:sz w:val="22"/>
                <w:szCs w:val="22"/>
              </w:rPr>
              <w:t>2.50</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color w:val="000000"/>
                <w:kern w:val="0"/>
                <w:sz w:val="22"/>
                <w:szCs w:val="22"/>
              </w:rPr>
            </w:pPr>
            <w:r>
              <w:rPr>
                <w:rFonts w:ascii="楷体" w:hAnsi="楷体" w:eastAsia="楷体" w:cs="宋体"/>
                <w:color w:val="000000"/>
                <w:kern w:val="0"/>
                <w:sz w:val="22"/>
                <w:szCs w:val="22"/>
              </w:rPr>
              <w:t>78.34</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ascii="楷体" w:hAnsi="楷体" w:eastAsia="楷体" w:cs="宋体"/>
                <w:color w:val="000000"/>
                <w:kern w:val="0"/>
                <w:sz w:val="22"/>
                <w:szCs w:val="22"/>
              </w:rPr>
              <w:t>72.57</w:t>
            </w:r>
          </w:p>
        </w:tc>
        <w:tc>
          <w:tcPr>
            <w:tcW w:w="882" w:type="dxa"/>
            <w:tcBorders>
              <w:top w:val="single" w:color="auto" w:sz="4" w:space="0"/>
              <w:left w:val="single" w:color="auto" w:sz="4" w:space="0"/>
              <w:bottom w:val="single" w:color="auto" w:sz="4" w:space="0"/>
              <w:right w:val="single" w:color="auto" w:sz="4" w:space="0"/>
            </w:tcBorders>
            <w:shd w:val="clear" w:color="auto" w:fill="FFFF00"/>
          </w:tcPr>
          <w:p>
            <w:pPr>
              <w:widowControl/>
              <w:spacing w:line="240" w:lineRule="auto"/>
              <w:ind w:firstLine="0" w:firstLineChars="0"/>
              <w:jc w:val="center"/>
              <w:rPr>
                <w:rFonts w:ascii="楷体" w:hAnsi="楷体" w:eastAsia="楷体" w:cs="宋体"/>
                <w:color w:val="000000"/>
                <w:kern w:val="0"/>
                <w:sz w:val="22"/>
                <w:szCs w:val="22"/>
              </w:rPr>
            </w:pPr>
          </w:p>
        </w:tc>
        <w:tc>
          <w:tcPr>
            <w:tcW w:w="1329" w:type="dxa"/>
            <w:tcBorders>
              <w:lef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解析6</w:t>
            </w:r>
          </w:p>
        </w:tc>
      </w:tr>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在建工程</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5</w:t>
            </w:r>
            <w:r>
              <w:rPr>
                <w:rFonts w:ascii="楷体" w:hAnsi="楷体" w:eastAsia="楷体" w:cs="宋体"/>
                <w:color w:val="000000"/>
                <w:kern w:val="0"/>
                <w:sz w:val="22"/>
                <w:szCs w:val="22"/>
              </w:rPr>
              <w:t>.45</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2</w:t>
            </w:r>
            <w:r>
              <w:rPr>
                <w:rFonts w:ascii="楷体" w:hAnsi="楷体" w:eastAsia="楷体" w:cs="宋体"/>
                <w:color w:val="000000"/>
                <w:kern w:val="0"/>
                <w:sz w:val="22"/>
                <w:szCs w:val="22"/>
              </w:rPr>
              <w:t>.34</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ascii="楷体" w:hAnsi="楷体" w:eastAsia="楷体" w:cs="宋体"/>
                <w:color w:val="000000"/>
                <w:kern w:val="0"/>
                <w:sz w:val="22"/>
                <w:szCs w:val="22"/>
              </w:rPr>
              <w:t>1</w:t>
            </w:r>
            <w:r>
              <w:rPr>
                <w:rFonts w:hint="eastAsia" w:ascii="楷体" w:hAnsi="楷体" w:eastAsia="楷体" w:cs="宋体"/>
                <w:color w:val="000000"/>
                <w:kern w:val="0"/>
                <w:sz w:val="22"/>
                <w:szCs w:val="22"/>
              </w:rPr>
              <w:t>.</w:t>
            </w:r>
            <w:r>
              <w:rPr>
                <w:rFonts w:ascii="楷体" w:hAnsi="楷体" w:eastAsia="楷体" w:cs="宋体"/>
                <w:color w:val="000000"/>
                <w:kern w:val="0"/>
                <w:sz w:val="22"/>
                <w:szCs w:val="22"/>
              </w:rPr>
              <w:t>55</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ascii="楷体" w:hAnsi="楷体" w:eastAsia="楷体" w:cs="宋体"/>
                <w:color w:val="000000"/>
                <w:kern w:val="0"/>
                <w:sz w:val="22"/>
                <w:szCs w:val="22"/>
              </w:rPr>
              <w:t>2</w:t>
            </w:r>
            <w:r>
              <w:rPr>
                <w:rFonts w:hint="eastAsia" w:ascii="楷体" w:hAnsi="楷体" w:eastAsia="楷体" w:cs="宋体"/>
                <w:color w:val="000000"/>
                <w:kern w:val="0"/>
                <w:sz w:val="22"/>
                <w:szCs w:val="22"/>
              </w:rPr>
              <w:t>.</w:t>
            </w:r>
            <w:r>
              <w:rPr>
                <w:rFonts w:ascii="楷体" w:hAnsi="楷体" w:eastAsia="楷体" w:cs="宋体"/>
                <w:color w:val="000000"/>
                <w:kern w:val="0"/>
                <w:sz w:val="22"/>
                <w:szCs w:val="22"/>
              </w:rPr>
              <w:t>63</w:t>
            </w:r>
          </w:p>
        </w:tc>
        <w:tc>
          <w:tcPr>
            <w:tcW w:w="882" w:type="dxa"/>
            <w:tcBorders>
              <w:top w:val="single" w:color="auto" w:sz="4" w:space="0"/>
              <w:left w:val="single" w:color="auto" w:sz="4" w:space="0"/>
              <w:bottom w:val="single" w:color="auto" w:sz="4" w:space="0"/>
              <w:right w:val="single" w:color="auto" w:sz="4" w:space="0"/>
            </w:tcBorders>
            <w:shd w:val="clear" w:color="auto" w:fill="FFFF00"/>
          </w:tcPr>
          <w:p>
            <w:pPr>
              <w:widowControl/>
              <w:spacing w:line="240" w:lineRule="auto"/>
              <w:ind w:firstLine="0" w:firstLineChars="0"/>
              <w:jc w:val="center"/>
              <w:rPr>
                <w:rFonts w:ascii="楷体" w:hAnsi="楷体" w:eastAsia="楷体" w:cs="宋体"/>
                <w:color w:val="000000"/>
                <w:kern w:val="0"/>
                <w:sz w:val="22"/>
                <w:szCs w:val="22"/>
              </w:rPr>
            </w:pPr>
          </w:p>
        </w:tc>
        <w:tc>
          <w:tcPr>
            <w:tcW w:w="1329" w:type="dxa"/>
            <w:tcBorders>
              <w:lef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解析6</w:t>
            </w:r>
          </w:p>
        </w:tc>
      </w:tr>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工程物资</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r>
              <w:rPr>
                <w:rFonts w:ascii="楷体" w:hAnsi="楷体" w:eastAsia="楷体" w:cs="宋体"/>
                <w:color w:val="000000"/>
                <w:kern w:val="0"/>
                <w:sz w:val="22"/>
                <w:szCs w:val="22"/>
              </w:rPr>
              <w:t>.01</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r>
              <w:rPr>
                <w:rFonts w:ascii="楷体" w:hAnsi="楷体" w:eastAsia="楷体" w:cs="宋体"/>
                <w:color w:val="000000"/>
                <w:kern w:val="0"/>
                <w:sz w:val="22"/>
                <w:szCs w:val="22"/>
              </w:rPr>
              <w:t>.01</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p>
        </w:tc>
        <w:tc>
          <w:tcPr>
            <w:tcW w:w="882"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0</w:t>
            </w:r>
          </w:p>
        </w:tc>
        <w:tc>
          <w:tcPr>
            <w:tcW w:w="1329" w:type="dxa"/>
            <w:tcBorders>
              <w:lef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4472C4" w:themeColor="accent1"/>
                <w:kern w:val="0"/>
                <w:sz w:val="22"/>
                <w:szCs w:val="22"/>
                <w14:textFill>
                  <w14:solidFill>
                    <w14:schemeClr w14:val="accent1"/>
                  </w14:solidFill>
                </w14:textFill>
              </w:rPr>
            </w:pPr>
          </w:p>
        </w:tc>
      </w:tr>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rPr>
                <w:rFonts w:hint="eastAsia" w:ascii="楷体" w:hAnsi="楷体" w:eastAsia="楷体" w:cs="宋体"/>
                <w:color w:val="000000"/>
                <w:kern w:val="0"/>
                <w:sz w:val="22"/>
                <w:szCs w:val="22"/>
              </w:rPr>
              <w:t>资产总计</w:t>
            </w:r>
          </w:p>
        </w:tc>
        <w:tc>
          <w:tcPr>
            <w:tcW w:w="885" w:type="dxa"/>
            <w:tcBorders>
              <w:top w:val="single" w:color="auto" w:sz="4" w:space="0"/>
              <w:left w:val="single" w:color="auto" w:sz="4" w:space="0"/>
              <w:bottom w:val="single" w:color="auto" w:sz="4" w:space="0"/>
              <w:right w:val="single" w:color="auto" w:sz="4" w:space="0"/>
            </w:tcBorders>
            <w:shd w:val="clear" w:color="auto" w:fill="auto"/>
            <w:noWrap/>
          </w:tcPr>
          <w:p>
            <w:pPr>
              <w:widowControl/>
              <w:spacing w:line="240" w:lineRule="auto"/>
              <w:ind w:firstLine="0" w:firstLineChars="0"/>
              <w:jc w:val="center"/>
              <w:rPr>
                <w:rFonts w:ascii="楷体" w:hAnsi="楷体" w:eastAsia="楷体" w:cs="宋体"/>
                <w:color w:val="000000"/>
                <w:kern w:val="0"/>
                <w:sz w:val="22"/>
                <w:szCs w:val="22"/>
              </w:rPr>
            </w:pPr>
            <w:r>
              <w:t>388.04</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t>432.58</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t>495.64</w:t>
            </w:r>
          </w:p>
        </w:tc>
        <w:tc>
          <w:tcPr>
            <w:tcW w:w="885"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rPr>
                <w:rFonts w:ascii="楷体" w:hAnsi="楷体" w:eastAsia="楷体" w:cs="宋体"/>
                <w:color w:val="000000"/>
                <w:kern w:val="0"/>
                <w:sz w:val="22"/>
                <w:szCs w:val="22"/>
              </w:rPr>
            </w:pPr>
            <w:r>
              <w:t>534.55</w:t>
            </w:r>
          </w:p>
        </w:tc>
        <w:tc>
          <w:tcPr>
            <w:tcW w:w="882" w:type="dxa"/>
            <w:tcBorders>
              <w:top w:val="single" w:color="auto" w:sz="4" w:space="0"/>
              <w:left w:val="single" w:color="auto" w:sz="4" w:space="0"/>
              <w:bottom w:val="single" w:color="auto" w:sz="4" w:space="0"/>
              <w:right w:val="single" w:color="auto" w:sz="4" w:space="0"/>
            </w:tcBorders>
            <w:shd w:val="clear" w:color="auto" w:fill="FFFF00"/>
          </w:tcPr>
          <w:p>
            <w:pPr>
              <w:widowControl/>
              <w:spacing w:line="240" w:lineRule="auto"/>
              <w:ind w:firstLine="0" w:firstLineChars="0"/>
              <w:jc w:val="center"/>
              <w:rPr>
                <w:rFonts w:ascii="楷体" w:hAnsi="楷体" w:eastAsia="楷体" w:cs="宋体"/>
                <w:color w:val="000000"/>
                <w:kern w:val="0"/>
                <w:sz w:val="22"/>
                <w:szCs w:val="22"/>
              </w:rPr>
            </w:pPr>
          </w:p>
        </w:tc>
        <w:tc>
          <w:tcPr>
            <w:tcW w:w="1329" w:type="dxa"/>
            <w:tcBorders>
              <w:left w:val="single" w:color="auto" w:sz="4" w:space="0"/>
            </w:tcBorders>
            <w:shd w:val="clear" w:color="auto" w:fill="auto"/>
            <w:vAlign w:val="center"/>
          </w:tcPr>
          <w:p>
            <w:pPr>
              <w:widowControl/>
              <w:spacing w:line="240" w:lineRule="auto"/>
              <w:ind w:firstLine="0" w:firstLineChars="0"/>
              <w:jc w:val="center"/>
              <w:rPr>
                <w:rFonts w:ascii="楷体" w:hAnsi="楷体" w:eastAsia="楷体" w:cs="宋体"/>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解析3</w:t>
            </w:r>
          </w:p>
        </w:tc>
      </w:tr>
      <w:tr>
        <w:tblPrEx>
          <w:tblCellMar>
            <w:top w:w="0" w:type="dxa"/>
            <w:left w:w="108" w:type="dxa"/>
            <w:bottom w:w="0" w:type="dxa"/>
            <w:right w:w="108" w:type="dxa"/>
          </w:tblCellMar>
        </w:tblPrEx>
        <w:trPr>
          <w:trHeight w:val="288" w:hRule="atLeast"/>
          <w:jc w:val="center"/>
        </w:trPr>
        <w:tc>
          <w:tcPr>
            <w:tcW w:w="274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kern w:val="0"/>
                <w:sz w:val="22"/>
                <w:szCs w:val="22"/>
              </w:rPr>
            </w:pPr>
            <w:r>
              <w:rPr>
                <w:rFonts w:hint="eastAsia" w:ascii="楷体" w:hAnsi="楷体" w:eastAsia="楷体" w:cs="宋体"/>
                <w:kern w:val="0"/>
                <w:sz w:val="22"/>
                <w:szCs w:val="22"/>
              </w:rPr>
              <w:t>固定资产之和占资产总计比例</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kern w:val="0"/>
                <w:sz w:val="22"/>
                <w:szCs w:val="22"/>
              </w:rPr>
            </w:pPr>
            <w:r>
              <w:rPr>
                <w:rFonts w:ascii="楷体" w:hAnsi="楷体" w:eastAsia="楷体" w:cs="宋体"/>
                <w:kern w:val="0"/>
                <w:sz w:val="22"/>
                <w:szCs w:val="22"/>
              </w:rPr>
              <w:t>21</w:t>
            </w:r>
            <w:r>
              <w:rPr>
                <w:rFonts w:hint="eastAsia" w:ascii="楷体" w:hAnsi="楷体" w:eastAsia="楷体" w:cs="宋体"/>
                <w:kern w:val="0"/>
                <w:sz w:val="22"/>
                <w:szCs w:val="22"/>
              </w:rPr>
              <w:t>.</w:t>
            </w:r>
            <w:r>
              <w:rPr>
                <w:rFonts w:ascii="楷体" w:hAnsi="楷体" w:eastAsia="楷体" w:cs="宋体"/>
                <w:kern w:val="0"/>
                <w:sz w:val="22"/>
                <w:szCs w:val="22"/>
              </w:rPr>
              <w:t>95</w:t>
            </w:r>
            <w:r>
              <w:rPr>
                <w:rFonts w:hint="eastAsia" w:ascii="楷体" w:hAnsi="楷体" w:eastAsia="楷体" w:cs="宋体"/>
                <w:kern w:val="0"/>
                <w:sz w:val="22"/>
                <w:szCs w:val="22"/>
              </w:rPr>
              <w:t>%</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kern w:val="0"/>
                <w:sz w:val="22"/>
                <w:szCs w:val="22"/>
              </w:rPr>
            </w:pPr>
            <w:r>
              <w:rPr>
                <w:rFonts w:ascii="楷体" w:hAnsi="楷体" w:eastAsia="楷体" w:cs="宋体"/>
                <w:kern w:val="0"/>
                <w:sz w:val="22"/>
                <w:szCs w:val="22"/>
              </w:rPr>
              <w:t>19</w:t>
            </w:r>
            <w:r>
              <w:rPr>
                <w:rFonts w:hint="eastAsia" w:ascii="楷体" w:hAnsi="楷体" w:eastAsia="楷体" w:cs="宋体"/>
                <w:kern w:val="0"/>
                <w:sz w:val="22"/>
                <w:szCs w:val="22"/>
              </w:rPr>
              <w:t>.</w:t>
            </w:r>
            <w:r>
              <w:rPr>
                <w:rFonts w:ascii="楷体" w:hAnsi="楷体" w:eastAsia="楷体" w:cs="宋体"/>
                <w:kern w:val="0"/>
                <w:sz w:val="22"/>
                <w:szCs w:val="22"/>
              </w:rPr>
              <w:t>61</w:t>
            </w:r>
            <w:r>
              <w:rPr>
                <w:rFonts w:hint="eastAsia" w:ascii="楷体" w:hAnsi="楷体" w:eastAsia="楷体" w:cs="宋体"/>
                <w:kern w:val="0"/>
                <w:sz w:val="22"/>
                <w:szCs w:val="22"/>
              </w:rPr>
              <w:t>%</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kern w:val="0"/>
                <w:sz w:val="22"/>
                <w:szCs w:val="22"/>
              </w:rPr>
            </w:pPr>
            <w:r>
              <w:rPr>
                <w:rFonts w:hint="eastAsia" w:ascii="楷体" w:hAnsi="楷体" w:eastAsia="楷体" w:cs="宋体"/>
                <w:kern w:val="0"/>
                <w:sz w:val="22"/>
                <w:szCs w:val="22"/>
              </w:rPr>
              <w:t>1</w:t>
            </w:r>
            <w:r>
              <w:rPr>
                <w:rFonts w:ascii="楷体" w:hAnsi="楷体" w:eastAsia="楷体" w:cs="宋体"/>
                <w:kern w:val="0"/>
                <w:sz w:val="22"/>
                <w:szCs w:val="22"/>
              </w:rPr>
              <w:t>6</w:t>
            </w:r>
            <w:r>
              <w:rPr>
                <w:rFonts w:hint="eastAsia" w:ascii="楷体" w:hAnsi="楷体" w:eastAsia="楷体" w:cs="宋体"/>
                <w:kern w:val="0"/>
                <w:sz w:val="22"/>
                <w:szCs w:val="22"/>
              </w:rPr>
              <w:t>.</w:t>
            </w:r>
            <w:r>
              <w:rPr>
                <w:rFonts w:ascii="楷体" w:hAnsi="楷体" w:eastAsia="楷体" w:cs="宋体"/>
                <w:kern w:val="0"/>
                <w:sz w:val="22"/>
                <w:szCs w:val="22"/>
              </w:rPr>
              <w:t>12</w:t>
            </w:r>
            <w:r>
              <w:rPr>
                <w:rFonts w:hint="eastAsia" w:ascii="楷体" w:hAnsi="楷体" w:eastAsia="楷体" w:cs="宋体"/>
                <w:kern w:val="0"/>
                <w:sz w:val="22"/>
                <w:szCs w:val="22"/>
              </w:rPr>
              <w:t>%</w:t>
            </w:r>
          </w:p>
        </w:tc>
        <w:tc>
          <w:tcPr>
            <w:tcW w:w="88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0" w:firstLineChars="0"/>
              <w:jc w:val="center"/>
              <w:rPr>
                <w:rFonts w:ascii="楷体" w:hAnsi="楷体" w:eastAsia="楷体" w:cs="宋体"/>
                <w:kern w:val="0"/>
                <w:sz w:val="22"/>
                <w:szCs w:val="22"/>
              </w:rPr>
            </w:pPr>
            <w:r>
              <w:rPr>
                <w:rFonts w:hint="eastAsia" w:ascii="楷体" w:hAnsi="楷体" w:eastAsia="楷体" w:cs="宋体"/>
                <w:kern w:val="0"/>
                <w:sz w:val="22"/>
                <w:szCs w:val="22"/>
              </w:rPr>
              <w:t>1</w:t>
            </w:r>
            <w:r>
              <w:rPr>
                <w:rFonts w:ascii="楷体" w:hAnsi="楷体" w:eastAsia="楷体" w:cs="宋体"/>
                <w:kern w:val="0"/>
                <w:sz w:val="22"/>
                <w:szCs w:val="22"/>
              </w:rPr>
              <w:t>4</w:t>
            </w:r>
            <w:r>
              <w:rPr>
                <w:rFonts w:hint="eastAsia" w:ascii="楷体" w:hAnsi="楷体" w:eastAsia="楷体" w:cs="宋体"/>
                <w:kern w:val="0"/>
                <w:sz w:val="22"/>
                <w:szCs w:val="22"/>
              </w:rPr>
              <w:t>.</w:t>
            </w:r>
            <w:r>
              <w:rPr>
                <w:rFonts w:ascii="楷体" w:hAnsi="楷体" w:eastAsia="楷体" w:cs="宋体"/>
                <w:kern w:val="0"/>
                <w:sz w:val="22"/>
                <w:szCs w:val="22"/>
              </w:rPr>
              <w:t>07</w:t>
            </w:r>
            <w:r>
              <w:rPr>
                <w:rFonts w:hint="eastAsia" w:ascii="楷体" w:hAnsi="楷体" w:eastAsia="楷体" w:cs="宋体"/>
                <w:kern w:val="0"/>
                <w:sz w:val="22"/>
                <w:szCs w:val="22"/>
              </w:rPr>
              <w:t>%</w:t>
            </w:r>
          </w:p>
        </w:tc>
        <w:tc>
          <w:tcPr>
            <w:tcW w:w="882" w:type="dxa"/>
            <w:tcBorders>
              <w:top w:val="single" w:color="auto" w:sz="4" w:space="0"/>
              <w:left w:val="single" w:color="auto" w:sz="4" w:space="0"/>
              <w:bottom w:val="single" w:color="auto" w:sz="4" w:space="0"/>
              <w:right w:val="single" w:color="auto" w:sz="4" w:space="0"/>
            </w:tcBorders>
            <w:shd w:val="clear" w:color="auto" w:fill="FFFF00"/>
            <w:noWrap/>
            <w:vAlign w:val="center"/>
          </w:tcPr>
          <w:p>
            <w:pPr>
              <w:widowControl/>
              <w:spacing w:line="240" w:lineRule="auto"/>
              <w:ind w:firstLine="0" w:firstLineChars="0"/>
              <w:jc w:val="right"/>
              <w:rPr>
                <w:rFonts w:ascii="楷体" w:hAnsi="楷体" w:eastAsia="楷体" w:cs="宋体"/>
                <w:kern w:val="0"/>
                <w:sz w:val="22"/>
                <w:szCs w:val="22"/>
              </w:rPr>
            </w:pPr>
            <w:r>
              <w:rPr>
                <w:rFonts w:hint="eastAsia" w:ascii="楷体" w:hAnsi="楷体" w:eastAsia="楷体" w:cs="宋体"/>
                <w:kern w:val="0"/>
                <w:sz w:val="22"/>
                <w:szCs w:val="22"/>
              </w:rPr>
              <w:t>%</w:t>
            </w:r>
          </w:p>
        </w:tc>
        <w:tc>
          <w:tcPr>
            <w:tcW w:w="1329" w:type="dxa"/>
            <w:tcBorders>
              <w:left w:val="single" w:color="auto" w:sz="4" w:space="0"/>
            </w:tcBorders>
            <w:shd w:val="clear" w:color="auto" w:fill="auto"/>
            <w:vAlign w:val="center"/>
          </w:tcPr>
          <w:p>
            <w:pPr>
              <w:widowControl/>
              <w:spacing w:line="240" w:lineRule="auto"/>
              <w:ind w:firstLine="0" w:firstLineChars="0"/>
              <w:jc w:val="center"/>
              <w:rPr>
                <w:rFonts w:ascii="楷体" w:hAnsi="楷体" w:eastAsia="楷体" w:cs="宋体"/>
                <w:b/>
                <w:bCs/>
                <w:color w:val="4472C4" w:themeColor="accent1"/>
                <w:kern w:val="0"/>
                <w:sz w:val="22"/>
                <w:szCs w:val="22"/>
                <w14:textFill>
                  <w14:solidFill>
                    <w14:schemeClr w14:val="accent1"/>
                  </w14:solidFill>
                </w14:textFill>
              </w:rPr>
            </w:pPr>
            <w:r>
              <w:rPr>
                <w:rFonts w:hint="eastAsia" w:ascii="楷体" w:hAnsi="楷体" w:eastAsia="楷体" w:cs="宋体"/>
                <w:color w:val="4472C4" w:themeColor="accent1"/>
                <w:kern w:val="0"/>
                <w:sz w:val="22"/>
                <w:szCs w:val="22"/>
                <w14:textFill>
                  <w14:solidFill>
                    <w14:schemeClr w14:val="accent1"/>
                  </w14:solidFill>
                </w14:textFill>
              </w:rPr>
              <w:t>下面有公式</w:t>
            </w:r>
          </w:p>
        </w:tc>
      </w:tr>
    </w:tbl>
    <w:p>
      <w:pPr>
        <w:ind w:firstLine="0" w:firstLineChars="0"/>
        <w:rPr>
          <w:rFonts w:ascii="楷体" w:hAnsi="楷体" w:eastAsia="楷体"/>
          <w:b/>
          <w:bCs/>
          <w:color w:val="4472C4" w:themeColor="accent1"/>
          <w14:textFill>
            <w14:solidFill>
              <w14:schemeClr w14:val="accent1"/>
            </w14:solidFill>
          </w14:textFill>
        </w:rPr>
      </w:pPr>
      <w:r>
        <w:rPr>
          <w:rFonts w:hint="eastAsia" w:ascii="楷体" w:hAnsi="楷体" w:eastAsia="楷体"/>
          <w:b/>
          <w:bCs/>
          <w:color w:val="4472C4" w:themeColor="accent1"/>
          <w14:textFill>
            <w14:solidFill>
              <w14:schemeClr w14:val="accent1"/>
            </w14:solidFill>
          </w14:textFill>
        </w:rPr>
        <w:t>计算公式：固定资产之和占资产总计比例=(固定资产+在建工程+工程物资) 除以 资产总计 乘以1</w:t>
      </w:r>
      <w:r>
        <w:rPr>
          <w:rFonts w:ascii="楷体" w:hAnsi="楷体" w:eastAsia="楷体"/>
          <w:b/>
          <w:bCs/>
          <w:color w:val="4472C4" w:themeColor="accent1"/>
          <w14:textFill>
            <w14:solidFill>
              <w14:schemeClr w14:val="accent1"/>
            </w14:solidFill>
          </w14:textFill>
        </w:rPr>
        <w:t>00%</w:t>
      </w:r>
    </w:p>
    <w:p>
      <w:pPr>
        <w:ind w:firstLine="0" w:firstLineChars="0"/>
        <w:rPr>
          <w:rFonts w:ascii="楷体" w:hAnsi="楷体" w:eastAsia="楷体"/>
        </w:rPr>
      </w:pPr>
    </w:p>
    <w:p>
      <w:pPr>
        <w:ind w:firstLine="0" w:firstLineChars="0"/>
        <w:rPr>
          <w:rFonts w:ascii="楷体" w:hAnsi="楷体" w:eastAsia="楷体"/>
        </w:rPr>
      </w:pPr>
    </w:p>
    <w:p>
      <w:pPr>
        <w:pStyle w:val="32"/>
      </w:pPr>
      <w:r>
        <w:rPr>
          <w:rFonts w:hint="eastAsia"/>
        </w:rPr>
        <w:t>3</w:t>
      </w:r>
      <w:r>
        <w:t>.</w:t>
      </w:r>
      <w:r>
        <w:rPr>
          <w:rFonts w:hint="eastAsia"/>
        </w:rPr>
        <w:t>分析各年变化趋势</w:t>
      </w:r>
    </w:p>
    <w:p>
      <w:pPr>
        <w:pStyle w:val="34"/>
        <w:ind w:firstLine="0" w:firstLineChars="0"/>
        <w:rPr>
          <w:rFonts w:ascii="楷体" w:hAnsi="楷体" w:eastAsia="楷体"/>
          <w:sz w:val="24"/>
          <w:szCs w:val="24"/>
        </w:rPr>
      </w:pPr>
      <w:r>
        <w:rPr>
          <w:rFonts w:hint="eastAsia" w:ascii="楷体" w:hAnsi="楷体" w:eastAsia="楷体"/>
          <w:sz w:val="24"/>
          <w:szCs w:val="24"/>
        </w:rPr>
        <w:t>根据计算可以看出，近五年洋河股份固定资产之和 占 资产总计比例分别为</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r>
        <w:rPr>
          <w:rFonts w:ascii="楷体" w:hAnsi="楷体" w:eastAsia="楷体"/>
          <w:sz w:val="24"/>
          <w:szCs w:val="24"/>
          <w:u w:val="single"/>
        </w:rPr>
        <w:t xml:space="preserve">    </w:t>
      </w:r>
      <w:r>
        <w:rPr>
          <w:rFonts w:hint="eastAsia" w:ascii="楷体" w:hAnsi="楷体" w:eastAsia="楷体"/>
          <w:sz w:val="24"/>
          <w:szCs w:val="24"/>
        </w:rPr>
        <w:t>%</w:t>
      </w:r>
    </w:p>
    <w:p>
      <w:pPr>
        <w:pStyle w:val="34"/>
        <w:ind w:firstLine="0" w:firstLineChars="0"/>
        <w:rPr>
          <w:rFonts w:ascii="楷体" w:hAnsi="楷体" w:eastAsia="楷体"/>
          <w:sz w:val="24"/>
          <w:szCs w:val="24"/>
        </w:rPr>
      </w:pPr>
      <w:r>
        <w:rPr>
          <w:rFonts w:hint="eastAsia" w:ascii="楷体" w:hAnsi="楷体" w:eastAsia="楷体"/>
          <w:sz w:val="24"/>
          <w:szCs w:val="24"/>
        </w:rPr>
        <w:t>同学们参考:</w:t>
      </w:r>
      <w:r>
        <w:rPr>
          <w:rFonts w:hint="eastAsia" w:ascii="楷体" w:hAnsi="楷体" w:eastAsia="楷体"/>
          <w:color w:val="4472C4" w:themeColor="accent1"/>
          <w:kern w:val="2"/>
          <w:sz w:val="24"/>
          <w:szCs w:val="24"/>
          <w:u w:val="single"/>
          <w14:textFill>
            <w14:solidFill>
              <w14:schemeClr w14:val="accent1"/>
            </w14:solidFill>
          </w14:textFill>
        </w:rPr>
        <w:t>1.分析思路导图中的数据标准对照的结论</w:t>
      </w:r>
      <w:r>
        <w:rPr>
          <w:rFonts w:hint="eastAsia" w:ascii="楷体" w:hAnsi="楷体" w:eastAsia="楷体"/>
          <w:sz w:val="24"/>
          <w:szCs w:val="24"/>
        </w:rPr>
        <w:t>，来进行判断：</w:t>
      </w:r>
    </w:p>
    <w:p>
      <w:pPr>
        <w:pStyle w:val="34"/>
        <w:ind w:left="60" w:leftChars="25" w:firstLine="480"/>
        <w:rPr>
          <w:rFonts w:ascii="楷体" w:hAnsi="楷体" w:eastAsia="楷体"/>
          <w:sz w:val="24"/>
          <w:szCs w:val="24"/>
        </w:rPr>
      </w:pPr>
      <w:r>
        <w:rPr>
          <w:rFonts w:hint="eastAsia" w:ascii="楷体" w:hAnsi="楷体" w:eastAsia="楷体"/>
          <w:sz w:val="24"/>
          <w:szCs w:val="24"/>
        </w:rPr>
        <w:t>洋河股份近5年的，固定资产之和 占 资产总计比例均</w:t>
      </w:r>
      <w:r>
        <w:rPr>
          <w:rFonts w:hint="eastAsia" w:ascii="楷体" w:hAnsi="楷体" w:eastAsia="楷体"/>
          <w:sz w:val="24"/>
          <w:szCs w:val="24"/>
          <w:u w:val="single"/>
        </w:rPr>
        <w:t xml:space="preserve"> </w:t>
      </w:r>
      <w:r>
        <w:rPr>
          <w:rFonts w:ascii="楷体" w:hAnsi="楷体" w:eastAsia="楷体"/>
          <w:sz w:val="24"/>
          <w:szCs w:val="24"/>
          <w:u w:val="single"/>
        </w:rPr>
        <w:t xml:space="preserve">     </w:t>
      </w:r>
      <w:r>
        <w:rPr>
          <w:rFonts w:hint="eastAsia" w:ascii="楷体" w:hAnsi="楷体" w:eastAsia="楷体"/>
          <w:b/>
          <w:bCs/>
          <w:color w:val="C55A11" w:themeColor="accent2" w:themeShade="BF"/>
          <w:sz w:val="24"/>
          <w:szCs w:val="24"/>
        </w:rPr>
        <w:t>（选项：小于</w:t>
      </w:r>
      <w:r>
        <w:rPr>
          <w:rFonts w:ascii="楷体" w:hAnsi="楷体" w:eastAsia="楷体"/>
          <w:b/>
          <w:bCs/>
          <w:color w:val="C55A11" w:themeColor="accent2" w:themeShade="BF"/>
          <w:sz w:val="24"/>
          <w:szCs w:val="24"/>
        </w:rPr>
        <w:t xml:space="preserve">40% </w:t>
      </w:r>
      <w:r>
        <w:rPr>
          <w:rFonts w:hint="eastAsia" w:ascii="楷体" w:hAnsi="楷体" w:eastAsia="楷体"/>
          <w:b/>
          <w:bCs/>
          <w:color w:val="C55A11" w:themeColor="accent2" w:themeShade="BF"/>
          <w:sz w:val="24"/>
          <w:szCs w:val="24"/>
        </w:rPr>
        <w:t>或大于</w:t>
      </w:r>
      <w:r>
        <w:rPr>
          <w:rFonts w:ascii="楷体" w:hAnsi="楷体" w:eastAsia="楷体"/>
          <w:b/>
          <w:bCs/>
          <w:color w:val="C55A11" w:themeColor="accent2" w:themeShade="BF"/>
          <w:sz w:val="24"/>
          <w:szCs w:val="24"/>
        </w:rPr>
        <w:t>40%</w:t>
      </w:r>
      <w:r>
        <w:rPr>
          <w:rFonts w:hint="eastAsia" w:ascii="楷体" w:hAnsi="楷体" w:eastAsia="楷体"/>
          <w:b/>
          <w:bCs/>
          <w:color w:val="C55A11" w:themeColor="accent2" w:themeShade="BF"/>
          <w:sz w:val="24"/>
          <w:szCs w:val="24"/>
        </w:rPr>
        <w:t>）</w:t>
      </w:r>
      <w:r>
        <w:rPr>
          <w:rFonts w:hint="eastAsia" w:ascii="楷体" w:hAnsi="楷体" w:eastAsia="楷体"/>
          <w:sz w:val="24"/>
          <w:szCs w:val="24"/>
        </w:rPr>
        <w:t>，并且呈现出</w:t>
      </w:r>
      <w:r>
        <w:rPr>
          <w:rFonts w:hint="eastAsia" w:ascii="楷体" w:hAnsi="楷体" w:eastAsia="楷体"/>
          <w:sz w:val="24"/>
          <w:szCs w:val="24"/>
          <w:u w:val="single"/>
        </w:rPr>
        <w:t xml:space="preserve"> </w:t>
      </w:r>
      <w:r>
        <w:rPr>
          <w:rFonts w:ascii="楷体" w:hAnsi="楷体" w:eastAsia="楷体"/>
          <w:sz w:val="24"/>
          <w:szCs w:val="24"/>
          <w:u w:val="single"/>
        </w:rPr>
        <w:t xml:space="preserve">        </w:t>
      </w:r>
      <w:r>
        <w:rPr>
          <w:rFonts w:hint="eastAsia" w:ascii="楷体" w:hAnsi="楷体" w:eastAsia="楷体"/>
          <w:sz w:val="24"/>
          <w:szCs w:val="24"/>
        </w:rPr>
        <w:t>的趋势</w:t>
      </w:r>
      <w:r>
        <w:rPr>
          <w:rFonts w:hint="eastAsia" w:ascii="楷体" w:hAnsi="楷体" w:eastAsia="楷体"/>
          <w:b/>
          <w:bCs/>
          <w:color w:val="C55A11" w:themeColor="accent2" w:themeShade="BF"/>
          <w:sz w:val="24"/>
          <w:szCs w:val="24"/>
        </w:rPr>
        <w:t>（选项：上升或下降 ; 稳定或不稳定）</w:t>
      </w:r>
      <w:r>
        <w:rPr>
          <w:rFonts w:hint="eastAsia" w:ascii="楷体" w:hAnsi="楷体" w:eastAsia="楷体"/>
          <w:sz w:val="24"/>
          <w:szCs w:val="24"/>
        </w:rPr>
        <w:t>，说明企业</w:t>
      </w:r>
      <w:r>
        <w:rPr>
          <w:rFonts w:hint="eastAsia" w:ascii="楷体" w:hAnsi="楷体" w:eastAsia="楷体"/>
          <w:sz w:val="24"/>
          <w:szCs w:val="24"/>
          <w:u w:val="single"/>
        </w:rPr>
        <w:t xml:space="preserve"> </w:t>
      </w:r>
      <w:r>
        <w:rPr>
          <w:rFonts w:ascii="楷体" w:hAnsi="楷体" w:eastAsia="楷体"/>
          <w:sz w:val="24"/>
          <w:szCs w:val="24"/>
          <w:u w:val="single"/>
        </w:rPr>
        <w:t xml:space="preserve">           </w:t>
      </w:r>
      <w:r>
        <w:rPr>
          <w:rFonts w:hint="eastAsia" w:ascii="楷体" w:hAnsi="楷体" w:eastAsia="楷体"/>
          <w:b/>
          <w:bCs/>
          <w:color w:val="C55A11" w:themeColor="accent2" w:themeShade="BF"/>
          <w:sz w:val="24"/>
          <w:szCs w:val="24"/>
        </w:rPr>
        <w:t>（选项：是轻资产型公司，保持持续竞争力的成本相对低一些；或是重资产型公司，维持竞争力成本高，风险相对较大）</w:t>
      </w:r>
    </w:p>
    <w:p>
      <w:pPr>
        <w:pStyle w:val="34"/>
        <w:ind w:firstLine="0" w:firstLineChars="0"/>
        <w:rPr>
          <w:rFonts w:ascii="楷体" w:hAnsi="楷体" w:eastAsia="楷体"/>
          <w:sz w:val="24"/>
          <w:szCs w:val="24"/>
        </w:rPr>
      </w:pPr>
    </w:p>
    <w:p>
      <w:pPr>
        <w:pStyle w:val="32"/>
      </w:pPr>
      <w:r>
        <w:rPr>
          <w:rFonts w:hint="eastAsia"/>
        </w:rPr>
        <w:t>4</w:t>
      </w:r>
      <w:r>
        <w:t>.根据分析得出结论</w:t>
      </w:r>
    </w:p>
    <w:p>
      <w:pPr>
        <w:ind w:firstLine="480"/>
        <w:rPr>
          <w:rFonts w:ascii="楷体" w:hAnsi="楷体" w:eastAsia="楷体"/>
          <w:color w:val="FF0000"/>
        </w:rPr>
      </w:pPr>
      <w:r>
        <w:rPr>
          <w:rFonts w:hint="eastAsia" w:ascii="楷体" w:hAnsi="楷体" w:eastAsia="楷体"/>
        </w:rPr>
        <w:t>从洋河股份的固定资产之和 占 资产总计的比例</w:t>
      </w:r>
      <w:r>
        <w:rPr>
          <w:rFonts w:hint="eastAsia" w:ascii="楷体" w:hAnsi="楷体" w:eastAsia="楷体"/>
          <w:u w:val="single"/>
        </w:rPr>
        <w:t xml:space="preserve"> </w:t>
      </w:r>
      <w:r>
        <w:rPr>
          <w:rFonts w:ascii="楷体" w:hAnsi="楷体" w:eastAsia="楷体"/>
          <w:u w:val="single"/>
        </w:rPr>
        <w:t xml:space="preserve">      </w:t>
      </w:r>
      <w:r>
        <w:rPr>
          <w:rFonts w:hint="eastAsia" w:ascii="楷体" w:hAnsi="楷体" w:eastAsia="楷体"/>
        </w:rPr>
        <w:t>，表明企业</w:t>
      </w:r>
      <w:r>
        <w:rPr>
          <w:rFonts w:hint="eastAsia" w:ascii="楷体" w:hAnsi="楷体" w:eastAsia="楷体"/>
          <w:u w:val="single"/>
        </w:rPr>
        <w:t xml:space="preserve"> </w:t>
      </w:r>
      <w:r>
        <w:rPr>
          <w:rFonts w:ascii="楷体" w:hAnsi="楷体" w:eastAsia="楷体"/>
          <w:u w:val="single"/>
        </w:rPr>
        <w:t xml:space="preserve">           </w:t>
      </w:r>
      <w:r>
        <w:rPr>
          <w:rFonts w:hint="eastAsia" w:ascii="楷体" w:hAnsi="楷体" w:eastAsia="楷体"/>
        </w:rPr>
        <w:t>。</w:t>
      </w:r>
      <w:r>
        <w:rPr>
          <w:rFonts w:hint="eastAsia" w:ascii="楷体" w:hAnsi="楷体" w:eastAsia="楷体"/>
          <w:color w:val="FF0000"/>
        </w:rPr>
        <w:t>（最后结论参考上面3.变化趋势的结论来写）</w:t>
      </w:r>
    </w:p>
    <w:p>
      <w:pPr>
        <w:pStyle w:val="11"/>
        <w:widowControl/>
        <w:spacing w:line="240" w:lineRule="auto"/>
        <w:ind w:firstLine="0" w:firstLineChars="0"/>
        <w:rPr>
          <w:rFonts w:ascii="楷体" w:hAnsi="楷体" w:eastAsia="楷体"/>
          <w:color w:val="FF0000"/>
        </w:rPr>
      </w:pPr>
    </w:p>
    <w:p>
      <w:pPr>
        <w:pStyle w:val="11"/>
        <w:widowControl/>
        <w:spacing w:line="240" w:lineRule="auto"/>
        <w:ind w:firstLine="0" w:firstLineChars="0"/>
        <w:rPr>
          <w:rFonts w:ascii="楷体" w:hAnsi="楷体" w:eastAsia="楷体"/>
          <w:color w:val="FF0000"/>
        </w:rPr>
      </w:pPr>
    </w:p>
    <w:p>
      <w:pPr>
        <w:pStyle w:val="11"/>
        <w:widowControl/>
        <w:spacing w:line="240" w:lineRule="auto"/>
        <w:ind w:firstLine="0" w:firstLineChars="0"/>
        <w:rPr>
          <w:rFonts w:ascii="楷体" w:hAnsi="楷体" w:eastAsia="楷体"/>
          <w:color w:val="FF0000"/>
        </w:rPr>
      </w:pPr>
    </w:p>
    <w:p>
      <w:pPr>
        <w:pStyle w:val="11"/>
        <w:widowControl/>
        <w:spacing w:line="240" w:lineRule="auto"/>
        <w:ind w:firstLine="0" w:firstLineChars="0"/>
        <w:rPr>
          <w:rFonts w:ascii="楷体" w:hAnsi="楷体" w:eastAsia="楷体"/>
          <w:color w:val="FF0000"/>
        </w:rPr>
      </w:pPr>
    </w:p>
    <w:p>
      <w:pPr>
        <w:pStyle w:val="30"/>
        <w:spacing w:before="326" w:after="163"/>
        <w:rPr>
          <w:rFonts w:ascii="楷体" w:hAnsi="楷体" w:eastAsia="楷体"/>
          <w:bCs/>
          <w:szCs w:val="32"/>
        </w:rPr>
      </w:pPr>
      <w:r>
        <w:rPr>
          <w:rFonts w:hint="eastAsia" w:ascii="楷体" w:hAnsi="楷体" w:eastAsia="楷体"/>
        </w:rPr>
        <w:t>作业解析</w:t>
      </w:r>
    </w:p>
    <w:p>
      <w:pPr>
        <w:ind w:firstLine="480"/>
        <w:rPr>
          <w:rFonts w:hint="eastAsia" w:ascii="楷体" w:hAnsi="楷体" w:eastAsia="楷体"/>
          <w:b/>
          <w:bCs/>
          <w:color w:val="auto"/>
        </w:rPr>
      </w:pPr>
      <w:r>
        <w:rPr>
          <w:rFonts w:hint="eastAsia" w:ascii="楷体" w:hAnsi="楷体" w:eastAsia="楷体"/>
          <w:b/>
          <w:bCs/>
          <w:color w:val="auto"/>
        </w:rPr>
        <w:t>在微信公众号“</w:t>
      </w:r>
      <w:r>
        <w:rPr>
          <w:rFonts w:hint="eastAsia" w:ascii="楷体" w:hAnsi="楷体" w:eastAsia="楷体"/>
          <w:b/>
          <w:bCs/>
          <w:color w:val="FF0000"/>
        </w:rPr>
        <w:t>巨潮资讯网</w:t>
      </w:r>
      <w:r>
        <w:rPr>
          <w:rFonts w:hint="eastAsia" w:ascii="楷体" w:hAnsi="楷体" w:eastAsia="楷体"/>
          <w:b/>
          <w:bCs/>
          <w:color w:val="auto"/>
        </w:rPr>
        <w:t>”里打开洋河股份2020年的年报:</w:t>
      </w:r>
    </w:p>
    <w:p>
      <w:pPr>
        <w:ind w:firstLine="480"/>
        <w:rPr>
          <w:rFonts w:ascii="楷体" w:hAnsi="楷体" w:eastAsia="楷体"/>
        </w:rPr>
      </w:pPr>
      <w:r>
        <w:rPr>
          <w:rFonts w:hint="eastAsia" w:ascii="楷体" w:hAnsi="楷体" w:eastAsia="楷体"/>
          <w:b/>
          <w:bCs/>
          <w:color w:val="auto"/>
        </w:rPr>
        <w:t>利用“搜索功能”进行搜索：</w:t>
      </w:r>
    </w:p>
    <w:p>
      <w:pPr>
        <w:ind w:firstLine="199" w:firstLineChars="83"/>
        <w:jc w:val="center"/>
        <w:rPr>
          <w:rFonts w:ascii="楷体" w:hAnsi="楷体" w:eastAsia="楷体"/>
        </w:rPr>
      </w:pPr>
      <w:r>
        <w:drawing>
          <wp:inline distT="0" distB="0" distL="114300" distR="114300">
            <wp:extent cx="1757680" cy="3654425"/>
            <wp:effectExtent l="0" t="0" r="1016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1757680" cy="3654425"/>
                    </a:xfrm>
                    <a:prstGeom prst="rect">
                      <a:avLst/>
                    </a:prstGeom>
                    <a:noFill/>
                    <a:ln>
                      <a:noFill/>
                    </a:ln>
                  </pic:spPr>
                </pic:pic>
              </a:graphicData>
            </a:graphic>
          </wp:inline>
        </w:drawing>
      </w:r>
    </w:p>
    <w:p>
      <w:pPr>
        <w:ind w:firstLine="480"/>
        <w:rPr>
          <w:rFonts w:ascii="楷体" w:hAnsi="楷体" w:eastAsia="楷体"/>
        </w:rPr>
      </w:pPr>
      <w:r>
        <w:rPr>
          <w:rFonts w:ascii="楷体" w:hAnsi="楷体" w:eastAsia="楷体"/>
        </w:rPr>
        <w:t>在</w:t>
      </w:r>
      <w:r>
        <w:rPr>
          <w:rFonts w:hint="eastAsia" w:ascii="楷体" w:hAnsi="楷体" w:eastAsia="楷体"/>
        </w:rPr>
        <w:t>搜索</w:t>
      </w:r>
      <w:r>
        <w:rPr>
          <w:rFonts w:ascii="楷体" w:hAnsi="楷体" w:eastAsia="楷体"/>
        </w:rPr>
        <w:t>框输入</w:t>
      </w:r>
      <w:r>
        <w:rPr>
          <w:rFonts w:hint="eastAsia" w:ascii="楷体" w:hAnsi="楷体" w:eastAsia="楷体"/>
        </w:rPr>
        <w:t>关键字：“合并资产负债表”</w:t>
      </w:r>
      <w:bookmarkStart w:id="6" w:name="_GoBack"/>
      <w:bookmarkEnd w:id="6"/>
    </w:p>
    <w:p>
      <w:pPr>
        <w:ind w:firstLine="199" w:firstLineChars="83"/>
        <w:jc w:val="center"/>
        <w:rPr>
          <w:rFonts w:ascii="楷体" w:hAnsi="楷体" w:eastAsia="楷体"/>
        </w:rPr>
      </w:pPr>
      <w:r>
        <w:drawing>
          <wp:inline distT="0" distB="0" distL="114300" distR="114300">
            <wp:extent cx="3929380" cy="3745230"/>
            <wp:effectExtent l="0" t="0" r="2540"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3929380" cy="3745230"/>
                    </a:xfrm>
                    <a:prstGeom prst="rect">
                      <a:avLst/>
                    </a:prstGeom>
                    <a:noFill/>
                    <a:ln>
                      <a:noFill/>
                    </a:ln>
                  </pic:spPr>
                </pic:pic>
              </a:graphicData>
            </a:graphic>
          </wp:inline>
        </w:drawing>
      </w:r>
    </w:p>
    <w:p>
      <w:pPr>
        <w:ind w:firstLine="0" w:firstLineChars="0"/>
        <w:rPr>
          <w:rFonts w:ascii="楷体" w:hAnsi="楷体" w:eastAsia="楷体"/>
          <w:color w:val="4472C4" w:themeColor="accent1"/>
          <w:u w:val="single"/>
          <w14:textFill>
            <w14:solidFill>
              <w14:schemeClr w14:val="accent1"/>
            </w14:solidFill>
          </w14:textFill>
        </w:rPr>
      </w:pPr>
      <w:r>
        <w:rPr>
          <w:rFonts w:hint="eastAsia" w:ascii="楷体" w:hAnsi="楷体" w:eastAsia="楷体"/>
          <w:color w:val="4472C4" w:themeColor="accent1"/>
          <w:u w:val="single"/>
          <w14:textFill>
            <w14:solidFill>
              <w14:schemeClr w14:val="accent1"/>
            </w14:solidFill>
          </w14:textFill>
        </w:rPr>
        <w:t>【货币资金、交易性金融资产2</w:t>
      </w:r>
      <w:r>
        <w:rPr>
          <w:rFonts w:ascii="楷体" w:hAnsi="楷体" w:eastAsia="楷体"/>
          <w:color w:val="4472C4" w:themeColor="accent1"/>
          <w:u w:val="single"/>
          <w14:textFill>
            <w14:solidFill>
              <w14:schemeClr w14:val="accent1"/>
            </w14:solidFill>
          </w14:textFill>
        </w:rPr>
        <w:t>020</w:t>
      </w:r>
      <w:r>
        <w:rPr>
          <w:rFonts w:hint="eastAsia" w:ascii="楷体" w:hAnsi="楷体" w:eastAsia="楷体"/>
          <w:color w:val="4472C4" w:themeColor="accent1"/>
          <w:u w:val="single"/>
          <w14:textFill>
            <w14:solidFill>
              <w14:schemeClr w14:val="accent1"/>
            </w14:solidFill>
          </w14:textFill>
        </w:rPr>
        <w:t>】——</w:t>
      </w:r>
      <w:r>
        <w:rPr>
          <w:rFonts w:hint="eastAsia" w:ascii="楷体" w:hAnsi="楷体" w:eastAsia="楷体"/>
          <w:color w:val="4472C4" w:themeColor="accent1"/>
          <w:highlight w:val="yellow"/>
          <w:u w:val="single"/>
          <w14:textFill>
            <w14:solidFill>
              <w14:schemeClr w14:val="accent1"/>
            </w14:solidFill>
          </w14:textFill>
        </w:rPr>
        <w:t>解析1：</w:t>
      </w:r>
    </w:p>
    <w:p>
      <w:pPr>
        <w:ind w:firstLine="480"/>
        <w:rPr>
          <w:rFonts w:ascii="楷体" w:hAnsi="楷体" w:eastAsia="楷体"/>
        </w:rPr>
      </w:pPr>
      <w:r>
        <w:rPr>
          <w:rFonts w:hint="eastAsia" w:ascii="楷体" w:hAnsi="楷体" w:eastAsia="楷体"/>
        </w:rPr>
        <w:t>2020年报中“合并资产负债表”正确的搜索结果如下：</w:t>
      </w:r>
    </w:p>
    <w:p>
      <w:pPr>
        <w:ind w:firstLine="0" w:firstLineChars="0"/>
        <w:jc w:val="center"/>
        <w:rPr>
          <w:rFonts w:ascii="楷体" w:hAnsi="楷体" w:eastAsia="楷体"/>
        </w:rPr>
      </w:pPr>
      <w:r>
        <w:drawing>
          <wp:inline distT="0" distB="0" distL="0" distR="0">
            <wp:extent cx="5367020" cy="253555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376760" cy="2540156"/>
                    </a:xfrm>
                    <a:prstGeom prst="rect">
                      <a:avLst/>
                    </a:prstGeom>
                  </pic:spPr>
                </pic:pic>
              </a:graphicData>
            </a:graphic>
          </wp:inline>
        </w:drawing>
      </w:r>
    </w:p>
    <w:p>
      <w:pPr>
        <w:ind w:firstLine="0" w:firstLineChars="0"/>
        <w:rPr>
          <w:rFonts w:ascii="楷体" w:hAnsi="楷体" w:eastAsia="楷体"/>
        </w:rPr>
      </w:pPr>
    </w:p>
    <w:p>
      <w:pPr>
        <w:ind w:firstLine="0" w:firstLineChars="0"/>
        <w:rPr>
          <w:rFonts w:ascii="楷体" w:hAnsi="楷体" w:eastAsia="楷体"/>
          <w:color w:val="4472C4" w:themeColor="accent1"/>
          <w:u w:val="single"/>
          <w14:textFill>
            <w14:solidFill>
              <w14:schemeClr w14:val="accent1"/>
            </w14:solidFill>
          </w14:textFill>
        </w:rPr>
      </w:pPr>
      <w:r>
        <w:rPr>
          <w:rFonts w:hint="eastAsia" w:ascii="楷体" w:hAnsi="楷体" w:eastAsia="楷体"/>
          <w:color w:val="4472C4" w:themeColor="accent1"/>
          <w:u w:val="single"/>
          <w14:textFill>
            <w14:solidFill>
              <w14:schemeClr w14:val="accent1"/>
            </w14:solidFill>
          </w14:textFill>
        </w:rPr>
        <w:t>【其他流动资产里边的理财2</w:t>
      </w:r>
      <w:r>
        <w:rPr>
          <w:rFonts w:ascii="楷体" w:hAnsi="楷体" w:eastAsia="楷体"/>
          <w:color w:val="4472C4" w:themeColor="accent1"/>
          <w:u w:val="single"/>
          <w14:textFill>
            <w14:solidFill>
              <w14:schemeClr w14:val="accent1"/>
            </w14:solidFill>
          </w14:textFill>
        </w:rPr>
        <w:t>018</w:t>
      </w:r>
      <w:r>
        <w:rPr>
          <w:rFonts w:hint="eastAsia" w:ascii="楷体" w:hAnsi="楷体" w:eastAsia="楷体"/>
          <w:color w:val="4472C4" w:themeColor="accent1"/>
          <w:u w:val="single"/>
          <w14:textFill>
            <w14:solidFill>
              <w14:schemeClr w14:val="accent1"/>
            </w14:solidFill>
          </w14:textFill>
        </w:rPr>
        <w:t>】——</w:t>
      </w:r>
      <w:r>
        <w:rPr>
          <w:rFonts w:hint="eastAsia" w:ascii="楷体" w:hAnsi="楷体" w:eastAsia="楷体"/>
          <w:color w:val="4472C4" w:themeColor="accent1"/>
          <w:highlight w:val="yellow"/>
          <w:u w:val="single"/>
          <w14:textFill>
            <w14:solidFill>
              <w14:schemeClr w14:val="accent1"/>
            </w14:solidFill>
          </w14:textFill>
        </w:rPr>
        <w:t>解析</w:t>
      </w:r>
      <w:r>
        <w:rPr>
          <w:rFonts w:ascii="楷体" w:hAnsi="楷体" w:eastAsia="楷体"/>
          <w:color w:val="4472C4" w:themeColor="accent1"/>
          <w:highlight w:val="yellow"/>
          <w:u w:val="single"/>
          <w14:textFill>
            <w14:solidFill>
              <w14:schemeClr w14:val="accent1"/>
            </w14:solidFill>
          </w14:textFill>
        </w:rPr>
        <w:t>2</w:t>
      </w:r>
      <w:r>
        <w:rPr>
          <w:rFonts w:hint="eastAsia" w:ascii="楷体" w:hAnsi="楷体" w:eastAsia="楷体"/>
          <w:color w:val="4472C4" w:themeColor="accent1"/>
          <w:highlight w:val="yellow"/>
          <w:u w:val="single"/>
          <w14:textFill>
            <w14:solidFill>
              <w14:schemeClr w14:val="accent1"/>
            </w14:solidFill>
          </w14:textFill>
        </w:rPr>
        <w:t>：</w:t>
      </w:r>
    </w:p>
    <w:p>
      <w:pPr>
        <w:ind w:firstLine="480"/>
        <w:rPr>
          <w:rFonts w:ascii="楷体" w:hAnsi="楷体" w:eastAsia="楷体"/>
        </w:rPr>
      </w:pPr>
      <w:r>
        <w:rPr>
          <w:rFonts w:hint="eastAsia" w:ascii="楷体" w:hAnsi="楷体" w:eastAsia="楷体"/>
        </w:rPr>
        <w:t>打开洋河股份</w:t>
      </w:r>
      <w:r>
        <w:rPr>
          <w:rFonts w:ascii="楷体" w:hAnsi="楷体" w:eastAsia="楷体"/>
        </w:rPr>
        <w:t>2018</w:t>
      </w:r>
      <w:r>
        <w:rPr>
          <w:rFonts w:hint="eastAsia" w:ascii="楷体" w:hAnsi="楷体" w:eastAsia="楷体"/>
        </w:rPr>
        <w:t>年的年报</w:t>
      </w:r>
    </w:p>
    <w:p>
      <w:pPr>
        <w:ind w:firstLine="482"/>
        <w:rPr>
          <w:rFonts w:ascii="楷体" w:hAnsi="楷体" w:eastAsia="楷体"/>
        </w:rPr>
      </w:pPr>
      <w:r>
        <w:rPr>
          <w:rFonts w:hint="eastAsia" w:ascii="楷体" w:hAnsi="楷体" w:eastAsia="楷体"/>
          <w:b/>
          <w:bCs/>
        </w:rPr>
        <w:t>同样，</w:t>
      </w:r>
      <w:r>
        <w:rPr>
          <w:rFonts w:hint="eastAsia" w:ascii="楷体" w:hAnsi="楷体" w:eastAsia="楷体"/>
        </w:rPr>
        <w:t>在搜索到的“合并资产负债表”中，可以在2</w:t>
      </w:r>
      <w:r>
        <w:rPr>
          <w:rFonts w:ascii="楷体" w:hAnsi="楷体" w:eastAsia="楷体"/>
        </w:rPr>
        <w:t>018</w:t>
      </w:r>
      <w:r>
        <w:rPr>
          <w:rFonts w:hint="eastAsia" w:ascii="楷体" w:hAnsi="楷体" w:eastAsia="楷体"/>
        </w:rPr>
        <w:t>年报的“合并资产负债表”中，找到科目金额如下：</w:t>
      </w:r>
    </w:p>
    <w:p>
      <w:pPr>
        <w:spacing w:line="240" w:lineRule="auto"/>
        <w:ind w:firstLine="0" w:firstLineChars="0"/>
        <w:rPr>
          <w:rFonts w:ascii="楷体" w:hAnsi="楷体" w:eastAsia="楷体"/>
        </w:rPr>
      </w:pPr>
      <w:r>
        <w:drawing>
          <wp:inline distT="0" distB="0" distL="0" distR="0">
            <wp:extent cx="5367020" cy="23133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5375256" cy="2316807"/>
                    </a:xfrm>
                    <a:prstGeom prst="rect">
                      <a:avLst/>
                    </a:prstGeom>
                  </pic:spPr>
                </pic:pic>
              </a:graphicData>
            </a:graphic>
          </wp:inline>
        </w:drawing>
      </w:r>
    </w:p>
    <w:p>
      <w:pPr>
        <w:spacing w:line="240" w:lineRule="auto"/>
        <w:ind w:firstLine="0" w:firstLineChars="0"/>
        <w:rPr>
          <w:rFonts w:ascii="楷体" w:hAnsi="楷体" w:eastAsia="楷体"/>
        </w:rPr>
      </w:pPr>
      <w:r>
        <w:rPr>
          <w:rFonts w:ascii="楷体" w:hAnsi="楷体" w:eastAsia="楷体"/>
        </w:rPr>
        <w:drawing>
          <wp:inline distT="0" distB="0" distL="0" distR="0">
            <wp:extent cx="5351145" cy="1653540"/>
            <wp:effectExtent l="0" t="0" r="190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357564" cy="1655498"/>
                    </a:xfrm>
                    <a:prstGeom prst="rect">
                      <a:avLst/>
                    </a:prstGeom>
                  </pic:spPr>
                </pic:pic>
              </a:graphicData>
            </a:graphic>
          </wp:inline>
        </w:drawing>
      </w:r>
    </w:p>
    <w:p>
      <w:pPr>
        <w:ind w:firstLine="480"/>
        <w:rPr>
          <w:rFonts w:ascii="楷体" w:hAnsi="楷体" w:eastAsia="楷体"/>
        </w:rPr>
      </w:pPr>
      <w:r>
        <w:rPr>
          <w:rFonts w:hint="eastAsia" w:ascii="楷体" w:hAnsi="楷体" w:eastAsia="楷体"/>
        </w:rPr>
        <w:t xml:space="preserve">合并资产负债表中的：其他流动资产 </w:t>
      </w:r>
      <w:r>
        <w:rPr>
          <w:rFonts w:hint="eastAsia" w:ascii="楷体" w:hAnsi="楷体" w:eastAsia="楷体"/>
          <w:b/>
          <w:bCs/>
          <w:color w:val="00B0F0"/>
        </w:rPr>
        <w:t>并不能直接使用（因为这里面包含很多种流动资产，不仅仅是理财产品）。</w:t>
      </w:r>
    </w:p>
    <w:p>
      <w:pPr>
        <w:ind w:firstLine="480"/>
        <w:rPr>
          <w:rFonts w:ascii="楷体" w:hAnsi="楷体" w:eastAsia="楷体"/>
        </w:rPr>
      </w:pPr>
    </w:p>
    <w:p>
      <w:pPr>
        <w:ind w:firstLine="480"/>
        <w:rPr>
          <w:rFonts w:ascii="楷体" w:hAnsi="楷体" w:eastAsia="楷体"/>
          <w:color w:val="00B0F0"/>
        </w:rPr>
      </w:pPr>
      <w:r>
        <w:rPr>
          <w:rFonts w:hint="eastAsia" w:ascii="楷体" w:hAnsi="楷体" w:eastAsia="楷体"/>
        </w:rPr>
        <w:t>利用【查找】，</w:t>
      </w:r>
      <w:r>
        <w:rPr>
          <w:rFonts w:hint="eastAsia" w:ascii="楷体" w:hAnsi="楷体" w:eastAsia="楷体"/>
          <w:b/>
          <w:bCs/>
        </w:rPr>
        <w:t>搜索</w:t>
      </w:r>
      <w:r>
        <w:rPr>
          <w:rFonts w:hint="eastAsia" w:ascii="楷体" w:hAnsi="楷体" w:eastAsia="楷体"/>
          <w:b/>
          <w:bCs/>
          <w:color w:val="00B0F0"/>
        </w:rPr>
        <w:t>“其他流动资产”（6个字）</w:t>
      </w:r>
      <w:r>
        <w:rPr>
          <w:rFonts w:hint="eastAsia" w:ascii="楷体" w:hAnsi="楷体" w:eastAsia="楷体"/>
          <w:color w:val="00B0F0"/>
        </w:rPr>
        <w:t>，点“向右箭头”一个一个浏览搜索显示的结果</w:t>
      </w:r>
    </w:p>
    <w:p>
      <w:pPr>
        <w:ind w:firstLine="0" w:firstLineChars="0"/>
        <w:rPr>
          <w:rFonts w:ascii="楷体" w:hAnsi="楷体" w:eastAsia="楷体"/>
        </w:rPr>
      </w:pPr>
      <w:r>
        <w:drawing>
          <wp:inline distT="0" distB="0" distL="0" distR="0">
            <wp:extent cx="2449195" cy="31051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2457278" cy="3114662"/>
                    </a:xfrm>
                    <a:prstGeom prst="rect">
                      <a:avLst/>
                    </a:prstGeom>
                  </pic:spPr>
                </pic:pic>
              </a:graphicData>
            </a:graphic>
          </wp:inline>
        </w:drawing>
      </w:r>
      <w:r>
        <w:rPr>
          <w:rFonts w:hint="eastAsia" w:ascii="楷体" w:hAnsi="楷体" w:eastAsia="楷体"/>
        </w:rPr>
        <w:t xml:space="preserve"> </w:t>
      </w:r>
      <w:r>
        <w:rPr>
          <w:rFonts w:ascii="楷体" w:hAnsi="楷体" w:eastAsia="楷体"/>
        </w:rPr>
        <w:t xml:space="preserve">   </w:t>
      </w:r>
      <w:r>
        <w:drawing>
          <wp:inline distT="0" distB="0" distL="0" distR="0">
            <wp:extent cx="2374265" cy="3103880"/>
            <wp:effectExtent l="0" t="0" r="698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2401172" cy="3138467"/>
                    </a:xfrm>
                    <a:prstGeom prst="rect">
                      <a:avLst/>
                    </a:prstGeom>
                  </pic:spPr>
                </pic:pic>
              </a:graphicData>
            </a:graphic>
          </wp:inline>
        </w:drawing>
      </w:r>
    </w:p>
    <w:p>
      <w:pPr>
        <w:ind w:firstLine="0" w:firstLineChars="0"/>
        <w:rPr>
          <w:rFonts w:ascii="楷体" w:hAnsi="楷体" w:eastAsia="楷体"/>
          <w:b/>
          <w:bCs/>
          <w:color w:val="00B0F0"/>
          <w:u w:val="single"/>
        </w:rPr>
      </w:pPr>
      <w:r>
        <w:rPr>
          <w:rFonts w:hint="eastAsia" w:ascii="楷体" w:hAnsi="楷体" w:eastAsia="楷体"/>
          <w:b/>
          <w:bCs/>
          <w:color w:val="00B0F0"/>
          <w:u w:val="single"/>
        </w:rPr>
        <w:t>直到看到如下的明细表：</w:t>
      </w:r>
    </w:p>
    <w:p>
      <w:pPr>
        <w:ind w:firstLine="0" w:firstLineChars="0"/>
        <w:rPr>
          <w:rFonts w:ascii="楷体" w:hAnsi="楷体" w:eastAsia="楷体"/>
        </w:rPr>
      </w:pPr>
      <w:r>
        <w:rPr>
          <w:rFonts w:ascii="楷体" w:hAnsi="楷体" w:eastAsia="楷体"/>
        </w:rPr>
        <w:drawing>
          <wp:inline distT="0" distB="0" distL="0" distR="0">
            <wp:extent cx="5274310" cy="21228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81853" cy="2126035"/>
                    </a:xfrm>
                    <a:prstGeom prst="rect">
                      <a:avLst/>
                    </a:prstGeom>
                  </pic:spPr>
                </pic:pic>
              </a:graphicData>
            </a:graphic>
          </wp:inline>
        </w:drawing>
      </w:r>
    </w:p>
    <w:p>
      <w:pPr>
        <w:ind w:firstLine="480"/>
        <w:rPr>
          <w:rFonts w:ascii="楷体" w:hAnsi="楷体" w:eastAsia="楷体"/>
        </w:rPr>
      </w:pPr>
      <w:r>
        <w:rPr>
          <w:rFonts w:hint="eastAsia" w:ascii="楷体" w:hAnsi="楷体" w:eastAsia="楷体"/>
        </w:rPr>
        <w:t>从明细表中看出：“其他流动资产”里有“理财产品”字样的科目，它的期末余额就是我们要取的数字。</w:t>
      </w:r>
    </w:p>
    <w:p>
      <w:pPr>
        <w:ind w:firstLine="0" w:firstLineChars="0"/>
        <w:rPr>
          <w:rFonts w:ascii="楷体" w:hAnsi="楷体" w:eastAsia="楷体"/>
          <w:b/>
          <w:bCs/>
          <w:color w:val="00B0F0"/>
        </w:rPr>
      </w:pPr>
      <w:r>
        <w:rPr>
          <w:rFonts w:hint="eastAsia" w:ascii="楷体" w:hAnsi="楷体" w:eastAsia="楷体"/>
          <w:b/>
          <w:bCs/>
          <w:color w:val="00B0F0"/>
        </w:rPr>
        <w:t>如果搜不到任何结果，就代表公司这个科目金额是0。</w:t>
      </w:r>
    </w:p>
    <w:p>
      <w:pPr>
        <w:ind w:firstLine="0" w:firstLineChars="0"/>
        <w:rPr>
          <w:rFonts w:ascii="楷体" w:hAnsi="楷体" w:eastAsia="楷体"/>
          <w:b/>
          <w:bCs/>
          <w:color w:val="00B0F0"/>
        </w:rPr>
      </w:pPr>
    </w:p>
    <w:p>
      <w:pPr>
        <w:ind w:firstLine="0" w:firstLineChars="0"/>
        <w:rPr>
          <w:rFonts w:ascii="楷体" w:hAnsi="楷体" w:eastAsia="楷体"/>
          <w:b/>
          <w:bCs/>
          <w:color w:val="00B0F0"/>
        </w:rPr>
      </w:pPr>
    </w:p>
    <w:p>
      <w:pPr>
        <w:ind w:firstLine="0" w:firstLineChars="0"/>
        <w:rPr>
          <w:rFonts w:ascii="楷体" w:hAnsi="楷体" w:eastAsia="楷体"/>
          <w:b/>
          <w:bCs/>
          <w:color w:val="00B0F0"/>
        </w:rPr>
      </w:pPr>
    </w:p>
    <w:p>
      <w:pPr>
        <w:ind w:firstLine="0" w:firstLineChars="0"/>
        <w:rPr>
          <w:rFonts w:ascii="楷体" w:hAnsi="楷体" w:eastAsia="楷体"/>
          <w:color w:val="4472C4" w:themeColor="accent1"/>
          <w:u w:val="single"/>
          <w14:textFill>
            <w14:solidFill>
              <w14:schemeClr w14:val="accent1"/>
            </w14:solidFill>
          </w14:textFill>
        </w:rPr>
      </w:pPr>
      <w:r>
        <w:rPr>
          <w:rFonts w:hint="eastAsia" w:ascii="楷体" w:hAnsi="楷体" w:eastAsia="楷体"/>
          <w:color w:val="4472C4" w:themeColor="accent1"/>
          <w:u w:val="single"/>
          <w14:textFill>
            <w14:solidFill>
              <w14:schemeClr w14:val="accent1"/>
            </w14:solidFill>
          </w14:textFill>
        </w:rPr>
        <w:t>【资产总计2</w:t>
      </w:r>
      <w:r>
        <w:rPr>
          <w:rFonts w:ascii="楷体" w:hAnsi="楷体" w:eastAsia="楷体"/>
          <w:color w:val="4472C4" w:themeColor="accent1"/>
          <w:u w:val="single"/>
          <w14:textFill>
            <w14:solidFill>
              <w14:schemeClr w14:val="accent1"/>
            </w14:solidFill>
          </w14:textFill>
        </w:rPr>
        <w:t>020</w:t>
      </w:r>
      <w:r>
        <w:rPr>
          <w:rFonts w:hint="eastAsia" w:ascii="楷体" w:hAnsi="楷体" w:eastAsia="楷体"/>
          <w:color w:val="4472C4" w:themeColor="accent1"/>
          <w:u w:val="single"/>
          <w14:textFill>
            <w14:solidFill>
              <w14:schemeClr w14:val="accent1"/>
            </w14:solidFill>
          </w14:textFill>
        </w:rPr>
        <w:t>】——</w:t>
      </w:r>
      <w:r>
        <w:rPr>
          <w:rFonts w:hint="eastAsia" w:ascii="楷体" w:hAnsi="楷体" w:eastAsia="楷体"/>
          <w:color w:val="4472C4" w:themeColor="accent1"/>
          <w:highlight w:val="yellow"/>
          <w:u w:val="single"/>
          <w14:textFill>
            <w14:solidFill>
              <w14:schemeClr w14:val="accent1"/>
            </w14:solidFill>
          </w14:textFill>
        </w:rPr>
        <w:t>解析</w:t>
      </w:r>
      <w:r>
        <w:rPr>
          <w:rFonts w:ascii="楷体" w:hAnsi="楷体" w:eastAsia="楷体"/>
          <w:color w:val="4472C4" w:themeColor="accent1"/>
          <w:highlight w:val="yellow"/>
          <w:u w:val="single"/>
          <w14:textFill>
            <w14:solidFill>
              <w14:schemeClr w14:val="accent1"/>
            </w14:solidFill>
          </w14:textFill>
        </w:rPr>
        <w:t>3</w:t>
      </w:r>
      <w:r>
        <w:rPr>
          <w:rFonts w:hint="eastAsia" w:ascii="楷体" w:hAnsi="楷体" w:eastAsia="楷体"/>
          <w:color w:val="4472C4" w:themeColor="accent1"/>
          <w:highlight w:val="yellow"/>
          <w:u w:val="single"/>
          <w14:textFill>
            <w14:solidFill>
              <w14:schemeClr w14:val="accent1"/>
            </w14:solidFill>
          </w14:textFill>
        </w:rPr>
        <w:t>：</w:t>
      </w:r>
    </w:p>
    <w:p>
      <w:pPr>
        <w:ind w:firstLine="482"/>
        <w:rPr>
          <w:rFonts w:ascii="楷体" w:hAnsi="楷体" w:eastAsia="楷体"/>
          <w:b/>
          <w:bCs/>
          <w:color w:val="00B0F0"/>
        </w:rPr>
      </w:pPr>
      <w:r>
        <w:rPr>
          <w:rFonts w:hint="eastAsia" w:ascii="楷体" w:hAnsi="楷体" w:eastAsia="楷体"/>
          <w:b/>
          <w:bCs/>
          <w:color w:val="00B0F0"/>
        </w:rPr>
        <w:t>我们平时说的“总资产”，在报表中叫“资产总计”</w:t>
      </w:r>
    </w:p>
    <w:p>
      <w:pPr>
        <w:ind w:firstLine="482"/>
        <w:rPr>
          <w:rFonts w:ascii="楷体" w:hAnsi="楷体" w:eastAsia="楷体"/>
        </w:rPr>
      </w:pPr>
      <w:r>
        <w:rPr>
          <w:rFonts w:hint="eastAsia" w:ascii="楷体" w:hAnsi="楷体" w:eastAsia="楷体"/>
          <w:b/>
          <w:bCs/>
        </w:rPr>
        <w:t>同样，</w:t>
      </w:r>
      <w:r>
        <w:rPr>
          <w:rFonts w:hint="eastAsia" w:ascii="楷体" w:hAnsi="楷体" w:eastAsia="楷体"/>
        </w:rPr>
        <w:t>在搜索到的“合并资产负债表”中，可以找到</w:t>
      </w:r>
      <w:r>
        <w:rPr>
          <w:rFonts w:hint="eastAsia" w:ascii="楷体" w:hAnsi="楷体" w:eastAsia="楷体"/>
          <w:b/>
          <w:bCs/>
        </w:rPr>
        <w:t>如下图“资产总计”</w:t>
      </w:r>
    </w:p>
    <w:p>
      <w:pPr>
        <w:ind w:firstLine="0" w:firstLineChars="0"/>
        <w:rPr>
          <w:rFonts w:ascii="楷体" w:hAnsi="楷体" w:eastAsia="楷体"/>
        </w:rPr>
      </w:pPr>
      <w:r>
        <w:drawing>
          <wp:inline distT="0" distB="0" distL="0" distR="0">
            <wp:extent cx="5274310" cy="13589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5274310" cy="1358900"/>
                    </a:xfrm>
                    <a:prstGeom prst="rect">
                      <a:avLst/>
                    </a:prstGeom>
                  </pic:spPr>
                </pic:pic>
              </a:graphicData>
            </a:graphic>
          </wp:inline>
        </w:drawing>
      </w:r>
    </w:p>
    <w:p>
      <w:pPr>
        <w:ind w:firstLine="0" w:firstLineChars="0"/>
        <w:rPr>
          <w:rFonts w:ascii="楷体" w:hAnsi="楷体" w:eastAsia="楷体"/>
        </w:rPr>
      </w:pPr>
    </w:p>
    <w:p>
      <w:pPr>
        <w:ind w:firstLine="0" w:firstLineChars="0"/>
        <w:rPr>
          <w:rFonts w:ascii="楷体" w:hAnsi="楷体" w:eastAsia="楷体"/>
        </w:rPr>
      </w:pPr>
    </w:p>
    <w:p>
      <w:pPr>
        <w:ind w:firstLine="0" w:firstLineChars="0"/>
        <w:rPr>
          <w:rFonts w:ascii="楷体" w:hAnsi="楷体" w:eastAsia="楷体"/>
        </w:rPr>
      </w:pPr>
    </w:p>
    <w:p>
      <w:pPr>
        <w:ind w:firstLine="0" w:firstLineChars="0"/>
        <w:rPr>
          <w:rFonts w:ascii="楷体" w:hAnsi="楷体" w:eastAsia="楷体"/>
          <w:color w:val="4472C4" w:themeColor="accent1"/>
          <w:u w:val="single"/>
          <w14:textFill>
            <w14:solidFill>
              <w14:schemeClr w14:val="accent1"/>
            </w14:solidFill>
          </w14:textFill>
        </w:rPr>
      </w:pPr>
      <w:r>
        <w:rPr>
          <w:rFonts w:hint="eastAsia" w:ascii="楷体" w:hAnsi="楷体" w:eastAsia="楷体"/>
          <w:color w:val="4472C4" w:themeColor="accent1"/>
          <w:u w:val="single"/>
          <w14:textFill>
            <w14:solidFill>
              <w14:schemeClr w14:val="accent1"/>
            </w14:solidFill>
          </w14:textFill>
        </w:rPr>
        <w:t>【应收账款、合同资产2</w:t>
      </w:r>
      <w:r>
        <w:rPr>
          <w:rFonts w:ascii="楷体" w:hAnsi="楷体" w:eastAsia="楷体"/>
          <w:color w:val="4472C4" w:themeColor="accent1"/>
          <w:u w:val="single"/>
          <w14:textFill>
            <w14:solidFill>
              <w14:schemeClr w14:val="accent1"/>
            </w14:solidFill>
          </w14:textFill>
        </w:rPr>
        <w:t>020</w:t>
      </w:r>
      <w:r>
        <w:rPr>
          <w:rFonts w:hint="eastAsia" w:ascii="楷体" w:hAnsi="楷体" w:eastAsia="楷体"/>
          <w:color w:val="4472C4" w:themeColor="accent1"/>
          <w:u w:val="single"/>
          <w14:textFill>
            <w14:solidFill>
              <w14:schemeClr w14:val="accent1"/>
            </w14:solidFill>
          </w14:textFill>
        </w:rPr>
        <w:t>】——</w:t>
      </w:r>
      <w:r>
        <w:rPr>
          <w:rFonts w:hint="eastAsia" w:ascii="楷体" w:hAnsi="楷体" w:eastAsia="楷体"/>
          <w:color w:val="4472C4" w:themeColor="accent1"/>
          <w:highlight w:val="yellow"/>
          <w:u w:val="single"/>
          <w14:textFill>
            <w14:solidFill>
              <w14:schemeClr w14:val="accent1"/>
            </w14:solidFill>
          </w14:textFill>
        </w:rPr>
        <w:t>解析</w:t>
      </w:r>
      <w:r>
        <w:rPr>
          <w:rFonts w:ascii="楷体" w:hAnsi="楷体" w:eastAsia="楷体"/>
          <w:color w:val="4472C4" w:themeColor="accent1"/>
          <w:highlight w:val="yellow"/>
          <w:u w:val="single"/>
          <w14:textFill>
            <w14:solidFill>
              <w14:schemeClr w14:val="accent1"/>
            </w14:solidFill>
          </w14:textFill>
        </w:rPr>
        <w:t>4</w:t>
      </w:r>
      <w:r>
        <w:rPr>
          <w:rFonts w:hint="eastAsia" w:ascii="楷体" w:hAnsi="楷体" w:eastAsia="楷体"/>
          <w:color w:val="4472C4" w:themeColor="accent1"/>
          <w:highlight w:val="yellow"/>
          <w:u w:val="single"/>
          <w14:textFill>
            <w14:solidFill>
              <w14:schemeClr w14:val="accent1"/>
            </w14:solidFill>
          </w14:textFill>
        </w:rPr>
        <w:t>：</w:t>
      </w:r>
    </w:p>
    <w:p>
      <w:pPr>
        <w:ind w:firstLine="480"/>
        <w:rPr>
          <w:rFonts w:ascii="楷体" w:hAnsi="楷体" w:eastAsia="楷体"/>
        </w:rPr>
      </w:pPr>
      <w:r>
        <w:rPr>
          <w:rFonts w:hint="eastAsia" w:ascii="楷体" w:hAnsi="楷体" w:eastAsia="楷体"/>
        </w:rPr>
        <w:t>打开洋河股份</w:t>
      </w:r>
      <w:r>
        <w:rPr>
          <w:rFonts w:ascii="楷体" w:hAnsi="楷体" w:eastAsia="楷体"/>
        </w:rPr>
        <w:t>2020</w:t>
      </w:r>
      <w:r>
        <w:rPr>
          <w:rFonts w:hint="eastAsia" w:ascii="楷体" w:hAnsi="楷体" w:eastAsia="楷体"/>
        </w:rPr>
        <w:t>年的年报，同样搜索关键字：“合并资产负债表”</w:t>
      </w:r>
    </w:p>
    <w:p>
      <w:pPr>
        <w:ind w:firstLine="482"/>
        <w:rPr>
          <w:rFonts w:ascii="楷体" w:hAnsi="楷体" w:eastAsia="楷体"/>
        </w:rPr>
      </w:pPr>
      <w:r>
        <w:rPr>
          <w:rFonts w:hint="eastAsia" w:ascii="楷体" w:hAnsi="楷体" w:eastAsia="楷体"/>
          <w:b/>
          <w:bCs/>
        </w:rPr>
        <w:t>同样，</w:t>
      </w:r>
      <w:r>
        <w:rPr>
          <w:rFonts w:hint="eastAsia" w:ascii="楷体" w:hAnsi="楷体" w:eastAsia="楷体"/>
        </w:rPr>
        <w:t>在搜索到的“合并资产负债表”中，可以找到“应收账款”以及“合同资产”。</w:t>
      </w:r>
    </w:p>
    <w:p>
      <w:pPr>
        <w:ind w:firstLine="199" w:firstLineChars="83"/>
        <w:rPr>
          <w:rFonts w:ascii="楷体" w:hAnsi="楷体" w:eastAsia="楷体"/>
        </w:rPr>
      </w:pPr>
      <w:r>
        <w:drawing>
          <wp:inline distT="0" distB="0" distL="0" distR="0">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274310" cy="2637155"/>
                    </a:xfrm>
                    <a:prstGeom prst="rect">
                      <a:avLst/>
                    </a:prstGeom>
                  </pic:spPr>
                </pic:pic>
              </a:graphicData>
            </a:graphic>
          </wp:inline>
        </w:drawing>
      </w:r>
    </w:p>
    <w:p>
      <w:pPr>
        <w:ind w:firstLine="199" w:firstLineChars="83"/>
        <w:rPr>
          <w:rFonts w:ascii="楷体" w:hAnsi="楷体" w:eastAsia="楷体"/>
        </w:rPr>
      </w:pPr>
    </w:p>
    <w:p>
      <w:pPr>
        <w:ind w:firstLine="482"/>
        <w:rPr>
          <w:rFonts w:ascii="楷体" w:hAnsi="楷体" w:eastAsia="楷体"/>
          <w:b/>
          <w:bCs/>
          <w:color w:val="00B0F0"/>
        </w:rPr>
      </w:pPr>
      <w:r>
        <w:rPr>
          <w:rFonts w:hint="eastAsia" w:ascii="楷体" w:hAnsi="楷体" w:eastAsia="楷体"/>
          <w:b/>
          <w:bCs/>
          <w:color w:val="00B0F0"/>
        </w:rPr>
        <w:t>如果“合同资产”金额为空，那就直接填0。</w:t>
      </w:r>
    </w:p>
    <w:p>
      <w:pPr>
        <w:ind w:firstLine="0" w:firstLineChars="0"/>
        <w:rPr>
          <w:rFonts w:ascii="楷体" w:hAnsi="楷体" w:eastAsia="楷体"/>
        </w:rPr>
      </w:pPr>
    </w:p>
    <w:p>
      <w:pPr>
        <w:ind w:firstLine="0" w:firstLineChars="0"/>
        <w:rPr>
          <w:rFonts w:ascii="楷体" w:hAnsi="楷体" w:eastAsia="楷体"/>
        </w:rPr>
      </w:pPr>
    </w:p>
    <w:p>
      <w:pPr>
        <w:ind w:firstLine="0" w:firstLineChars="0"/>
        <w:rPr>
          <w:rFonts w:ascii="楷体" w:hAnsi="楷体" w:eastAsia="楷体"/>
          <w:color w:val="4472C4" w:themeColor="accent1"/>
          <w:u w:val="single"/>
          <w14:textFill>
            <w14:solidFill>
              <w14:schemeClr w14:val="accent1"/>
            </w14:solidFill>
          </w14:textFill>
        </w:rPr>
      </w:pPr>
      <w:r>
        <w:rPr>
          <w:rFonts w:hint="eastAsia" w:ascii="楷体" w:hAnsi="楷体" w:eastAsia="楷体"/>
          <w:color w:val="4472C4" w:themeColor="accent1"/>
          <w:u w:val="single"/>
          <w14:textFill>
            <w14:solidFill>
              <w14:schemeClr w14:val="accent1"/>
            </w14:solidFill>
          </w14:textFill>
        </w:rPr>
        <w:t>【预付款项 2</w:t>
      </w:r>
      <w:r>
        <w:rPr>
          <w:rFonts w:ascii="楷体" w:hAnsi="楷体" w:eastAsia="楷体"/>
          <w:color w:val="4472C4" w:themeColor="accent1"/>
          <w:u w:val="single"/>
          <w14:textFill>
            <w14:solidFill>
              <w14:schemeClr w14:val="accent1"/>
            </w14:solidFill>
          </w14:textFill>
        </w:rPr>
        <w:t>020</w:t>
      </w:r>
      <w:r>
        <w:rPr>
          <w:rFonts w:hint="eastAsia" w:ascii="楷体" w:hAnsi="楷体" w:eastAsia="楷体"/>
          <w:color w:val="4472C4" w:themeColor="accent1"/>
          <w:u w:val="single"/>
          <w14:textFill>
            <w14:solidFill>
              <w14:schemeClr w14:val="accent1"/>
            </w14:solidFill>
          </w14:textFill>
        </w:rPr>
        <w:t>】——</w:t>
      </w:r>
      <w:r>
        <w:rPr>
          <w:rFonts w:hint="eastAsia" w:ascii="楷体" w:hAnsi="楷体" w:eastAsia="楷体"/>
          <w:color w:val="4472C4" w:themeColor="accent1"/>
          <w:highlight w:val="yellow"/>
          <w:u w:val="single"/>
          <w14:textFill>
            <w14:solidFill>
              <w14:schemeClr w14:val="accent1"/>
            </w14:solidFill>
          </w14:textFill>
        </w:rPr>
        <w:t>解析</w:t>
      </w:r>
      <w:r>
        <w:rPr>
          <w:rFonts w:ascii="楷体" w:hAnsi="楷体" w:eastAsia="楷体"/>
          <w:color w:val="4472C4" w:themeColor="accent1"/>
          <w:highlight w:val="yellow"/>
          <w:u w:val="single"/>
          <w14:textFill>
            <w14:solidFill>
              <w14:schemeClr w14:val="accent1"/>
            </w14:solidFill>
          </w14:textFill>
        </w:rPr>
        <w:t>5</w:t>
      </w:r>
      <w:r>
        <w:rPr>
          <w:rFonts w:hint="eastAsia" w:ascii="楷体" w:hAnsi="楷体" w:eastAsia="楷体"/>
          <w:color w:val="4472C4" w:themeColor="accent1"/>
          <w:highlight w:val="yellow"/>
          <w:u w:val="single"/>
          <w14:textFill>
            <w14:solidFill>
              <w14:schemeClr w14:val="accent1"/>
            </w14:solidFill>
          </w14:textFill>
        </w:rPr>
        <w:t>：</w:t>
      </w:r>
    </w:p>
    <w:p>
      <w:pPr>
        <w:ind w:firstLine="480"/>
        <w:rPr>
          <w:rFonts w:ascii="楷体" w:hAnsi="楷体" w:eastAsia="楷体"/>
        </w:rPr>
      </w:pPr>
      <w:r>
        <w:rPr>
          <w:rFonts w:hint="eastAsia" w:ascii="楷体" w:hAnsi="楷体" w:eastAsia="楷体"/>
        </w:rPr>
        <w:t>打开洋河股份</w:t>
      </w:r>
      <w:r>
        <w:rPr>
          <w:rFonts w:ascii="楷体" w:hAnsi="楷体" w:eastAsia="楷体"/>
        </w:rPr>
        <w:t>2020</w:t>
      </w:r>
      <w:r>
        <w:rPr>
          <w:rFonts w:hint="eastAsia" w:ascii="楷体" w:hAnsi="楷体" w:eastAsia="楷体"/>
        </w:rPr>
        <w:t>年的年报，同样搜索关键字：“合并资产负债表”</w:t>
      </w:r>
    </w:p>
    <w:p>
      <w:pPr>
        <w:ind w:firstLine="482"/>
        <w:rPr>
          <w:rFonts w:ascii="楷体" w:hAnsi="楷体" w:eastAsia="楷体"/>
        </w:rPr>
      </w:pPr>
      <w:r>
        <w:rPr>
          <w:rFonts w:hint="eastAsia" w:ascii="楷体" w:hAnsi="楷体" w:eastAsia="楷体"/>
          <w:b/>
          <w:bCs/>
        </w:rPr>
        <w:t>同样，</w:t>
      </w:r>
      <w:r>
        <w:rPr>
          <w:rFonts w:hint="eastAsia" w:ascii="楷体" w:hAnsi="楷体" w:eastAsia="楷体"/>
        </w:rPr>
        <w:t>在搜索到的“合并资产负债表”中，可以找到“预付款项”。</w:t>
      </w:r>
    </w:p>
    <w:p>
      <w:pPr>
        <w:ind w:firstLine="0" w:firstLineChars="0"/>
        <w:jc w:val="center"/>
        <w:rPr>
          <w:rFonts w:ascii="楷体" w:hAnsi="楷体" w:eastAsia="楷体"/>
        </w:rPr>
      </w:pPr>
      <w:r>
        <w:drawing>
          <wp:inline distT="0" distB="0" distL="0" distR="0">
            <wp:extent cx="5274310" cy="26758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274310" cy="2675890"/>
                    </a:xfrm>
                    <a:prstGeom prst="rect">
                      <a:avLst/>
                    </a:prstGeom>
                  </pic:spPr>
                </pic:pic>
              </a:graphicData>
            </a:graphic>
          </wp:inline>
        </w:drawing>
      </w:r>
    </w:p>
    <w:p>
      <w:pPr>
        <w:ind w:firstLine="0" w:firstLineChars="0"/>
        <w:rPr>
          <w:rFonts w:ascii="楷体" w:hAnsi="楷体" w:eastAsia="楷体"/>
        </w:rPr>
      </w:pPr>
    </w:p>
    <w:p>
      <w:pPr>
        <w:ind w:firstLine="0" w:firstLineChars="0"/>
        <w:rPr>
          <w:rFonts w:ascii="楷体" w:hAnsi="楷体" w:eastAsia="楷体"/>
        </w:rPr>
      </w:pPr>
    </w:p>
    <w:p>
      <w:pPr>
        <w:ind w:firstLine="0" w:firstLineChars="0"/>
        <w:rPr>
          <w:rFonts w:ascii="楷体" w:hAnsi="楷体" w:eastAsia="楷体"/>
          <w:color w:val="4472C4" w:themeColor="accent1"/>
          <w:u w:val="single"/>
          <w14:textFill>
            <w14:solidFill>
              <w14:schemeClr w14:val="accent1"/>
            </w14:solidFill>
          </w14:textFill>
        </w:rPr>
      </w:pPr>
      <w:r>
        <w:rPr>
          <w:rFonts w:hint="eastAsia" w:ascii="楷体" w:hAnsi="楷体" w:eastAsia="楷体"/>
          <w:color w:val="4472C4" w:themeColor="accent1"/>
          <w:u w:val="single"/>
          <w14:textFill>
            <w14:solidFill>
              <w14:schemeClr w14:val="accent1"/>
            </w14:solidFill>
          </w14:textFill>
        </w:rPr>
        <w:t>【固定资产、在建工程 2</w:t>
      </w:r>
      <w:r>
        <w:rPr>
          <w:rFonts w:ascii="楷体" w:hAnsi="楷体" w:eastAsia="楷体"/>
          <w:color w:val="4472C4" w:themeColor="accent1"/>
          <w:u w:val="single"/>
          <w14:textFill>
            <w14:solidFill>
              <w14:schemeClr w14:val="accent1"/>
            </w14:solidFill>
          </w14:textFill>
        </w:rPr>
        <w:t>020</w:t>
      </w:r>
      <w:r>
        <w:rPr>
          <w:rFonts w:hint="eastAsia" w:ascii="楷体" w:hAnsi="楷体" w:eastAsia="楷体"/>
          <w:color w:val="4472C4" w:themeColor="accent1"/>
          <w:u w:val="single"/>
          <w14:textFill>
            <w14:solidFill>
              <w14:schemeClr w14:val="accent1"/>
            </w14:solidFill>
          </w14:textFill>
        </w:rPr>
        <w:t>】——</w:t>
      </w:r>
      <w:r>
        <w:rPr>
          <w:rFonts w:hint="eastAsia" w:ascii="楷体" w:hAnsi="楷体" w:eastAsia="楷体"/>
          <w:color w:val="4472C4" w:themeColor="accent1"/>
          <w:highlight w:val="yellow"/>
          <w:u w:val="single"/>
          <w14:textFill>
            <w14:solidFill>
              <w14:schemeClr w14:val="accent1"/>
            </w14:solidFill>
          </w14:textFill>
        </w:rPr>
        <w:t>解析</w:t>
      </w:r>
      <w:r>
        <w:rPr>
          <w:rFonts w:ascii="楷体" w:hAnsi="楷体" w:eastAsia="楷体"/>
          <w:color w:val="4472C4" w:themeColor="accent1"/>
          <w:highlight w:val="yellow"/>
          <w:u w:val="single"/>
          <w14:textFill>
            <w14:solidFill>
              <w14:schemeClr w14:val="accent1"/>
            </w14:solidFill>
          </w14:textFill>
        </w:rPr>
        <w:t>6</w:t>
      </w:r>
      <w:r>
        <w:rPr>
          <w:rFonts w:hint="eastAsia" w:ascii="楷体" w:hAnsi="楷体" w:eastAsia="楷体"/>
          <w:color w:val="4472C4" w:themeColor="accent1"/>
          <w:highlight w:val="yellow"/>
          <w:u w:val="single"/>
          <w14:textFill>
            <w14:solidFill>
              <w14:schemeClr w14:val="accent1"/>
            </w14:solidFill>
          </w14:textFill>
        </w:rPr>
        <w:t>：</w:t>
      </w:r>
    </w:p>
    <w:p>
      <w:pPr>
        <w:ind w:firstLine="480"/>
        <w:rPr>
          <w:rFonts w:ascii="楷体" w:hAnsi="楷体" w:eastAsia="楷体"/>
        </w:rPr>
      </w:pPr>
      <w:r>
        <w:rPr>
          <w:rFonts w:hint="eastAsia" w:ascii="楷体" w:hAnsi="楷体" w:eastAsia="楷体"/>
        </w:rPr>
        <w:t>打开洋河股份</w:t>
      </w:r>
      <w:r>
        <w:rPr>
          <w:rFonts w:ascii="楷体" w:hAnsi="楷体" w:eastAsia="楷体"/>
        </w:rPr>
        <w:t>2020</w:t>
      </w:r>
      <w:r>
        <w:rPr>
          <w:rFonts w:hint="eastAsia" w:ascii="楷体" w:hAnsi="楷体" w:eastAsia="楷体"/>
        </w:rPr>
        <w:t>年的年报，同样搜索关键字：“合并资产负债表”</w:t>
      </w:r>
    </w:p>
    <w:p>
      <w:pPr>
        <w:ind w:firstLine="482"/>
        <w:rPr>
          <w:rFonts w:ascii="楷体" w:hAnsi="楷体" w:eastAsia="楷体"/>
        </w:rPr>
      </w:pPr>
      <w:r>
        <w:rPr>
          <w:rFonts w:hint="eastAsia" w:ascii="楷体" w:hAnsi="楷体" w:eastAsia="楷体"/>
          <w:b/>
          <w:bCs/>
        </w:rPr>
        <w:t>同样，</w:t>
      </w:r>
      <w:r>
        <w:rPr>
          <w:rFonts w:hint="eastAsia" w:ascii="楷体" w:hAnsi="楷体" w:eastAsia="楷体"/>
        </w:rPr>
        <w:t>在搜索到的“合并资产负债表”中，可以找到“固定资产”和“在建工程”。</w:t>
      </w:r>
    </w:p>
    <w:p>
      <w:pPr>
        <w:ind w:firstLine="0" w:firstLineChars="0"/>
        <w:jc w:val="left"/>
        <w:rPr>
          <w:rFonts w:ascii="楷体" w:hAnsi="楷体" w:eastAsia="楷体"/>
        </w:rPr>
      </w:pPr>
    </w:p>
    <w:p>
      <w:pPr>
        <w:ind w:firstLine="0" w:firstLineChars="0"/>
        <w:rPr>
          <w:rFonts w:ascii="楷体" w:hAnsi="楷体" w:eastAsia="楷体"/>
        </w:rPr>
      </w:pPr>
      <w:r>
        <w:drawing>
          <wp:inline distT="0" distB="0" distL="0" distR="0">
            <wp:extent cx="5274310" cy="18897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5274310" cy="1889760"/>
                    </a:xfrm>
                    <a:prstGeom prst="rect">
                      <a:avLst/>
                    </a:prstGeom>
                  </pic:spPr>
                </pic:pic>
              </a:graphicData>
            </a:graphic>
          </wp:inline>
        </w:drawing>
      </w:r>
    </w:p>
    <w:p>
      <w:pPr>
        <w:ind w:firstLine="0" w:firstLineChars="0"/>
        <w:rPr>
          <w:rFonts w:ascii="楷体" w:hAnsi="楷体" w:eastAsia="楷体"/>
        </w:rPr>
      </w:pPr>
      <w:r>
        <w:rPr>
          <w:rFonts w:hint="eastAsia" w:ascii="楷体" w:hAnsi="楷体" w:eastAsia="楷体"/>
        </w:rPr>
        <w:t>从此表中找到固定资产 和 在建工程科目名词,左边一列的数字,就是我们要取的数值</w:t>
      </w:r>
    </w:p>
    <w:p>
      <w:pPr>
        <w:ind w:firstLine="0" w:firstLineChars="0"/>
        <w:rPr>
          <w:rFonts w:ascii="楷体" w:hAnsi="楷体" w:eastAsia="楷体"/>
        </w:rPr>
      </w:pPr>
    </w:p>
    <w:p>
      <w:pPr>
        <w:pStyle w:val="11"/>
        <w:widowControl/>
        <w:spacing w:before="100" w:after="100" w:line="360" w:lineRule="auto"/>
        <w:ind w:firstLine="482" w:firstLineChars="0"/>
        <w:rPr>
          <w:rFonts w:ascii="楷体" w:hAnsi="楷体" w:eastAsia="楷体"/>
          <w:b/>
          <w:bCs/>
          <w:color w:val="FF0000"/>
        </w:rPr>
      </w:pPr>
      <w:r>
        <w:rPr>
          <w:rFonts w:hint="eastAsia" w:ascii="楷体" w:hAnsi="楷体" w:eastAsia="楷体"/>
          <w:b/>
          <w:bCs/>
          <w:color w:val="FF0000"/>
        </w:rPr>
        <w:t>重要声明：</w:t>
      </w:r>
    </w:p>
    <w:p>
      <w:pPr>
        <w:pStyle w:val="11"/>
        <w:widowControl/>
        <w:spacing w:before="100" w:after="100" w:line="360" w:lineRule="auto"/>
        <w:ind w:firstLine="482" w:firstLineChars="0"/>
        <w:rPr>
          <w:rFonts w:ascii="楷体" w:hAnsi="楷体" w:eastAsia="楷体"/>
          <w:b/>
          <w:bCs/>
          <w:color w:val="FF0000"/>
        </w:rPr>
      </w:pPr>
      <w:r>
        <w:rPr>
          <w:rFonts w:hint="eastAsia" w:ascii="楷体" w:hAnsi="楷体" w:eastAsia="楷体"/>
          <w:b/>
          <w:bCs/>
          <w:color w:val="FF0000"/>
        </w:rPr>
        <w:t>以上关于企业分析的内容，仅作为教学案例，帮助大家掌握投资技能，不作为投资建议。</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454" w:footer="992"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firstLineChars="0"/>
    </w:pPr>
    <w:r>
      <mc:AlternateContent>
        <mc:Choice Requires="wps">
          <w:drawing>
            <wp:anchor distT="0" distB="0" distL="114300" distR="114300" simplePos="0" relativeHeight="251659264" behindDoc="0" locked="0" layoutInCell="1" allowOverlap="1">
              <wp:simplePos x="0" y="0"/>
              <wp:positionH relativeFrom="margin">
                <wp:posOffset>1896110</wp:posOffset>
              </wp:positionH>
              <wp:positionV relativeFrom="paragraph">
                <wp:posOffset>0</wp:posOffset>
              </wp:positionV>
              <wp:extent cx="1151255" cy="1828800"/>
              <wp:effectExtent l="0" t="0" r="10795" b="0"/>
              <wp:wrapNone/>
              <wp:docPr id="20" name="文本框 20"/>
              <wp:cNvGraphicFramePr/>
              <a:graphic xmlns:a="http://schemas.openxmlformats.org/drawingml/2006/main">
                <a:graphicData uri="http://schemas.microsoft.com/office/word/2010/wordprocessingShape">
                  <wps:wsp>
                    <wps:cNvSpPr txBox="1"/>
                    <wps:spPr>
                      <a:xfrm>
                        <a:off x="0" y="0"/>
                        <a:ext cx="115146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jc w:val="left"/>
                            <w:rPr>
                              <w:rFonts w:ascii="楷体" w:hAnsi="楷体" w:eastAsia="楷体"/>
                              <w:sz w:val="18"/>
                            </w:rPr>
                          </w:pPr>
                          <w:r>
                            <w:rPr>
                              <w:rFonts w:ascii="楷体" w:hAnsi="楷体" w:eastAsia="楷体"/>
                              <w:sz w:val="18"/>
                            </w:rPr>
                            <w:t xml:space="preserve">第 </w:t>
                          </w:r>
                          <w:r>
                            <w:rPr>
                              <w:rFonts w:ascii="楷体" w:hAnsi="楷体" w:eastAsia="楷体"/>
                              <w:sz w:val="18"/>
                            </w:rPr>
                            <w:fldChar w:fldCharType="begin"/>
                          </w:r>
                          <w:r>
                            <w:rPr>
                              <w:rFonts w:ascii="楷体" w:hAnsi="楷体" w:eastAsia="楷体"/>
                              <w:sz w:val="18"/>
                            </w:rPr>
                            <w:instrText xml:space="preserve"> PAGE  \* MERGEFORMAT </w:instrText>
                          </w:r>
                          <w:r>
                            <w:rPr>
                              <w:rFonts w:ascii="楷体" w:hAnsi="楷体" w:eastAsia="楷体"/>
                              <w:sz w:val="18"/>
                            </w:rPr>
                            <w:fldChar w:fldCharType="separate"/>
                          </w:r>
                          <w:r>
                            <w:rPr>
                              <w:rFonts w:ascii="楷体" w:hAnsi="楷体" w:eastAsia="楷体"/>
                              <w:sz w:val="18"/>
                            </w:rPr>
                            <w:t>1</w:t>
                          </w:r>
                          <w:r>
                            <w:rPr>
                              <w:rFonts w:ascii="楷体" w:hAnsi="楷体" w:eastAsia="楷体"/>
                              <w:sz w:val="18"/>
                            </w:rPr>
                            <w:fldChar w:fldCharType="end"/>
                          </w:r>
                          <w:r>
                            <w:rPr>
                              <w:rFonts w:ascii="楷体" w:hAnsi="楷体" w:eastAsia="楷体"/>
                              <w:sz w:val="18"/>
                            </w:rPr>
                            <w:t xml:space="preserve"> 页 共 </w:t>
                          </w:r>
                          <w:r>
                            <w:rPr>
                              <w:rFonts w:ascii="楷体" w:hAnsi="楷体" w:eastAsia="楷体"/>
                              <w:sz w:val="18"/>
                            </w:rPr>
                            <w:fldChar w:fldCharType="begin"/>
                          </w:r>
                          <w:r>
                            <w:rPr>
                              <w:rFonts w:ascii="楷体" w:hAnsi="楷体" w:eastAsia="楷体"/>
                              <w:sz w:val="18"/>
                            </w:rPr>
                            <w:instrText xml:space="preserve"> NUMPAGES  \* MERGEFORMAT </w:instrText>
                          </w:r>
                          <w:r>
                            <w:rPr>
                              <w:rFonts w:ascii="楷体" w:hAnsi="楷体" w:eastAsia="楷体"/>
                              <w:sz w:val="18"/>
                            </w:rPr>
                            <w:fldChar w:fldCharType="separate"/>
                          </w:r>
                          <w:r>
                            <w:rPr>
                              <w:rFonts w:ascii="楷体" w:hAnsi="楷体" w:eastAsia="楷体"/>
                              <w:sz w:val="18"/>
                            </w:rPr>
                            <w:t>2</w:t>
                          </w:r>
                          <w:r>
                            <w:rPr>
                              <w:rFonts w:ascii="楷体" w:hAnsi="楷体" w:eastAsia="楷体"/>
                              <w:sz w:val="18"/>
                            </w:rPr>
                            <w:fldChar w:fldCharType="end"/>
                          </w:r>
                          <w:r>
                            <w:rPr>
                              <w:rFonts w:ascii="楷体" w:hAnsi="楷体" w:eastAsia="楷体"/>
                              <w:sz w:val="18"/>
                            </w:rPr>
                            <w:t xml:space="preserve"> 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49.3pt;margin-top:0pt;height:144pt;width:90.65pt;mso-position-horizontal-relative:margin;z-index:251659264;mso-width-relative:page;mso-height-relative:page;" filled="f" stroked="f" coordsize="21600,21600" o:gfxdata="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eV3DnWAAAACAEAAA8AAAAAAAAAAQAgAAAAIgAAAGRycy9kb3ducmV2Lnht&#10;bFBLAQIUABQAAAAIAIdO4kD2S/oVNAIAAFkEAAAOAAAAAAAAAAEAIAAAACUBAABkcnMvZTJvRG9j&#10;LnhtbFBLBQYAAAAABgAGAFkBAADLBQAAAAA=&#10;">
              <v:fill on="f" focussize="0,0"/>
              <v:stroke on="f" weight="0.5pt"/>
              <v:imagedata o:title=""/>
              <o:lock v:ext="edit" aspectratio="f"/>
              <v:textbox inset="0mm,0mm,0mm,0mm" style="mso-fit-shape-to-text:t;">
                <w:txbxContent>
                  <w:p>
                    <w:pPr>
                      <w:snapToGrid w:val="0"/>
                      <w:ind w:firstLine="360"/>
                      <w:jc w:val="left"/>
                      <w:rPr>
                        <w:rFonts w:ascii="楷体" w:hAnsi="楷体" w:eastAsia="楷体"/>
                        <w:sz w:val="18"/>
                      </w:rPr>
                    </w:pPr>
                    <w:r>
                      <w:rPr>
                        <w:rFonts w:ascii="楷体" w:hAnsi="楷体" w:eastAsia="楷体"/>
                        <w:sz w:val="18"/>
                      </w:rPr>
                      <w:t xml:space="preserve">第 </w:t>
                    </w:r>
                    <w:r>
                      <w:rPr>
                        <w:rFonts w:ascii="楷体" w:hAnsi="楷体" w:eastAsia="楷体"/>
                        <w:sz w:val="18"/>
                      </w:rPr>
                      <w:fldChar w:fldCharType="begin"/>
                    </w:r>
                    <w:r>
                      <w:rPr>
                        <w:rFonts w:ascii="楷体" w:hAnsi="楷体" w:eastAsia="楷体"/>
                        <w:sz w:val="18"/>
                      </w:rPr>
                      <w:instrText xml:space="preserve"> PAGE  \* MERGEFORMAT </w:instrText>
                    </w:r>
                    <w:r>
                      <w:rPr>
                        <w:rFonts w:ascii="楷体" w:hAnsi="楷体" w:eastAsia="楷体"/>
                        <w:sz w:val="18"/>
                      </w:rPr>
                      <w:fldChar w:fldCharType="separate"/>
                    </w:r>
                    <w:r>
                      <w:rPr>
                        <w:rFonts w:ascii="楷体" w:hAnsi="楷体" w:eastAsia="楷体"/>
                        <w:sz w:val="18"/>
                      </w:rPr>
                      <w:t>1</w:t>
                    </w:r>
                    <w:r>
                      <w:rPr>
                        <w:rFonts w:ascii="楷体" w:hAnsi="楷体" w:eastAsia="楷体"/>
                        <w:sz w:val="18"/>
                      </w:rPr>
                      <w:fldChar w:fldCharType="end"/>
                    </w:r>
                    <w:r>
                      <w:rPr>
                        <w:rFonts w:ascii="楷体" w:hAnsi="楷体" w:eastAsia="楷体"/>
                        <w:sz w:val="18"/>
                      </w:rPr>
                      <w:t xml:space="preserve"> 页 共 </w:t>
                    </w:r>
                    <w:r>
                      <w:rPr>
                        <w:rFonts w:ascii="楷体" w:hAnsi="楷体" w:eastAsia="楷体"/>
                        <w:sz w:val="18"/>
                      </w:rPr>
                      <w:fldChar w:fldCharType="begin"/>
                    </w:r>
                    <w:r>
                      <w:rPr>
                        <w:rFonts w:ascii="楷体" w:hAnsi="楷体" w:eastAsia="楷体"/>
                        <w:sz w:val="18"/>
                      </w:rPr>
                      <w:instrText xml:space="preserve"> NUMPAGES  \* MERGEFORMAT </w:instrText>
                    </w:r>
                    <w:r>
                      <w:rPr>
                        <w:rFonts w:ascii="楷体" w:hAnsi="楷体" w:eastAsia="楷体"/>
                        <w:sz w:val="18"/>
                      </w:rPr>
                      <w:fldChar w:fldCharType="separate"/>
                    </w:r>
                    <w:r>
                      <w:rPr>
                        <w:rFonts w:ascii="楷体" w:hAnsi="楷体" w:eastAsia="楷体"/>
                        <w:sz w:val="18"/>
                      </w:rPr>
                      <w:t>2</w:t>
                    </w:r>
                    <w:r>
                      <w:rPr>
                        <w:rFonts w:ascii="楷体" w:hAnsi="楷体" w:eastAsia="楷体"/>
                        <w:sz w:val="18"/>
                      </w:rPr>
                      <w:fldChar w:fldCharType="end"/>
                    </w:r>
                    <w:r>
                      <w:rPr>
                        <w:rFonts w:ascii="楷体" w:hAnsi="楷体" w:eastAsia="楷体"/>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0070C0" w:sz="4" w:space="31"/>
      </w:pBdr>
      <w:tabs>
        <w:tab w:val="left" w:pos="1657"/>
        <w:tab w:val="clear" w:pos="4153"/>
        <w:tab w:val="clear" w:pos="8306"/>
      </w:tabs>
      <w:ind w:firstLine="360"/>
      <w:jc w:val="both"/>
    </w:pPr>
    <w:r>
      <w:drawing>
        <wp:anchor distT="0" distB="0" distL="114300" distR="114300" simplePos="0" relativeHeight="251660288" behindDoc="0" locked="0" layoutInCell="1" allowOverlap="1">
          <wp:simplePos x="0" y="0"/>
          <wp:positionH relativeFrom="column">
            <wp:posOffset>50800</wp:posOffset>
          </wp:positionH>
          <wp:positionV relativeFrom="paragraph">
            <wp:posOffset>374015</wp:posOffset>
          </wp:positionV>
          <wp:extent cx="508000" cy="189865"/>
          <wp:effectExtent l="0" t="0" r="6350" b="63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08000" cy="190016"/>
                  </a:xfrm>
                  <a:prstGeom prst="rect">
                    <a:avLst/>
                  </a:prstGeom>
                  <a:noFill/>
                  <a:ln>
                    <a:noFill/>
                  </a:ln>
                </pic:spPr>
              </pic:pic>
            </a:graphicData>
          </a:graphic>
        </wp:anchor>
      </w:drawing>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HorizontalSpacing w:val="120"/>
  <w:drawingGridVerticalSpacing w:val="163"/>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D1F"/>
    <w:rsid w:val="00001297"/>
    <w:rsid w:val="000018F1"/>
    <w:rsid w:val="00001B7D"/>
    <w:rsid w:val="0000227C"/>
    <w:rsid w:val="00007FB2"/>
    <w:rsid w:val="00011458"/>
    <w:rsid w:val="000156CE"/>
    <w:rsid w:val="00036D1F"/>
    <w:rsid w:val="000411E2"/>
    <w:rsid w:val="00046A14"/>
    <w:rsid w:val="0005121B"/>
    <w:rsid w:val="00054029"/>
    <w:rsid w:val="00055D16"/>
    <w:rsid w:val="000560CE"/>
    <w:rsid w:val="000607EA"/>
    <w:rsid w:val="00063A7D"/>
    <w:rsid w:val="000673A3"/>
    <w:rsid w:val="000704E3"/>
    <w:rsid w:val="000707D7"/>
    <w:rsid w:val="00075C60"/>
    <w:rsid w:val="00076EE6"/>
    <w:rsid w:val="00082674"/>
    <w:rsid w:val="00083AB5"/>
    <w:rsid w:val="00090D22"/>
    <w:rsid w:val="000915B6"/>
    <w:rsid w:val="00093412"/>
    <w:rsid w:val="000944DE"/>
    <w:rsid w:val="00095055"/>
    <w:rsid w:val="00096237"/>
    <w:rsid w:val="00096C6F"/>
    <w:rsid w:val="000A0B21"/>
    <w:rsid w:val="000B0276"/>
    <w:rsid w:val="000B5842"/>
    <w:rsid w:val="000B724F"/>
    <w:rsid w:val="000C3BFF"/>
    <w:rsid w:val="000C497D"/>
    <w:rsid w:val="000D5090"/>
    <w:rsid w:val="000D69FF"/>
    <w:rsid w:val="000E06A6"/>
    <w:rsid w:val="000E1D71"/>
    <w:rsid w:val="000E3BFC"/>
    <w:rsid w:val="000E5449"/>
    <w:rsid w:val="000E5CD1"/>
    <w:rsid w:val="000E7E57"/>
    <w:rsid w:val="000F4ECB"/>
    <w:rsid w:val="000F66D4"/>
    <w:rsid w:val="0010342A"/>
    <w:rsid w:val="00105C4B"/>
    <w:rsid w:val="00107512"/>
    <w:rsid w:val="0011685D"/>
    <w:rsid w:val="001173FD"/>
    <w:rsid w:val="00117CD3"/>
    <w:rsid w:val="001245D0"/>
    <w:rsid w:val="0012486A"/>
    <w:rsid w:val="00127803"/>
    <w:rsid w:val="00134933"/>
    <w:rsid w:val="00135AA8"/>
    <w:rsid w:val="001372CB"/>
    <w:rsid w:val="001374CE"/>
    <w:rsid w:val="001435CA"/>
    <w:rsid w:val="00144221"/>
    <w:rsid w:val="0015059D"/>
    <w:rsid w:val="00151290"/>
    <w:rsid w:val="00154C9A"/>
    <w:rsid w:val="00155A90"/>
    <w:rsid w:val="0016001B"/>
    <w:rsid w:val="00160E51"/>
    <w:rsid w:val="00164FBE"/>
    <w:rsid w:val="00165982"/>
    <w:rsid w:val="00170322"/>
    <w:rsid w:val="00171E2E"/>
    <w:rsid w:val="0017368C"/>
    <w:rsid w:val="00175046"/>
    <w:rsid w:val="00175832"/>
    <w:rsid w:val="00175DB8"/>
    <w:rsid w:val="00180D49"/>
    <w:rsid w:val="0018144D"/>
    <w:rsid w:val="00183321"/>
    <w:rsid w:val="001900BD"/>
    <w:rsid w:val="00190EC9"/>
    <w:rsid w:val="00196B51"/>
    <w:rsid w:val="001A4EEB"/>
    <w:rsid w:val="001B09A2"/>
    <w:rsid w:val="001B1FC5"/>
    <w:rsid w:val="001B3952"/>
    <w:rsid w:val="001B4A49"/>
    <w:rsid w:val="001B5154"/>
    <w:rsid w:val="001B5448"/>
    <w:rsid w:val="001B55E7"/>
    <w:rsid w:val="001C195C"/>
    <w:rsid w:val="001C573C"/>
    <w:rsid w:val="001D18F5"/>
    <w:rsid w:val="001D204C"/>
    <w:rsid w:val="001D2CF7"/>
    <w:rsid w:val="001E0A79"/>
    <w:rsid w:val="001E3DA1"/>
    <w:rsid w:val="001E46E3"/>
    <w:rsid w:val="001E5DB4"/>
    <w:rsid w:val="00204B6C"/>
    <w:rsid w:val="002063A1"/>
    <w:rsid w:val="00213476"/>
    <w:rsid w:val="00213CC7"/>
    <w:rsid w:val="00214459"/>
    <w:rsid w:val="00214C13"/>
    <w:rsid w:val="00215CB2"/>
    <w:rsid w:val="00217853"/>
    <w:rsid w:val="0022367E"/>
    <w:rsid w:val="00224AC5"/>
    <w:rsid w:val="00227048"/>
    <w:rsid w:val="00235D36"/>
    <w:rsid w:val="00237265"/>
    <w:rsid w:val="00246E62"/>
    <w:rsid w:val="00247157"/>
    <w:rsid w:val="002513AA"/>
    <w:rsid w:val="002554EE"/>
    <w:rsid w:val="00256087"/>
    <w:rsid w:val="002572DF"/>
    <w:rsid w:val="00261200"/>
    <w:rsid w:val="00261860"/>
    <w:rsid w:val="00262949"/>
    <w:rsid w:val="00274475"/>
    <w:rsid w:val="00281E0D"/>
    <w:rsid w:val="00281EC6"/>
    <w:rsid w:val="00284A4B"/>
    <w:rsid w:val="002904A6"/>
    <w:rsid w:val="00291893"/>
    <w:rsid w:val="002920FE"/>
    <w:rsid w:val="002A5238"/>
    <w:rsid w:val="002B45B1"/>
    <w:rsid w:val="002B4C5E"/>
    <w:rsid w:val="002B58F9"/>
    <w:rsid w:val="002B5CE8"/>
    <w:rsid w:val="002C0159"/>
    <w:rsid w:val="002C2C92"/>
    <w:rsid w:val="002C4206"/>
    <w:rsid w:val="002D0010"/>
    <w:rsid w:val="002D02F7"/>
    <w:rsid w:val="002D0731"/>
    <w:rsid w:val="002D11E7"/>
    <w:rsid w:val="002D7FD5"/>
    <w:rsid w:val="002E24D2"/>
    <w:rsid w:val="002E509B"/>
    <w:rsid w:val="002E643E"/>
    <w:rsid w:val="002E7B73"/>
    <w:rsid w:val="002F1643"/>
    <w:rsid w:val="002F1A57"/>
    <w:rsid w:val="002F479C"/>
    <w:rsid w:val="002F72D1"/>
    <w:rsid w:val="00303E0E"/>
    <w:rsid w:val="00310420"/>
    <w:rsid w:val="003104A3"/>
    <w:rsid w:val="00311D61"/>
    <w:rsid w:val="00315236"/>
    <w:rsid w:val="00316855"/>
    <w:rsid w:val="00320710"/>
    <w:rsid w:val="00321BDB"/>
    <w:rsid w:val="00322885"/>
    <w:rsid w:val="0033336C"/>
    <w:rsid w:val="00334331"/>
    <w:rsid w:val="003403B5"/>
    <w:rsid w:val="00341CEA"/>
    <w:rsid w:val="003425FF"/>
    <w:rsid w:val="00342F99"/>
    <w:rsid w:val="003435FB"/>
    <w:rsid w:val="00352D38"/>
    <w:rsid w:val="00352F98"/>
    <w:rsid w:val="003570F5"/>
    <w:rsid w:val="003625AD"/>
    <w:rsid w:val="0036576E"/>
    <w:rsid w:val="003671E9"/>
    <w:rsid w:val="0036725F"/>
    <w:rsid w:val="003732B8"/>
    <w:rsid w:val="00383F93"/>
    <w:rsid w:val="00387583"/>
    <w:rsid w:val="00391F7F"/>
    <w:rsid w:val="00393256"/>
    <w:rsid w:val="00393307"/>
    <w:rsid w:val="00393E28"/>
    <w:rsid w:val="00397142"/>
    <w:rsid w:val="003B680A"/>
    <w:rsid w:val="003B778B"/>
    <w:rsid w:val="003C2236"/>
    <w:rsid w:val="003D3595"/>
    <w:rsid w:val="003F1F57"/>
    <w:rsid w:val="00401F7E"/>
    <w:rsid w:val="004062D9"/>
    <w:rsid w:val="004120A5"/>
    <w:rsid w:val="004120A8"/>
    <w:rsid w:val="0041636E"/>
    <w:rsid w:val="00430EFD"/>
    <w:rsid w:val="00431589"/>
    <w:rsid w:val="00432331"/>
    <w:rsid w:val="00432335"/>
    <w:rsid w:val="00432B36"/>
    <w:rsid w:val="004337CF"/>
    <w:rsid w:val="0043393F"/>
    <w:rsid w:val="004368B9"/>
    <w:rsid w:val="004372EF"/>
    <w:rsid w:val="004413BB"/>
    <w:rsid w:val="00441661"/>
    <w:rsid w:val="0044622E"/>
    <w:rsid w:val="004514B2"/>
    <w:rsid w:val="0045477C"/>
    <w:rsid w:val="00457F2B"/>
    <w:rsid w:val="00461170"/>
    <w:rsid w:val="0046346F"/>
    <w:rsid w:val="00464619"/>
    <w:rsid w:val="00467C79"/>
    <w:rsid w:val="00473CEC"/>
    <w:rsid w:val="00483B62"/>
    <w:rsid w:val="00484A8A"/>
    <w:rsid w:val="00486478"/>
    <w:rsid w:val="00493E3E"/>
    <w:rsid w:val="00494967"/>
    <w:rsid w:val="00494A14"/>
    <w:rsid w:val="0049551F"/>
    <w:rsid w:val="004A47C4"/>
    <w:rsid w:val="004A6C86"/>
    <w:rsid w:val="004B08F8"/>
    <w:rsid w:val="004B7885"/>
    <w:rsid w:val="004C0FD3"/>
    <w:rsid w:val="004C134A"/>
    <w:rsid w:val="004C6A2A"/>
    <w:rsid w:val="004D0640"/>
    <w:rsid w:val="004D299B"/>
    <w:rsid w:val="004D4941"/>
    <w:rsid w:val="004D52C3"/>
    <w:rsid w:val="004D76D1"/>
    <w:rsid w:val="004D7A02"/>
    <w:rsid w:val="004E2A0B"/>
    <w:rsid w:val="004E4F97"/>
    <w:rsid w:val="004E5F9C"/>
    <w:rsid w:val="004F2804"/>
    <w:rsid w:val="004F3F44"/>
    <w:rsid w:val="00500D9D"/>
    <w:rsid w:val="0050119B"/>
    <w:rsid w:val="00515C28"/>
    <w:rsid w:val="00516DF3"/>
    <w:rsid w:val="005178AD"/>
    <w:rsid w:val="00520B77"/>
    <w:rsid w:val="00524DCE"/>
    <w:rsid w:val="00526D3C"/>
    <w:rsid w:val="00527394"/>
    <w:rsid w:val="0052793D"/>
    <w:rsid w:val="00533B89"/>
    <w:rsid w:val="00541C28"/>
    <w:rsid w:val="00541D9F"/>
    <w:rsid w:val="0055290B"/>
    <w:rsid w:val="00552ED3"/>
    <w:rsid w:val="00555ED8"/>
    <w:rsid w:val="00560DF6"/>
    <w:rsid w:val="00561E6A"/>
    <w:rsid w:val="00563AF1"/>
    <w:rsid w:val="00564BFC"/>
    <w:rsid w:val="00572C1C"/>
    <w:rsid w:val="0057498D"/>
    <w:rsid w:val="005807A9"/>
    <w:rsid w:val="005839DF"/>
    <w:rsid w:val="00583D53"/>
    <w:rsid w:val="0058501B"/>
    <w:rsid w:val="00593DC4"/>
    <w:rsid w:val="0059419D"/>
    <w:rsid w:val="005967B1"/>
    <w:rsid w:val="00596FDA"/>
    <w:rsid w:val="005A41A0"/>
    <w:rsid w:val="005A682A"/>
    <w:rsid w:val="005B0D0E"/>
    <w:rsid w:val="005B18B4"/>
    <w:rsid w:val="005B2502"/>
    <w:rsid w:val="005C3BDB"/>
    <w:rsid w:val="005C4B05"/>
    <w:rsid w:val="005C5CD9"/>
    <w:rsid w:val="005C64A7"/>
    <w:rsid w:val="005D0C95"/>
    <w:rsid w:val="005D14AA"/>
    <w:rsid w:val="005E0B9E"/>
    <w:rsid w:val="005E3713"/>
    <w:rsid w:val="005E4AA4"/>
    <w:rsid w:val="005E7DEB"/>
    <w:rsid w:val="005F1B1B"/>
    <w:rsid w:val="005F5F0C"/>
    <w:rsid w:val="006021A1"/>
    <w:rsid w:val="006049B9"/>
    <w:rsid w:val="0060602E"/>
    <w:rsid w:val="00610BFE"/>
    <w:rsid w:val="00612884"/>
    <w:rsid w:val="00612DCF"/>
    <w:rsid w:val="00614916"/>
    <w:rsid w:val="00614CFC"/>
    <w:rsid w:val="00617FB8"/>
    <w:rsid w:val="00620DF5"/>
    <w:rsid w:val="00620F34"/>
    <w:rsid w:val="00625E6E"/>
    <w:rsid w:val="006266B3"/>
    <w:rsid w:val="00627AD9"/>
    <w:rsid w:val="006310A0"/>
    <w:rsid w:val="006311EB"/>
    <w:rsid w:val="00631A49"/>
    <w:rsid w:val="0063465F"/>
    <w:rsid w:val="00636A8D"/>
    <w:rsid w:val="00641951"/>
    <w:rsid w:val="00651A33"/>
    <w:rsid w:val="00652952"/>
    <w:rsid w:val="00652BCE"/>
    <w:rsid w:val="00657553"/>
    <w:rsid w:val="0066015F"/>
    <w:rsid w:val="00662F10"/>
    <w:rsid w:val="00663467"/>
    <w:rsid w:val="006643D5"/>
    <w:rsid w:val="0067276F"/>
    <w:rsid w:val="00673A0B"/>
    <w:rsid w:val="0067445F"/>
    <w:rsid w:val="00682B16"/>
    <w:rsid w:val="006831C2"/>
    <w:rsid w:val="00685221"/>
    <w:rsid w:val="006872E5"/>
    <w:rsid w:val="00691956"/>
    <w:rsid w:val="0069208F"/>
    <w:rsid w:val="00695ACA"/>
    <w:rsid w:val="006A16E2"/>
    <w:rsid w:val="006A3EEB"/>
    <w:rsid w:val="006A74FC"/>
    <w:rsid w:val="006B21AC"/>
    <w:rsid w:val="006C0DFD"/>
    <w:rsid w:val="006C31CA"/>
    <w:rsid w:val="006C34A0"/>
    <w:rsid w:val="006C37E1"/>
    <w:rsid w:val="006D604E"/>
    <w:rsid w:val="006D628A"/>
    <w:rsid w:val="006D653F"/>
    <w:rsid w:val="006F1980"/>
    <w:rsid w:val="006F298B"/>
    <w:rsid w:val="006F3205"/>
    <w:rsid w:val="00706F62"/>
    <w:rsid w:val="0071030B"/>
    <w:rsid w:val="0072042D"/>
    <w:rsid w:val="00721B39"/>
    <w:rsid w:val="00724D15"/>
    <w:rsid w:val="00732880"/>
    <w:rsid w:val="00733480"/>
    <w:rsid w:val="00734E48"/>
    <w:rsid w:val="00735011"/>
    <w:rsid w:val="00740ADB"/>
    <w:rsid w:val="00741A34"/>
    <w:rsid w:val="007431DA"/>
    <w:rsid w:val="00743651"/>
    <w:rsid w:val="00744566"/>
    <w:rsid w:val="00746853"/>
    <w:rsid w:val="00755188"/>
    <w:rsid w:val="0075615A"/>
    <w:rsid w:val="007579F2"/>
    <w:rsid w:val="00765192"/>
    <w:rsid w:val="00766E8D"/>
    <w:rsid w:val="0076733A"/>
    <w:rsid w:val="00767ACD"/>
    <w:rsid w:val="00770F1D"/>
    <w:rsid w:val="00777145"/>
    <w:rsid w:val="00780B2D"/>
    <w:rsid w:val="00780DA4"/>
    <w:rsid w:val="00786526"/>
    <w:rsid w:val="00790728"/>
    <w:rsid w:val="00795D46"/>
    <w:rsid w:val="0079736C"/>
    <w:rsid w:val="007A189E"/>
    <w:rsid w:val="007A7834"/>
    <w:rsid w:val="007B22D7"/>
    <w:rsid w:val="007B2EAD"/>
    <w:rsid w:val="007B3982"/>
    <w:rsid w:val="007B3E3E"/>
    <w:rsid w:val="007B6F07"/>
    <w:rsid w:val="007C0CCA"/>
    <w:rsid w:val="007C5C85"/>
    <w:rsid w:val="007D1B72"/>
    <w:rsid w:val="007E13D9"/>
    <w:rsid w:val="007E752A"/>
    <w:rsid w:val="007F15A3"/>
    <w:rsid w:val="007F244E"/>
    <w:rsid w:val="007F5B37"/>
    <w:rsid w:val="007F6CC7"/>
    <w:rsid w:val="007F7635"/>
    <w:rsid w:val="007F7D84"/>
    <w:rsid w:val="00800BB1"/>
    <w:rsid w:val="00802AB5"/>
    <w:rsid w:val="00810CBB"/>
    <w:rsid w:val="00812746"/>
    <w:rsid w:val="00813ADA"/>
    <w:rsid w:val="0081506C"/>
    <w:rsid w:val="00820B9E"/>
    <w:rsid w:val="00821699"/>
    <w:rsid w:val="008265CA"/>
    <w:rsid w:val="00826C39"/>
    <w:rsid w:val="008324EC"/>
    <w:rsid w:val="00833920"/>
    <w:rsid w:val="008357B4"/>
    <w:rsid w:val="008367B8"/>
    <w:rsid w:val="008424FB"/>
    <w:rsid w:val="00845BB0"/>
    <w:rsid w:val="0084630D"/>
    <w:rsid w:val="0085110C"/>
    <w:rsid w:val="00853E11"/>
    <w:rsid w:val="00862E0C"/>
    <w:rsid w:val="00864E3A"/>
    <w:rsid w:val="00870DEC"/>
    <w:rsid w:val="00872909"/>
    <w:rsid w:val="008730C9"/>
    <w:rsid w:val="008755D4"/>
    <w:rsid w:val="008858E0"/>
    <w:rsid w:val="00885EEA"/>
    <w:rsid w:val="0088621E"/>
    <w:rsid w:val="00887995"/>
    <w:rsid w:val="008A396A"/>
    <w:rsid w:val="008A58F4"/>
    <w:rsid w:val="008A61C5"/>
    <w:rsid w:val="008A681D"/>
    <w:rsid w:val="008B3C70"/>
    <w:rsid w:val="008B49E6"/>
    <w:rsid w:val="008B4D3E"/>
    <w:rsid w:val="008B7B61"/>
    <w:rsid w:val="008C0342"/>
    <w:rsid w:val="008C1216"/>
    <w:rsid w:val="008C2912"/>
    <w:rsid w:val="008C3D3F"/>
    <w:rsid w:val="008E3CD3"/>
    <w:rsid w:val="008E5E58"/>
    <w:rsid w:val="008F7D52"/>
    <w:rsid w:val="009013BC"/>
    <w:rsid w:val="00902CC9"/>
    <w:rsid w:val="00905C03"/>
    <w:rsid w:val="00910DA2"/>
    <w:rsid w:val="00911821"/>
    <w:rsid w:val="00915DA8"/>
    <w:rsid w:val="00917DBB"/>
    <w:rsid w:val="009431CC"/>
    <w:rsid w:val="00943771"/>
    <w:rsid w:val="0094565D"/>
    <w:rsid w:val="009466C4"/>
    <w:rsid w:val="00946B32"/>
    <w:rsid w:val="00952B0A"/>
    <w:rsid w:val="00954ECC"/>
    <w:rsid w:val="009600A8"/>
    <w:rsid w:val="00960B88"/>
    <w:rsid w:val="00960F6C"/>
    <w:rsid w:val="00960F80"/>
    <w:rsid w:val="00986AA6"/>
    <w:rsid w:val="009909DE"/>
    <w:rsid w:val="009913C7"/>
    <w:rsid w:val="0099329F"/>
    <w:rsid w:val="009977E7"/>
    <w:rsid w:val="009A2EDD"/>
    <w:rsid w:val="009A6D65"/>
    <w:rsid w:val="009B2939"/>
    <w:rsid w:val="009B5D8A"/>
    <w:rsid w:val="009C4AD3"/>
    <w:rsid w:val="009C680C"/>
    <w:rsid w:val="009D2590"/>
    <w:rsid w:val="009D2A88"/>
    <w:rsid w:val="009D6E09"/>
    <w:rsid w:val="009E04DE"/>
    <w:rsid w:val="009E083F"/>
    <w:rsid w:val="009E1CC1"/>
    <w:rsid w:val="009E3370"/>
    <w:rsid w:val="009E34C9"/>
    <w:rsid w:val="009F3A07"/>
    <w:rsid w:val="009F5E01"/>
    <w:rsid w:val="009F76A2"/>
    <w:rsid w:val="00A0469D"/>
    <w:rsid w:val="00A11D41"/>
    <w:rsid w:val="00A13830"/>
    <w:rsid w:val="00A141D5"/>
    <w:rsid w:val="00A220CE"/>
    <w:rsid w:val="00A243AA"/>
    <w:rsid w:val="00A32DDD"/>
    <w:rsid w:val="00A37BD5"/>
    <w:rsid w:val="00A4062D"/>
    <w:rsid w:val="00A44F24"/>
    <w:rsid w:val="00A45497"/>
    <w:rsid w:val="00A468EE"/>
    <w:rsid w:val="00A51C94"/>
    <w:rsid w:val="00A536FA"/>
    <w:rsid w:val="00A55636"/>
    <w:rsid w:val="00A5588B"/>
    <w:rsid w:val="00A56CE1"/>
    <w:rsid w:val="00A57DA8"/>
    <w:rsid w:val="00A608D0"/>
    <w:rsid w:val="00A63231"/>
    <w:rsid w:val="00A7022F"/>
    <w:rsid w:val="00A7196F"/>
    <w:rsid w:val="00A77196"/>
    <w:rsid w:val="00A80239"/>
    <w:rsid w:val="00A80C57"/>
    <w:rsid w:val="00A859E2"/>
    <w:rsid w:val="00A867A0"/>
    <w:rsid w:val="00A86EC4"/>
    <w:rsid w:val="00A9015B"/>
    <w:rsid w:val="00A9298A"/>
    <w:rsid w:val="00AA3432"/>
    <w:rsid w:val="00AA4CCC"/>
    <w:rsid w:val="00AA6468"/>
    <w:rsid w:val="00AB2B0E"/>
    <w:rsid w:val="00AB59DA"/>
    <w:rsid w:val="00AC4E5F"/>
    <w:rsid w:val="00AD06C6"/>
    <w:rsid w:val="00AD5F33"/>
    <w:rsid w:val="00AE10E3"/>
    <w:rsid w:val="00AE3D99"/>
    <w:rsid w:val="00AE6B78"/>
    <w:rsid w:val="00AF125C"/>
    <w:rsid w:val="00AF324D"/>
    <w:rsid w:val="00AF7DCD"/>
    <w:rsid w:val="00B005FE"/>
    <w:rsid w:val="00B022D2"/>
    <w:rsid w:val="00B03103"/>
    <w:rsid w:val="00B04F94"/>
    <w:rsid w:val="00B07DFA"/>
    <w:rsid w:val="00B12CBE"/>
    <w:rsid w:val="00B14F99"/>
    <w:rsid w:val="00B17890"/>
    <w:rsid w:val="00B20403"/>
    <w:rsid w:val="00B271BD"/>
    <w:rsid w:val="00B40A63"/>
    <w:rsid w:val="00B40DFC"/>
    <w:rsid w:val="00B430D2"/>
    <w:rsid w:val="00B50632"/>
    <w:rsid w:val="00B52E15"/>
    <w:rsid w:val="00B538D7"/>
    <w:rsid w:val="00B539F3"/>
    <w:rsid w:val="00B54DDE"/>
    <w:rsid w:val="00B61DA1"/>
    <w:rsid w:val="00B632A9"/>
    <w:rsid w:val="00B63E6A"/>
    <w:rsid w:val="00B662E7"/>
    <w:rsid w:val="00B6781F"/>
    <w:rsid w:val="00B770DA"/>
    <w:rsid w:val="00B8659B"/>
    <w:rsid w:val="00B8759D"/>
    <w:rsid w:val="00B92740"/>
    <w:rsid w:val="00B93DD3"/>
    <w:rsid w:val="00B940C6"/>
    <w:rsid w:val="00B95EE0"/>
    <w:rsid w:val="00B9694E"/>
    <w:rsid w:val="00BA0C9F"/>
    <w:rsid w:val="00BA585A"/>
    <w:rsid w:val="00BA7C06"/>
    <w:rsid w:val="00BB1733"/>
    <w:rsid w:val="00BB17A2"/>
    <w:rsid w:val="00BB27D5"/>
    <w:rsid w:val="00BC05A3"/>
    <w:rsid w:val="00BC4259"/>
    <w:rsid w:val="00BD5E94"/>
    <w:rsid w:val="00BE0E1F"/>
    <w:rsid w:val="00BE14A6"/>
    <w:rsid w:val="00BE5461"/>
    <w:rsid w:val="00BE6BDC"/>
    <w:rsid w:val="00BE7CB3"/>
    <w:rsid w:val="00BF0CC0"/>
    <w:rsid w:val="00BF12FA"/>
    <w:rsid w:val="00BF2D90"/>
    <w:rsid w:val="00BF6613"/>
    <w:rsid w:val="00BF75BF"/>
    <w:rsid w:val="00C018C3"/>
    <w:rsid w:val="00C01C30"/>
    <w:rsid w:val="00C03116"/>
    <w:rsid w:val="00C03D35"/>
    <w:rsid w:val="00C0507B"/>
    <w:rsid w:val="00C07669"/>
    <w:rsid w:val="00C1310E"/>
    <w:rsid w:val="00C2305E"/>
    <w:rsid w:val="00C25006"/>
    <w:rsid w:val="00C25145"/>
    <w:rsid w:val="00C26DAC"/>
    <w:rsid w:val="00C31F83"/>
    <w:rsid w:val="00C43841"/>
    <w:rsid w:val="00C46049"/>
    <w:rsid w:val="00C52B40"/>
    <w:rsid w:val="00C55BBE"/>
    <w:rsid w:val="00C55F2B"/>
    <w:rsid w:val="00C608B5"/>
    <w:rsid w:val="00C610D0"/>
    <w:rsid w:val="00C611D3"/>
    <w:rsid w:val="00C63250"/>
    <w:rsid w:val="00C675E0"/>
    <w:rsid w:val="00C74057"/>
    <w:rsid w:val="00C74D91"/>
    <w:rsid w:val="00C7765D"/>
    <w:rsid w:val="00C82393"/>
    <w:rsid w:val="00C845DC"/>
    <w:rsid w:val="00C877DD"/>
    <w:rsid w:val="00C900C9"/>
    <w:rsid w:val="00C90784"/>
    <w:rsid w:val="00C90A90"/>
    <w:rsid w:val="00CA4989"/>
    <w:rsid w:val="00CB0A29"/>
    <w:rsid w:val="00CB2986"/>
    <w:rsid w:val="00CB50BC"/>
    <w:rsid w:val="00CC70EB"/>
    <w:rsid w:val="00CD077E"/>
    <w:rsid w:val="00CD27CC"/>
    <w:rsid w:val="00CD4A9F"/>
    <w:rsid w:val="00CD5DE1"/>
    <w:rsid w:val="00CD7B9A"/>
    <w:rsid w:val="00CD7CD5"/>
    <w:rsid w:val="00CE27BB"/>
    <w:rsid w:val="00CE423D"/>
    <w:rsid w:val="00CE6A20"/>
    <w:rsid w:val="00CE6E26"/>
    <w:rsid w:val="00CF025C"/>
    <w:rsid w:val="00CF0AEA"/>
    <w:rsid w:val="00CF12E0"/>
    <w:rsid w:val="00CF3987"/>
    <w:rsid w:val="00CF5946"/>
    <w:rsid w:val="00D04A9B"/>
    <w:rsid w:val="00D11F29"/>
    <w:rsid w:val="00D12917"/>
    <w:rsid w:val="00D158E6"/>
    <w:rsid w:val="00D25E1C"/>
    <w:rsid w:val="00D30914"/>
    <w:rsid w:val="00D31407"/>
    <w:rsid w:val="00D3524C"/>
    <w:rsid w:val="00D369DA"/>
    <w:rsid w:val="00D37979"/>
    <w:rsid w:val="00D41A33"/>
    <w:rsid w:val="00D42809"/>
    <w:rsid w:val="00D43608"/>
    <w:rsid w:val="00D43B2A"/>
    <w:rsid w:val="00D53E25"/>
    <w:rsid w:val="00D627D9"/>
    <w:rsid w:val="00D63386"/>
    <w:rsid w:val="00D64B1F"/>
    <w:rsid w:val="00D661B3"/>
    <w:rsid w:val="00D732FD"/>
    <w:rsid w:val="00D7545C"/>
    <w:rsid w:val="00D768EA"/>
    <w:rsid w:val="00D802E4"/>
    <w:rsid w:val="00D820E9"/>
    <w:rsid w:val="00D878D9"/>
    <w:rsid w:val="00D934F2"/>
    <w:rsid w:val="00DA1409"/>
    <w:rsid w:val="00DA6529"/>
    <w:rsid w:val="00DB1AE7"/>
    <w:rsid w:val="00DB20E6"/>
    <w:rsid w:val="00DB2393"/>
    <w:rsid w:val="00DB530F"/>
    <w:rsid w:val="00DC422C"/>
    <w:rsid w:val="00DD0AE4"/>
    <w:rsid w:val="00DD4127"/>
    <w:rsid w:val="00DD741E"/>
    <w:rsid w:val="00DE4B20"/>
    <w:rsid w:val="00DF4A1B"/>
    <w:rsid w:val="00E00A47"/>
    <w:rsid w:val="00E01A81"/>
    <w:rsid w:val="00E10964"/>
    <w:rsid w:val="00E14AD4"/>
    <w:rsid w:val="00E17286"/>
    <w:rsid w:val="00E2209D"/>
    <w:rsid w:val="00E25F1E"/>
    <w:rsid w:val="00E26FA9"/>
    <w:rsid w:val="00E27824"/>
    <w:rsid w:val="00E3347E"/>
    <w:rsid w:val="00E3678A"/>
    <w:rsid w:val="00E403A6"/>
    <w:rsid w:val="00E4074A"/>
    <w:rsid w:val="00E43866"/>
    <w:rsid w:val="00E44368"/>
    <w:rsid w:val="00E60CD6"/>
    <w:rsid w:val="00E61B53"/>
    <w:rsid w:val="00E61ED7"/>
    <w:rsid w:val="00E61F5D"/>
    <w:rsid w:val="00E6200D"/>
    <w:rsid w:val="00E656A5"/>
    <w:rsid w:val="00E75B5A"/>
    <w:rsid w:val="00E77D05"/>
    <w:rsid w:val="00E8080E"/>
    <w:rsid w:val="00E80E7C"/>
    <w:rsid w:val="00E836BD"/>
    <w:rsid w:val="00E838C4"/>
    <w:rsid w:val="00E845E9"/>
    <w:rsid w:val="00E85D2A"/>
    <w:rsid w:val="00E86352"/>
    <w:rsid w:val="00E95F61"/>
    <w:rsid w:val="00EA012C"/>
    <w:rsid w:val="00EA14BC"/>
    <w:rsid w:val="00EA20B5"/>
    <w:rsid w:val="00EB1DD0"/>
    <w:rsid w:val="00EC0150"/>
    <w:rsid w:val="00EC1770"/>
    <w:rsid w:val="00EC6CB0"/>
    <w:rsid w:val="00ED64D9"/>
    <w:rsid w:val="00EE0CA0"/>
    <w:rsid w:val="00EE3443"/>
    <w:rsid w:val="00EE5742"/>
    <w:rsid w:val="00EE7F41"/>
    <w:rsid w:val="00EF3751"/>
    <w:rsid w:val="00EF64E4"/>
    <w:rsid w:val="00F0672E"/>
    <w:rsid w:val="00F12DCC"/>
    <w:rsid w:val="00F158CD"/>
    <w:rsid w:val="00F21E57"/>
    <w:rsid w:val="00F22DC3"/>
    <w:rsid w:val="00F22FB6"/>
    <w:rsid w:val="00F235DD"/>
    <w:rsid w:val="00F24C82"/>
    <w:rsid w:val="00F252EE"/>
    <w:rsid w:val="00F25E39"/>
    <w:rsid w:val="00F27C04"/>
    <w:rsid w:val="00F331FF"/>
    <w:rsid w:val="00F33294"/>
    <w:rsid w:val="00F3360A"/>
    <w:rsid w:val="00F408F4"/>
    <w:rsid w:val="00F41494"/>
    <w:rsid w:val="00F42C12"/>
    <w:rsid w:val="00F44456"/>
    <w:rsid w:val="00F4552B"/>
    <w:rsid w:val="00F45B02"/>
    <w:rsid w:val="00F45D19"/>
    <w:rsid w:val="00F4676A"/>
    <w:rsid w:val="00F46C20"/>
    <w:rsid w:val="00F4733D"/>
    <w:rsid w:val="00F47A81"/>
    <w:rsid w:val="00F514F5"/>
    <w:rsid w:val="00F532F2"/>
    <w:rsid w:val="00F537D4"/>
    <w:rsid w:val="00F551BE"/>
    <w:rsid w:val="00F62B02"/>
    <w:rsid w:val="00F71D1E"/>
    <w:rsid w:val="00F77024"/>
    <w:rsid w:val="00F7791E"/>
    <w:rsid w:val="00F85009"/>
    <w:rsid w:val="00F861CE"/>
    <w:rsid w:val="00F903F8"/>
    <w:rsid w:val="00F92880"/>
    <w:rsid w:val="00F95D75"/>
    <w:rsid w:val="00FA105E"/>
    <w:rsid w:val="00FA1D6C"/>
    <w:rsid w:val="00FA6D52"/>
    <w:rsid w:val="00FB07A6"/>
    <w:rsid w:val="00FB1BE8"/>
    <w:rsid w:val="00FB3C1F"/>
    <w:rsid w:val="00FB56FA"/>
    <w:rsid w:val="00FB75FC"/>
    <w:rsid w:val="00FB7BED"/>
    <w:rsid w:val="00FC1DD8"/>
    <w:rsid w:val="00FC79A5"/>
    <w:rsid w:val="00FD0E5C"/>
    <w:rsid w:val="00FD56CB"/>
    <w:rsid w:val="00FE02F8"/>
    <w:rsid w:val="00FE159C"/>
    <w:rsid w:val="00FE4BA8"/>
    <w:rsid w:val="00FE5328"/>
    <w:rsid w:val="00FF05E9"/>
    <w:rsid w:val="00FF1D53"/>
    <w:rsid w:val="00FF2747"/>
    <w:rsid w:val="00FF57C1"/>
    <w:rsid w:val="1FFEA629"/>
    <w:rsid w:val="27D330A9"/>
    <w:rsid w:val="454E03D3"/>
    <w:rsid w:val="59B023AA"/>
    <w:rsid w:val="5BFFC633"/>
    <w:rsid w:val="7FCDF604"/>
    <w:rsid w:val="B7DE5E9A"/>
    <w:rsid w:val="B7FB65C1"/>
    <w:rsid w:val="EAF305D3"/>
    <w:rsid w:val="FE6F7C7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Calibri" w:hAnsi="Calibri" w:eastAsia="楷体" w:cs="Times New Roman"/>
      <w:kern w:val="2"/>
      <w:sz w:val="24"/>
      <w:szCs w:val="24"/>
      <w:lang w:val="en-US" w:eastAsia="zh-CN" w:bidi="ar-SA"/>
    </w:rPr>
  </w:style>
  <w:style w:type="paragraph" w:styleId="2">
    <w:name w:val="heading 1"/>
    <w:basedOn w:val="1"/>
    <w:next w:val="1"/>
    <w:link w:val="22"/>
    <w:qFormat/>
    <w:uiPriority w:val="9"/>
    <w:pPr>
      <w:keepNext/>
      <w:keepLines/>
      <w:spacing w:before="120" w:after="120"/>
      <w:ind w:firstLine="0" w:firstLineChars="0"/>
      <w:jc w:val="center"/>
      <w:outlineLvl w:val="0"/>
    </w:pPr>
    <w:rPr>
      <w:b/>
      <w:bCs/>
      <w:kern w:val="44"/>
      <w:sz w:val="30"/>
      <w:szCs w:val="44"/>
    </w:rPr>
  </w:style>
  <w:style w:type="paragraph" w:styleId="3">
    <w:name w:val="heading 2"/>
    <w:basedOn w:val="1"/>
    <w:next w:val="1"/>
    <w:link w:val="23"/>
    <w:unhideWhenUsed/>
    <w:qFormat/>
    <w:uiPriority w:val="9"/>
    <w:pPr>
      <w:keepNext/>
      <w:keepLines/>
      <w:spacing w:before="120" w:after="120"/>
      <w:ind w:firstLine="0" w:firstLineChars="0"/>
      <w:outlineLvl w:val="1"/>
    </w:pPr>
    <w:rPr>
      <w:rFonts w:asciiTheme="majorHAnsi" w:hAnsiTheme="majorHAnsi" w:cstheme="majorBidi"/>
      <w:b/>
      <w:bCs/>
      <w:sz w:val="30"/>
      <w:szCs w:val="32"/>
    </w:rPr>
  </w:style>
  <w:style w:type="paragraph" w:styleId="4">
    <w:name w:val="heading 3"/>
    <w:basedOn w:val="1"/>
    <w:next w:val="1"/>
    <w:link w:val="25"/>
    <w:unhideWhenUsed/>
    <w:qFormat/>
    <w:uiPriority w:val="9"/>
    <w:pPr>
      <w:keepNext/>
      <w:keepLines/>
      <w:spacing w:before="120" w:after="120"/>
      <w:ind w:firstLine="0" w:firstLineChars="0"/>
      <w:outlineLvl w:val="2"/>
    </w:pPr>
    <w:rPr>
      <w:b/>
      <w:bCs/>
      <w:sz w:val="28"/>
      <w:szCs w:val="32"/>
    </w:rPr>
  </w:style>
  <w:style w:type="paragraph" w:styleId="5">
    <w:name w:val="heading 4"/>
    <w:basedOn w:val="1"/>
    <w:next w:val="1"/>
    <w:link w:val="21"/>
    <w:unhideWhenUsed/>
    <w:qFormat/>
    <w:uiPriority w:val="9"/>
    <w:pPr>
      <w:keepNext/>
      <w:keepLines/>
      <w:spacing w:before="120" w:after="120"/>
      <w:outlineLvl w:val="3"/>
    </w:pPr>
    <w:rPr>
      <w:rFonts w:asciiTheme="majorHAnsi" w:hAnsiTheme="majorHAnsi" w:cstheme="majorBidi"/>
      <w:b/>
      <w:bCs/>
      <w:szCs w:val="28"/>
    </w:rPr>
  </w:style>
  <w:style w:type="paragraph" w:styleId="6">
    <w:name w:val="heading 6"/>
    <w:basedOn w:val="1"/>
    <w:next w:val="1"/>
    <w:link w:val="36"/>
    <w:semiHidden/>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annotation text"/>
    <w:basedOn w:val="1"/>
    <w:link w:val="27"/>
    <w:semiHidden/>
    <w:unhideWhenUsed/>
    <w:uiPriority w:val="99"/>
    <w:pPr>
      <w:jc w:val="left"/>
    </w:pPr>
  </w:style>
  <w:style w:type="paragraph" w:styleId="8">
    <w:name w:val="Balloon Text"/>
    <w:basedOn w:val="1"/>
    <w:link w:val="29"/>
    <w:semiHidden/>
    <w:unhideWhenUsed/>
    <w:uiPriority w:val="99"/>
    <w:pPr>
      <w:spacing w:line="240" w:lineRule="auto"/>
    </w:pPr>
    <w:rPr>
      <w:sz w:val="18"/>
      <w:szCs w:val="18"/>
    </w:rPr>
  </w:style>
  <w:style w:type="paragraph" w:styleId="9">
    <w:name w:val="footer"/>
    <w:basedOn w:val="1"/>
    <w:link w:val="18"/>
    <w:unhideWhenUsed/>
    <w:uiPriority w:val="99"/>
    <w:pPr>
      <w:tabs>
        <w:tab w:val="center" w:pos="4153"/>
        <w:tab w:val="right" w:pos="8306"/>
      </w:tabs>
      <w:snapToGrid w:val="0"/>
      <w:jc w:val="left"/>
    </w:pPr>
    <w:rPr>
      <w:sz w:val="18"/>
      <w:szCs w:val="18"/>
    </w:rPr>
  </w:style>
  <w:style w:type="paragraph" w:styleId="10">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semiHidden/>
    <w:unhideWhenUsed/>
    <w:uiPriority w:val="99"/>
    <w:pPr>
      <w:spacing w:beforeAutospacing="1" w:afterAutospacing="1"/>
      <w:jc w:val="left"/>
    </w:pPr>
    <w:rPr>
      <w:kern w:val="0"/>
    </w:rPr>
  </w:style>
  <w:style w:type="paragraph" w:styleId="12">
    <w:name w:val="annotation subject"/>
    <w:basedOn w:val="7"/>
    <w:next w:val="7"/>
    <w:link w:val="28"/>
    <w:semiHidden/>
    <w:unhideWhenUsed/>
    <w:uiPriority w:val="99"/>
    <w:rPr>
      <w:b/>
      <w:bCs/>
    </w:rPr>
  </w:style>
  <w:style w:type="table" w:styleId="14">
    <w:name w:val="Table Grid"/>
    <w:basedOn w:val="1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annotation reference"/>
    <w:basedOn w:val="15"/>
    <w:semiHidden/>
    <w:unhideWhenUsed/>
    <w:uiPriority w:val="99"/>
    <w:rPr>
      <w:sz w:val="21"/>
      <w:szCs w:val="21"/>
    </w:rPr>
  </w:style>
  <w:style w:type="character" w:customStyle="1" w:styleId="17">
    <w:name w:val="页眉 字符"/>
    <w:basedOn w:val="15"/>
    <w:link w:val="10"/>
    <w:qFormat/>
    <w:uiPriority w:val="99"/>
    <w:rPr>
      <w:sz w:val="18"/>
      <w:szCs w:val="18"/>
    </w:rPr>
  </w:style>
  <w:style w:type="character" w:customStyle="1" w:styleId="18">
    <w:name w:val="页脚 字符"/>
    <w:basedOn w:val="15"/>
    <w:link w:val="9"/>
    <w:qFormat/>
    <w:uiPriority w:val="99"/>
    <w:rPr>
      <w:sz w:val="18"/>
      <w:szCs w:val="18"/>
    </w:rPr>
  </w:style>
  <w:style w:type="paragraph" w:styleId="19">
    <w:name w:val="List Paragraph"/>
    <w:basedOn w:val="1"/>
    <w:uiPriority w:val="34"/>
    <w:pPr>
      <w:ind w:firstLine="420"/>
    </w:pPr>
    <w:rPr>
      <w:szCs w:val="22"/>
    </w:rPr>
  </w:style>
  <w:style w:type="paragraph" w:customStyle="1" w:styleId="20">
    <w:name w:val="017讲义4级标题 一、"/>
    <w:basedOn w:val="5"/>
    <w:uiPriority w:val="0"/>
    <w:pPr>
      <w:spacing w:line="360" w:lineRule="auto"/>
      <w:jc w:val="left"/>
      <w:textAlignment w:val="center"/>
    </w:pPr>
    <w:rPr>
      <w:rFonts w:ascii="Times New Roman" w:hAnsi="Times New Roman" w:eastAsia="宋体" w:cs="Times New Roman"/>
      <w:sz w:val="22"/>
      <w:szCs w:val="25"/>
    </w:rPr>
  </w:style>
  <w:style w:type="character" w:customStyle="1" w:styleId="21">
    <w:name w:val="标题 4 字符"/>
    <w:basedOn w:val="15"/>
    <w:link w:val="5"/>
    <w:qFormat/>
    <w:uiPriority w:val="9"/>
    <w:rPr>
      <w:rFonts w:eastAsia="楷体" w:asciiTheme="majorHAnsi" w:hAnsiTheme="majorHAnsi" w:cstheme="majorBidi"/>
      <w:b/>
      <w:bCs/>
      <w:kern w:val="2"/>
      <w:sz w:val="24"/>
      <w:szCs w:val="28"/>
    </w:rPr>
  </w:style>
  <w:style w:type="character" w:customStyle="1" w:styleId="22">
    <w:name w:val="标题 1 字符"/>
    <w:basedOn w:val="15"/>
    <w:link w:val="2"/>
    <w:qFormat/>
    <w:uiPriority w:val="9"/>
    <w:rPr>
      <w:rFonts w:ascii="Calibri" w:hAnsi="Calibri" w:eastAsia="楷体" w:cs="Times New Roman"/>
      <w:b/>
      <w:bCs/>
      <w:kern w:val="44"/>
      <w:sz w:val="30"/>
      <w:szCs w:val="44"/>
    </w:rPr>
  </w:style>
  <w:style w:type="character" w:customStyle="1" w:styleId="23">
    <w:name w:val="标题 2 字符"/>
    <w:basedOn w:val="15"/>
    <w:link w:val="3"/>
    <w:qFormat/>
    <w:uiPriority w:val="9"/>
    <w:rPr>
      <w:rFonts w:eastAsia="楷体" w:asciiTheme="majorHAnsi" w:hAnsiTheme="majorHAnsi" w:cstheme="majorBidi"/>
      <w:b/>
      <w:bCs/>
      <w:kern w:val="2"/>
      <w:sz w:val="30"/>
      <w:szCs w:val="32"/>
    </w:rPr>
  </w:style>
  <w:style w:type="paragraph" w:customStyle="1" w:styleId="24">
    <w:name w:val="el-menu-item"/>
    <w:basedOn w:val="1"/>
    <w:uiPriority w:val="0"/>
    <w:pPr>
      <w:widowControl/>
      <w:spacing w:before="100" w:beforeAutospacing="1" w:after="100" w:afterAutospacing="1"/>
      <w:jc w:val="left"/>
    </w:pPr>
    <w:rPr>
      <w:rFonts w:ascii="宋体" w:hAnsi="宋体" w:cs="宋体"/>
      <w:kern w:val="0"/>
    </w:rPr>
  </w:style>
  <w:style w:type="character" w:customStyle="1" w:styleId="25">
    <w:name w:val="标题 3 字符"/>
    <w:basedOn w:val="15"/>
    <w:link w:val="4"/>
    <w:uiPriority w:val="9"/>
    <w:rPr>
      <w:rFonts w:ascii="Calibri" w:hAnsi="Calibri" w:eastAsia="楷体" w:cs="Times New Roman"/>
      <w:b/>
      <w:bCs/>
      <w:kern w:val="2"/>
      <w:sz w:val="28"/>
      <w:szCs w:val="32"/>
    </w:rPr>
  </w:style>
  <w:style w:type="table" w:customStyle="1" w:styleId="26">
    <w:name w:val="网格表 4 - 着色 11"/>
    <w:basedOn w:val="13"/>
    <w:uiPriority w:val="49"/>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27">
    <w:name w:val="批注文字 字符"/>
    <w:basedOn w:val="15"/>
    <w:link w:val="7"/>
    <w:semiHidden/>
    <w:uiPriority w:val="99"/>
    <w:rPr>
      <w:rFonts w:ascii="Calibri" w:hAnsi="Calibri" w:eastAsia="楷体" w:cs="Times New Roman"/>
      <w:kern w:val="2"/>
      <w:sz w:val="24"/>
      <w:szCs w:val="24"/>
    </w:rPr>
  </w:style>
  <w:style w:type="character" w:customStyle="1" w:styleId="28">
    <w:name w:val="批注主题 字符"/>
    <w:basedOn w:val="27"/>
    <w:link w:val="12"/>
    <w:semiHidden/>
    <w:uiPriority w:val="99"/>
    <w:rPr>
      <w:rFonts w:ascii="Calibri" w:hAnsi="Calibri" w:eastAsia="楷体" w:cs="Times New Roman"/>
      <w:b/>
      <w:bCs/>
      <w:kern w:val="2"/>
      <w:sz w:val="24"/>
      <w:szCs w:val="24"/>
    </w:rPr>
  </w:style>
  <w:style w:type="character" w:customStyle="1" w:styleId="29">
    <w:name w:val="批注框文本 字符"/>
    <w:basedOn w:val="15"/>
    <w:link w:val="8"/>
    <w:semiHidden/>
    <w:uiPriority w:val="99"/>
    <w:rPr>
      <w:rFonts w:ascii="Calibri" w:hAnsi="Calibri" w:eastAsia="楷体" w:cs="Times New Roman"/>
      <w:kern w:val="2"/>
      <w:sz w:val="18"/>
      <w:szCs w:val="18"/>
    </w:rPr>
  </w:style>
  <w:style w:type="paragraph" w:customStyle="1" w:styleId="30">
    <w:name w:val="017讲义2级标题 章"/>
    <w:basedOn w:val="3"/>
    <w:link w:val="31"/>
    <w:qFormat/>
    <w:uiPriority w:val="0"/>
    <w:pPr>
      <w:keepNext w:val="0"/>
      <w:keepLines w:val="0"/>
      <w:widowControl/>
      <w:spacing w:before="312" w:beforeLines="100" w:after="156" w:afterLines="50" w:line="360" w:lineRule="auto"/>
      <w:ind w:firstLine="480"/>
      <w:jc w:val="center"/>
      <w:textAlignment w:val="center"/>
    </w:pPr>
    <w:rPr>
      <w:rFonts w:ascii="微软雅黑" w:hAnsi="微软雅黑" w:eastAsia="微软雅黑" w:cs="Times New Roman"/>
      <w:bCs w:val="0"/>
      <w:kern w:val="0"/>
      <w:sz w:val="32"/>
      <w:szCs w:val="29"/>
    </w:rPr>
  </w:style>
  <w:style w:type="character" w:customStyle="1" w:styleId="31">
    <w:name w:val="017讲义2级标题 章 Char"/>
    <w:basedOn w:val="15"/>
    <w:link w:val="30"/>
    <w:qFormat/>
    <w:uiPriority w:val="0"/>
    <w:rPr>
      <w:rFonts w:ascii="微软雅黑" w:hAnsi="微软雅黑" w:eastAsia="微软雅黑" w:cs="Times New Roman"/>
      <w:b/>
      <w:sz w:val="32"/>
      <w:szCs w:val="29"/>
    </w:rPr>
  </w:style>
  <w:style w:type="paragraph" w:customStyle="1" w:styleId="32">
    <w:name w:val="017讲义6级标题 1."/>
    <w:basedOn w:val="6"/>
    <w:link w:val="33"/>
    <w:qFormat/>
    <w:uiPriority w:val="0"/>
    <w:pPr>
      <w:widowControl/>
      <w:spacing w:before="0" w:after="0" w:line="240" w:lineRule="auto"/>
      <w:ind w:firstLine="482"/>
      <w:jc w:val="left"/>
      <w:textAlignment w:val="center"/>
    </w:pPr>
    <w:rPr>
      <w:rFonts w:ascii="楷体" w:hAnsi="楷体" w:eastAsia="楷体" w:cs="Arial"/>
      <w:kern w:val="0"/>
      <w:szCs w:val="22"/>
    </w:rPr>
  </w:style>
  <w:style w:type="character" w:customStyle="1" w:styleId="33">
    <w:name w:val="017讲义6级标题 1. Char"/>
    <w:basedOn w:val="15"/>
    <w:link w:val="32"/>
    <w:qFormat/>
    <w:uiPriority w:val="0"/>
    <w:rPr>
      <w:rFonts w:ascii="楷体" w:hAnsi="楷体" w:eastAsia="楷体" w:cs="Arial"/>
      <w:b/>
      <w:bCs/>
      <w:sz w:val="24"/>
      <w:szCs w:val="22"/>
    </w:rPr>
  </w:style>
  <w:style w:type="paragraph" w:customStyle="1" w:styleId="34">
    <w:name w:val="017讲义正文"/>
    <w:basedOn w:val="1"/>
    <w:link w:val="35"/>
    <w:qFormat/>
    <w:uiPriority w:val="0"/>
    <w:pPr>
      <w:widowControl/>
      <w:spacing w:line="360" w:lineRule="auto"/>
      <w:ind w:firstLine="420"/>
      <w:jc w:val="left"/>
      <w:textAlignment w:val="center"/>
    </w:pPr>
    <w:rPr>
      <w:rFonts w:asciiTheme="minorEastAsia" w:hAnsiTheme="minorEastAsia" w:eastAsiaTheme="minorEastAsia"/>
      <w:kern w:val="0"/>
      <w:sz w:val="21"/>
      <w:szCs w:val="18"/>
    </w:rPr>
  </w:style>
  <w:style w:type="character" w:customStyle="1" w:styleId="35">
    <w:name w:val="017讲义正文 Char"/>
    <w:link w:val="34"/>
    <w:qFormat/>
    <w:uiPriority w:val="0"/>
    <w:rPr>
      <w:rFonts w:cs="Times New Roman" w:asciiTheme="minorEastAsia" w:hAnsiTheme="minorEastAsia"/>
      <w:sz w:val="21"/>
      <w:szCs w:val="18"/>
    </w:rPr>
  </w:style>
  <w:style w:type="character" w:customStyle="1" w:styleId="36">
    <w:name w:val="标题 6 字符"/>
    <w:basedOn w:val="15"/>
    <w:link w:val="6"/>
    <w:semiHidden/>
    <w:uiPriority w:val="9"/>
    <w:rPr>
      <w:rFonts w:asciiTheme="majorHAnsi" w:hAnsiTheme="majorHAnsi" w:eastAsiaTheme="majorEastAsia" w:cstheme="majorBidi"/>
      <w:b/>
      <w:bCs/>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581</Words>
  <Characters>3317</Characters>
  <Lines>27</Lines>
  <Paragraphs>7</Paragraphs>
  <TotalTime>2</TotalTime>
  <ScaleCrop>false</ScaleCrop>
  <LinksUpToDate>false</LinksUpToDate>
  <CharactersWithSpaces>3891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2021-05-15T06:24:00Z</dcterms:created>
  <dc:creator>曹 坤</dc:creator>
  <cp:lastModifiedBy>李老师</cp:lastModifiedBy>
  <dcterms:modified xsi:type="dcterms:W3CDTF">2022-03-18T07:46:29Z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70FA4BDBA95544ED95B6639BAF39AA33</vt:lpwstr>
  </property>
</Properties>
</file>