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97A487" w14:textId="77777777" w:rsidR="005B2385" w:rsidRDefault="00A80AE7">
      <w:pPr>
        <w:pStyle w:val="0172"/>
        <w:spacing w:before="326" w:after="163"/>
        <w:rPr>
          <w:rFonts w:ascii="KaiTi" w:eastAsia="KaiTi" w:hAnsi="KaiTi"/>
        </w:rPr>
      </w:pPr>
      <w:r>
        <w:rPr>
          <w:rFonts w:ascii="KaiTi" w:eastAsia="KaiTi" w:hAnsi="KaiTi"/>
        </w:rPr>
        <w:t>第16周</w:t>
      </w:r>
      <w:r>
        <w:rPr>
          <w:rFonts w:ascii="KaiTi" w:eastAsia="KaiTi" w:hAnsi="KaiTi" w:hint="eastAsia"/>
        </w:rPr>
        <w:t>作业（手机版）</w:t>
      </w:r>
    </w:p>
    <w:p w14:paraId="108FC91B" w14:textId="77777777" w:rsidR="005B2385" w:rsidRDefault="00A80AE7">
      <w:pPr>
        <w:pStyle w:val="2"/>
        <w:rPr>
          <w:rFonts w:ascii="KaiTi" w:eastAsia="KaiTi" w:hAnsi="KaiTi"/>
        </w:rPr>
      </w:pPr>
      <w:r>
        <w:rPr>
          <w:rFonts w:ascii="KaiTi" w:eastAsia="KaiTi" w:hAnsi="KaiTi" w:hint="eastAsia"/>
        </w:rPr>
        <w:t>案例</w:t>
      </w:r>
      <w:proofErr w:type="gramStart"/>
      <w:r>
        <w:rPr>
          <w:rFonts w:ascii="KaiTi" w:eastAsia="KaiTi" w:hAnsi="KaiTi" w:hint="eastAsia"/>
        </w:rPr>
        <w:t>一</w:t>
      </w:r>
      <w:proofErr w:type="gramEnd"/>
      <w:r>
        <w:rPr>
          <w:rFonts w:ascii="KaiTi" w:eastAsia="KaiTi" w:hAnsi="KaiTi" w:hint="eastAsia"/>
        </w:rPr>
        <w:t>：</w:t>
      </w:r>
    </w:p>
    <w:p w14:paraId="7722C03C" w14:textId="77777777" w:rsidR="005B2385" w:rsidRDefault="00A80AE7">
      <w:pPr>
        <w:widowControl/>
        <w:ind w:firstLine="480"/>
        <w:jc w:val="left"/>
        <w:rPr>
          <w:rFonts w:ascii="KaiTi" w:eastAsia="KaiTi" w:hAnsi="KaiTi" w:cs="宋体"/>
          <w:kern w:val="0"/>
        </w:rPr>
      </w:pPr>
      <w:r>
        <w:rPr>
          <w:rFonts w:ascii="KaiTi" w:eastAsia="KaiTi" w:hAnsi="KaiTi" w:cs="宋体"/>
          <w:kern w:val="0"/>
        </w:rPr>
        <w:t>根据</w:t>
      </w:r>
      <w:r>
        <w:rPr>
          <w:rFonts w:ascii="KaiTi" w:eastAsia="KaiTi" w:hAnsi="KaiTi" w:cs="宋体" w:hint="eastAsia"/>
          <w:kern w:val="0"/>
        </w:rPr>
        <w:t>洋河股份近五年合并资产负债的相关信息，通过货币资金、应收账款、预付款项、在建工程等科目分析公司财务造假风险（存货和商誉在1</w:t>
      </w:r>
      <w:r>
        <w:rPr>
          <w:rFonts w:ascii="KaiTi" w:eastAsia="KaiTi" w:hAnsi="KaiTi" w:cs="宋体"/>
          <w:kern w:val="0"/>
        </w:rPr>
        <w:t>5</w:t>
      </w:r>
      <w:r>
        <w:rPr>
          <w:rFonts w:ascii="KaiTi" w:eastAsia="KaiTi" w:hAnsi="KaiTi" w:cs="宋体" w:hint="eastAsia"/>
          <w:kern w:val="0"/>
        </w:rPr>
        <w:t>周已经分析过，本周不用再次分析）。</w:t>
      </w:r>
      <w:r>
        <w:rPr>
          <w:rFonts w:ascii="KaiTi" w:eastAsia="KaiTi" w:hAnsi="KaiTi" w:cs="宋体"/>
          <w:kern w:val="0"/>
        </w:rPr>
        <w:t>（100 分）</w:t>
      </w:r>
    </w:p>
    <w:p w14:paraId="0B35BD2E" w14:textId="77777777" w:rsidR="005B2385" w:rsidRDefault="00A80AE7">
      <w:pPr>
        <w:ind w:firstLineChars="0" w:firstLine="0"/>
        <w:rPr>
          <w:rFonts w:ascii="KaiTi" w:eastAsia="KaiTi" w:hAnsi="KaiTi"/>
        </w:rPr>
      </w:pPr>
      <w:r>
        <w:rPr>
          <w:rFonts w:ascii="KaiTi" w:eastAsia="KaiTi" w:hAnsi="KaiTi" w:hint="eastAsia"/>
          <w:b/>
          <w:bCs/>
          <w:color w:val="FF0000"/>
        </w:rPr>
        <w:t>提示：年报中查找的数据单位为“元”，填到表格时注意换算为“亿元”</w:t>
      </w:r>
    </w:p>
    <w:p w14:paraId="27A73919" w14:textId="77777777" w:rsidR="005B2385" w:rsidRDefault="005B2385">
      <w:pPr>
        <w:widowControl/>
        <w:ind w:firstLineChars="0" w:firstLine="0"/>
        <w:jc w:val="left"/>
        <w:rPr>
          <w:rFonts w:ascii="KaiTi" w:eastAsia="KaiTi" w:hAnsi="KaiTi" w:cs="宋体"/>
          <w:kern w:val="0"/>
        </w:rPr>
      </w:pPr>
    </w:p>
    <w:p w14:paraId="55462E13" w14:textId="77777777" w:rsidR="005B2385" w:rsidRDefault="00A80AE7">
      <w:pPr>
        <w:widowControl/>
        <w:ind w:firstLineChars="0" w:firstLine="0"/>
        <w:jc w:val="center"/>
        <w:rPr>
          <w:rFonts w:ascii="KaiTi" w:eastAsia="KaiTi" w:hAnsi="KaiTi" w:cs="宋体"/>
          <w:kern w:val="0"/>
        </w:rPr>
      </w:pPr>
      <w:r>
        <w:rPr>
          <w:rFonts w:ascii="KaiTi" w:eastAsia="KaiTi" w:hAnsi="KaiTi"/>
          <w:noProof/>
        </w:rPr>
        <w:drawing>
          <wp:inline distT="0" distB="0" distL="0" distR="0" wp14:anchorId="22548951" wp14:editId="2024B382">
            <wp:extent cx="3039745" cy="2192020"/>
            <wp:effectExtent l="0" t="0" r="8255" b="0"/>
            <wp:docPr id="1" name="图片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7F60" w14:textId="77777777" w:rsidR="005B2385" w:rsidRDefault="00A80AE7">
      <w:pPr>
        <w:pStyle w:val="3"/>
        <w:rPr>
          <w:rFonts w:ascii="KaiTi" w:eastAsia="KaiTi" w:hAnsi="KaiTi"/>
          <w:szCs w:val="28"/>
        </w:rPr>
      </w:pPr>
      <w:r>
        <w:rPr>
          <w:rFonts w:ascii="KaiTi" w:eastAsia="KaiTi" w:hAnsi="KaiTi" w:hint="eastAsia"/>
          <w:szCs w:val="28"/>
        </w:rPr>
        <w:t>一、货币资金造假分析</w:t>
      </w:r>
      <w:r>
        <w:rPr>
          <w:rFonts w:ascii="KaiTi" w:eastAsia="KaiTi" w:hAnsi="KaiTi" w:cs="宋体" w:hint="eastAsia"/>
          <w:kern w:val="0"/>
          <w:szCs w:val="28"/>
        </w:rPr>
        <w:t>（</w:t>
      </w:r>
      <w:r>
        <w:rPr>
          <w:rFonts w:ascii="KaiTi" w:eastAsia="KaiTi" w:hAnsi="KaiTi" w:cs="宋体"/>
          <w:kern w:val="0"/>
          <w:szCs w:val="28"/>
        </w:rPr>
        <w:t>25</w:t>
      </w:r>
      <w:r>
        <w:rPr>
          <w:rFonts w:ascii="KaiTi" w:eastAsia="KaiTi" w:hAnsi="KaiTi" w:cs="宋体" w:hint="eastAsia"/>
          <w:kern w:val="0"/>
          <w:szCs w:val="28"/>
        </w:rPr>
        <w:t>分）</w:t>
      </w:r>
    </w:p>
    <w:p w14:paraId="5DBD2BA3" w14:textId="77777777" w:rsidR="005B2385" w:rsidRDefault="00A80AE7">
      <w:pPr>
        <w:pStyle w:val="01761"/>
      </w:pPr>
      <w:r>
        <w:rPr>
          <w:rFonts w:hint="eastAsia"/>
        </w:rPr>
        <w:t>1</w:t>
      </w:r>
      <w:r>
        <w:t>.分析思路：</w:t>
      </w:r>
    </w:p>
    <w:p w14:paraId="3D3FFB09" w14:textId="77777777" w:rsidR="005B2385" w:rsidRDefault="00A80AE7">
      <w:pPr>
        <w:ind w:firstLineChars="0" w:firstLine="0"/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3B0735DA" wp14:editId="1EA9CBCE">
            <wp:extent cx="4950460" cy="23406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4049" cy="234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62EE" w14:textId="77777777" w:rsidR="005B2385" w:rsidRDefault="005B2385">
      <w:pPr>
        <w:ind w:firstLine="480"/>
        <w:rPr>
          <w:rFonts w:ascii="KaiTi" w:eastAsia="KaiTi" w:hAnsi="KaiTi"/>
        </w:rPr>
      </w:pPr>
    </w:p>
    <w:p w14:paraId="23763C6C" w14:textId="77777777" w:rsidR="005B2385" w:rsidRDefault="00A80AE7">
      <w:pPr>
        <w:pStyle w:val="01761"/>
      </w:pPr>
      <w:bookmarkStart w:id="0" w:name="_Hlk52267060"/>
      <w:r>
        <w:rPr>
          <w:rFonts w:hint="eastAsia"/>
        </w:rPr>
        <w:t>2</w:t>
      </w:r>
      <w:r>
        <w:t>.</w:t>
      </w:r>
      <w:bookmarkEnd w:id="0"/>
      <w:r>
        <w:rPr>
          <w:rFonts w:hint="eastAsia"/>
        </w:rPr>
        <w:t xml:space="preserve"> 数据收集汇总：利息支出、净利润及指标计算</w:t>
      </w:r>
    </w:p>
    <w:p w14:paraId="09F8CDA9" w14:textId="77777777" w:rsidR="005B2385" w:rsidRDefault="00A80AE7">
      <w:pPr>
        <w:ind w:right="480" w:firstLine="482"/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 xml:space="preserve"> </w:t>
      </w:r>
      <w:r>
        <w:rPr>
          <w:rFonts w:ascii="KaiTi" w:eastAsia="KaiTi" w:hAnsi="KaiTi"/>
          <w:b/>
          <w:bCs/>
        </w:rPr>
        <w:t xml:space="preserve">                                               </w:t>
      </w:r>
      <w:r>
        <w:rPr>
          <w:rFonts w:ascii="KaiTi" w:eastAsia="KaiTi" w:hAnsi="KaiTi" w:hint="eastAsia"/>
          <w:b/>
          <w:bCs/>
        </w:rPr>
        <w:t>单位：亿元</w:t>
      </w:r>
    </w:p>
    <w:tbl>
      <w:tblPr>
        <w:tblW w:w="8760" w:type="dxa"/>
        <w:tblLayout w:type="fixed"/>
        <w:tblLook w:val="04A0" w:firstRow="1" w:lastRow="0" w:firstColumn="1" w:lastColumn="0" w:noHBand="0" w:noVBand="1"/>
      </w:tblPr>
      <w:tblGrid>
        <w:gridCol w:w="2080"/>
        <w:gridCol w:w="1100"/>
        <w:gridCol w:w="1100"/>
        <w:gridCol w:w="1100"/>
        <w:gridCol w:w="1100"/>
        <w:gridCol w:w="1100"/>
        <w:gridCol w:w="1180"/>
      </w:tblGrid>
      <w:tr w:rsidR="005B2385" w14:paraId="1C04AF22" w14:textId="77777777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28F6786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lastRenderedPageBreak/>
              <w:t>看货币资金造假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1274EC9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2AA638E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5E19EAE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7B914BD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1017F7D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2020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28AA5BB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</w:p>
        </w:tc>
      </w:tr>
      <w:tr w:rsidR="005B2385" w14:paraId="5368C80C" w14:textId="77777777">
        <w:trPr>
          <w:trHeight w:val="324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BF67A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利息支出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BF9046F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0.28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2BCCCC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5C89F9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B25E374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2793DCB7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E8730D2" w14:textId="77777777" w:rsidR="005B2385" w:rsidRDefault="00A80AE7">
            <w:pPr>
              <w:widowControl/>
              <w:spacing w:line="240" w:lineRule="auto"/>
              <w:ind w:firstLineChars="0" w:firstLine="0"/>
              <w:jc w:val="left"/>
              <w:rPr>
                <w:rFonts w:ascii="KaiTi" w:eastAsia="KaiTi" w:hAnsi="KaiTi" w:cs="宋体"/>
                <w:color w:val="4472C4"/>
                <w:kern w:val="0"/>
              </w:rPr>
            </w:pPr>
            <w:r>
              <w:rPr>
                <w:rFonts w:ascii="KaiTi" w:eastAsia="KaiTi" w:hAnsi="KaiTi" w:cs="宋体" w:hint="eastAsia"/>
                <w:color w:val="4472C4"/>
                <w:kern w:val="0"/>
              </w:rPr>
              <w:t>解析1</w:t>
            </w:r>
          </w:p>
        </w:tc>
      </w:tr>
      <w:tr w:rsidR="005B2385" w14:paraId="6EC87CDD" w14:textId="77777777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CF539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净利润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C6C2E4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58.05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2F6232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66.19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D6E8E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81.15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B311B0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73.86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BA3FE4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74.85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0C31D517" w14:textId="77777777" w:rsidR="005B2385" w:rsidRDefault="005B2385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B2385" w14:paraId="26567935" w14:textId="77777777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6B1C4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利息支出/净利润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27A7BA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0.48%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5A7AA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0.00%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209B6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0.00%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FF6C1D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0.01%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48774606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2C623C1" w14:textId="77777777" w:rsidR="005B2385" w:rsidRDefault="005B2385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5E74B4C7" w14:textId="77777777" w:rsidR="005B2385" w:rsidRDefault="005B2385">
      <w:pPr>
        <w:pStyle w:val="017"/>
        <w:ind w:firstLineChars="0" w:firstLine="0"/>
      </w:pPr>
    </w:p>
    <w:p w14:paraId="3E481DEB" w14:textId="77777777" w:rsidR="005B2385" w:rsidRDefault="00A80AE7">
      <w:pPr>
        <w:pStyle w:val="01761"/>
      </w:pPr>
      <w:r>
        <w:rPr>
          <w:rFonts w:hint="eastAsia"/>
        </w:rPr>
        <w:t>3.分析各年变化趋势</w:t>
      </w:r>
    </w:p>
    <w:p w14:paraId="6FB0A23A" w14:textId="77777777" w:rsidR="005B2385" w:rsidRDefault="00A80AE7">
      <w:pPr>
        <w:pStyle w:val="017"/>
        <w:rPr>
          <w:b/>
          <w:bCs/>
          <w:color w:val="C45911" w:themeColor="accent2" w:themeShade="BF"/>
        </w:rPr>
      </w:pPr>
      <w:r>
        <w:rPr>
          <w:rFonts w:hint="eastAsia"/>
        </w:rPr>
        <w:t>根据计算可以看出，洋河股份201</w:t>
      </w:r>
      <w:r>
        <w:t>6</w:t>
      </w:r>
      <w:r>
        <w:rPr>
          <w:rFonts w:hint="eastAsia"/>
        </w:rPr>
        <w:t>-20</w:t>
      </w:r>
      <w:r>
        <w:t>20</w:t>
      </w:r>
      <w:r>
        <w:rPr>
          <w:rFonts w:hint="eastAsia"/>
        </w:rPr>
        <w:t>年利息支出占净利润的比值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b/>
          <w:bCs/>
          <w:color w:val="C45911" w:themeColor="accent2" w:themeShade="BF"/>
        </w:rPr>
        <w:t>（选项：大于1</w:t>
      </w:r>
      <w:r>
        <w:rPr>
          <w:b/>
          <w:bCs/>
          <w:color w:val="C45911" w:themeColor="accent2" w:themeShade="BF"/>
        </w:rPr>
        <w:t>0</w:t>
      </w:r>
      <w:r>
        <w:rPr>
          <w:rFonts w:hint="eastAsia"/>
          <w:b/>
          <w:bCs/>
          <w:color w:val="C45911" w:themeColor="accent2" w:themeShade="BF"/>
        </w:rPr>
        <w:t>%或小于1</w:t>
      </w:r>
      <w:r>
        <w:rPr>
          <w:b/>
          <w:bCs/>
          <w:color w:val="C45911" w:themeColor="accent2" w:themeShade="BF"/>
        </w:rPr>
        <w:t>0</w:t>
      </w:r>
      <w:r>
        <w:rPr>
          <w:rFonts w:hint="eastAsia"/>
          <w:b/>
          <w:bCs/>
          <w:color w:val="C45911" w:themeColor="accent2" w:themeShade="BF"/>
        </w:rPr>
        <w:t>%）</w:t>
      </w:r>
      <w:r>
        <w:rPr>
          <w:rFonts w:hint="eastAsia"/>
        </w:rPr>
        <w:t>，说明有息负债金额是比较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b/>
          <w:bCs/>
          <w:color w:val="C45911" w:themeColor="accent2" w:themeShade="BF"/>
        </w:rPr>
        <w:t>（选项：大的或小的）</w:t>
      </w:r>
      <w:r>
        <w:rPr>
          <w:rFonts w:hint="eastAsia"/>
        </w:rPr>
        <w:t>，货币资金科目造假的风险相对</w:t>
      </w:r>
      <w:r>
        <w:rPr>
          <w:u w:val="single"/>
        </w:rPr>
        <w:t xml:space="preserve">     </w:t>
      </w:r>
      <w:r>
        <w:rPr>
          <w:rFonts w:hint="eastAsia"/>
          <w:b/>
          <w:bCs/>
          <w:color w:val="C45911" w:themeColor="accent2" w:themeShade="BF"/>
        </w:rPr>
        <w:t>（参照以上货币资金的思维导图得出结论，选项：较大或较小）。</w:t>
      </w:r>
    </w:p>
    <w:p w14:paraId="664C6D73" w14:textId="77777777" w:rsidR="005B2385" w:rsidRDefault="00A80AE7">
      <w:pPr>
        <w:pStyle w:val="01761"/>
      </w:pPr>
      <w:r>
        <w:rPr>
          <w:rFonts w:hint="eastAsia"/>
        </w:rPr>
        <w:t>4.根据分析得出结论：</w:t>
      </w:r>
    </w:p>
    <w:p w14:paraId="1D0FC1A7" w14:textId="77777777" w:rsidR="005B2385" w:rsidRDefault="00A80AE7">
      <w:pPr>
        <w:pStyle w:val="017"/>
      </w:pPr>
      <w:r>
        <w:rPr>
          <w:rFonts w:hint="eastAsia"/>
        </w:rPr>
        <w:t>根据以上分析，我们可以判断洋河股份的货币资金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b/>
          <w:bCs/>
          <w:color w:val="C45911" w:themeColor="accent2" w:themeShade="BF"/>
        </w:rPr>
        <w:t>（参照以上货币资金的思维导图得出结论，存在或不存在）</w:t>
      </w:r>
      <w:r>
        <w:rPr>
          <w:rFonts w:hint="eastAsia"/>
        </w:rPr>
        <w:t>财务造假的风险。</w:t>
      </w:r>
    </w:p>
    <w:p w14:paraId="0084D43A" w14:textId="77777777" w:rsidR="005B2385" w:rsidRDefault="005B2385">
      <w:pPr>
        <w:pStyle w:val="017"/>
      </w:pPr>
    </w:p>
    <w:p w14:paraId="02CE5D29" w14:textId="77777777" w:rsidR="005B2385" w:rsidRDefault="00A80AE7">
      <w:pPr>
        <w:pStyle w:val="3"/>
        <w:rPr>
          <w:rFonts w:ascii="KaiTi" w:eastAsia="KaiTi" w:hAnsi="KaiTi"/>
          <w:szCs w:val="28"/>
        </w:rPr>
      </w:pPr>
      <w:r>
        <w:rPr>
          <w:rFonts w:ascii="KaiTi" w:eastAsia="KaiTi" w:hAnsi="KaiTi" w:hint="eastAsia"/>
          <w:szCs w:val="28"/>
        </w:rPr>
        <w:t>二、应收账款造假分析</w:t>
      </w:r>
      <w:r>
        <w:rPr>
          <w:rFonts w:ascii="KaiTi" w:eastAsia="KaiTi" w:hAnsi="KaiTi" w:cs="宋体" w:hint="eastAsia"/>
          <w:kern w:val="0"/>
          <w:szCs w:val="28"/>
        </w:rPr>
        <w:t>（</w:t>
      </w:r>
      <w:r>
        <w:rPr>
          <w:rFonts w:ascii="KaiTi" w:eastAsia="KaiTi" w:hAnsi="KaiTi" w:cs="宋体"/>
          <w:kern w:val="0"/>
          <w:szCs w:val="28"/>
        </w:rPr>
        <w:t>25</w:t>
      </w:r>
      <w:r>
        <w:rPr>
          <w:rFonts w:ascii="KaiTi" w:eastAsia="KaiTi" w:hAnsi="KaiTi" w:cs="宋体" w:hint="eastAsia"/>
          <w:kern w:val="0"/>
          <w:szCs w:val="28"/>
        </w:rPr>
        <w:t>分）</w:t>
      </w:r>
    </w:p>
    <w:p w14:paraId="41D8A831" w14:textId="77777777" w:rsidR="005B2385" w:rsidRDefault="00A80AE7">
      <w:pPr>
        <w:pStyle w:val="01761"/>
      </w:pPr>
      <w:r>
        <w:rPr>
          <w:rFonts w:hint="eastAsia"/>
        </w:rPr>
        <w:t>1</w:t>
      </w:r>
      <w:r>
        <w:t>.分析思路：</w:t>
      </w:r>
    </w:p>
    <w:p w14:paraId="2FB92AEA" w14:textId="77777777" w:rsidR="005B2385" w:rsidRDefault="00A80AE7">
      <w:pPr>
        <w:ind w:firstLineChars="0" w:firstLine="0"/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72FC6EFB" wp14:editId="593A8885">
            <wp:extent cx="4629150" cy="230759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4985" cy="231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02CB2" w14:textId="77777777" w:rsidR="005B2385" w:rsidRDefault="00A80AE7">
      <w:pPr>
        <w:pStyle w:val="01761"/>
      </w:pPr>
      <w:r>
        <w:rPr>
          <w:rFonts w:hint="eastAsia"/>
        </w:rPr>
        <w:t>2</w:t>
      </w:r>
      <w:r>
        <w:t>.</w:t>
      </w:r>
      <w:bookmarkStart w:id="1" w:name="_Hlk45877664"/>
      <w:r>
        <w:rPr>
          <w:rFonts w:hint="eastAsia"/>
        </w:rPr>
        <w:t>数据收集汇总：应收账款、资产总计</w:t>
      </w:r>
      <w:bookmarkEnd w:id="1"/>
      <w:r>
        <w:rPr>
          <w:rFonts w:hint="eastAsia"/>
        </w:rPr>
        <w:t>并计算应收</w:t>
      </w:r>
      <w:proofErr w:type="gramStart"/>
      <w:r>
        <w:rPr>
          <w:rFonts w:hint="eastAsia"/>
        </w:rPr>
        <w:t>账款占</w:t>
      </w:r>
      <w:proofErr w:type="gramEnd"/>
      <w:r>
        <w:rPr>
          <w:rFonts w:hint="eastAsia"/>
        </w:rPr>
        <w:t>资产总计的比值</w:t>
      </w:r>
    </w:p>
    <w:p w14:paraId="1AAF92C4" w14:textId="77777777" w:rsidR="005B2385" w:rsidRDefault="00A80AE7">
      <w:pPr>
        <w:ind w:firstLineChars="2700" w:firstLine="6505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>单位：亿元</w:t>
      </w:r>
    </w:p>
    <w:tbl>
      <w:tblPr>
        <w:tblW w:w="9054" w:type="dxa"/>
        <w:tblInd w:w="-294" w:type="dxa"/>
        <w:tblLayout w:type="fixed"/>
        <w:tblLook w:val="04A0" w:firstRow="1" w:lastRow="0" w:firstColumn="1" w:lastColumn="0" w:noHBand="0" w:noVBand="1"/>
      </w:tblPr>
      <w:tblGrid>
        <w:gridCol w:w="2552"/>
        <w:gridCol w:w="922"/>
        <w:gridCol w:w="1100"/>
        <w:gridCol w:w="1100"/>
        <w:gridCol w:w="1100"/>
        <w:gridCol w:w="1100"/>
        <w:gridCol w:w="1180"/>
      </w:tblGrid>
      <w:tr w:rsidR="005B2385" w14:paraId="712079AE" w14:textId="77777777">
        <w:trPr>
          <w:trHeight w:val="333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5C9E2478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用应收账款看资产质量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39EA036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61928C1E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E16501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90B392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E9B785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2020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D65454D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</w:p>
        </w:tc>
      </w:tr>
      <w:tr w:rsidR="005B2385" w14:paraId="6CFED43F" w14:textId="77777777">
        <w:trPr>
          <w:trHeight w:val="32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E8F8D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应收账款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EB72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0.11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540B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F07563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D426B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0.16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4DDD11F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35071D61" w14:textId="77777777" w:rsidR="005B2385" w:rsidRDefault="00A80AE7">
            <w:pPr>
              <w:widowControl/>
              <w:spacing w:line="240" w:lineRule="auto"/>
              <w:ind w:firstLineChars="0" w:firstLine="0"/>
              <w:jc w:val="left"/>
              <w:rPr>
                <w:rFonts w:ascii="KaiTi" w:eastAsia="KaiTi" w:hAnsi="KaiTi" w:cs="宋体"/>
                <w:color w:val="4472C4"/>
                <w:kern w:val="0"/>
              </w:rPr>
            </w:pPr>
            <w:r>
              <w:rPr>
                <w:rFonts w:ascii="KaiTi" w:eastAsia="KaiTi" w:hAnsi="KaiTi" w:cs="宋体" w:hint="eastAsia"/>
                <w:color w:val="4472C4"/>
                <w:kern w:val="0"/>
              </w:rPr>
              <w:t>解析2</w:t>
            </w:r>
          </w:p>
        </w:tc>
      </w:tr>
      <w:tr w:rsidR="005B2385" w14:paraId="4D1CA94B" w14:textId="77777777">
        <w:trPr>
          <w:trHeight w:val="32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21761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资产总计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BB2359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388.04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7D784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432.58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238FA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495.64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4C174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534.55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5A51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538.66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63AE97F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B2385" w14:paraId="19A9C421" w14:textId="77777777">
        <w:trPr>
          <w:trHeight w:val="324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F977B5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应收账款/资产总计</w:t>
            </w:r>
          </w:p>
        </w:tc>
        <w:tc>
          <w:tcPr>
            <w:tcW w:w="9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1636AF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0.03%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0B153D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0.02%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3AB60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0.01%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9650D1E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0.03%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34B5200D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39B58C8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20D5E6CE" w14:textId="77777777" w:rsidR="005B2385" w:rsidRDefault="005B2385">
      <w:pPr>
        <w:ind w:firstLineChars="0" w:firstLine="0"/>
        <w:rPr>
          <w:rFonts w:ascii="KaiTi" w:eastAsia="KaiTi" w:hAnsi="KaiTi"/>
          <w:b/>
          <w:bCs/>
        </w:rPr>
      </w:pPr>
    </w:p>
    <w:p w14:paraId="490424E2" w14:textId="77777777" w:rsidR="005B2385" w:rsidRDefault="00A80AE7">
      <w:pPr>
        <w:pStyle w:val="01761"/>
      </w:pPr>
      <w:r>
        <w:rPr>
          <w:rFonts w:hint="eastAsia"/>
        </w:rPr>
        <w:t>3.分析各年变化趋势</w:t>
      </w:r>
    </w:p>
    <w:p w14:paraId="3F07C6D9" w14:textId="77777777" w:rsidR="005B2385" w:rsidRDefault="00A80AE7">
      <w:pPr>
        <w:pStyle w:val="017"/>
        <w:rPr>
          <w:b/>
          <w:bCs/>
          <w:color w:val="C45911" w:themeColor="accent2" w:themeShade="BF"/>
        </w:rPr>
      </w:pPr>
      <w:r>
        <w:rPr>
          <w:rFonts w:hint="eastAsia"/>
        </w:rPr>
        <w:t>根据计算指标我们可以看出，洋河股份2</w:t>
      </w:r>
      <w:r>
        <w:t>016</w:t>
      </w:r>
      <w:r>
        <w:rPr>
          <w:rFonts w:hint="eastAsia"/>
        </w:rPr>
        <w:t>-</w:t>
      </w:r>
      <w:r>
        <w:t>2020</w:t>
      </w:r>
      <w:r>
        <w:rPr>
          <w:rFonts w:hint="eastAsia"/>
        </w:rPr>
        <w:t>年度应收</w:t>
      </w:r>
      <w:proofErr w:type="gramStart"/>
      <w:r>
        <w:rPr>
          <w:rFonts w:hint="eastAsia"/>
        </w:rPr>
        <w:t>账款占</w:t>
      </w:r>
      <w:proofErr w:type="gramEnd"/>
      <w:r>
        <w:rPr>
          <w:rFonts w:hint="eastAsia"/>
        </w:rPr>
        <w:t>总资产的比值分别为</w:t>
      </w:r>
      <w:r>
        <w:rPr>
          <w:u w:val="single"/>
        </w:rPr>
        <w:t xml:space="preserve">    </w:t>
      </w:r>
      <w:r>
        <w:rPr>
          <w:rFonts w:hint="eastAsia"/>
        </w:rPr>
        <w:t>%、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</w:rPr>
        <w:t>%、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</w:rPr>
        <w:t>%、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</w:rPr>
        <w:t>%、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</w:rPr>
        <w:t>%，占比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b/>
          <w:bCs/>
          <w:color w:val="C45911" w:themeColor="accent2" w:themeShade="BF"/>
        </w:rPr>
        <w:t>（很大或很小）</w:t>
      </w:r>
      <w:r>
        <w:rPr>
          <w:rFonts w:hint="eastAsia"/>
        </w:rPr>
        <w:t>，各年的变化</w:t>
      </w:r>
      <w:r>
        <w:rPr>
          <w:u w:val="single"/>
        </w:rPr>
        <w:t xml:space="preserve">     </w:t>
      </w:r>
      <w:r>
        <w:rPr>
          <w:rFonts w:hint="eastAsia"/>
          <w:b/>
          <w:bCs/>
          <w:color w:val="C45911" w:themeColor="accent2" w:themeShade="BF"/>
        </w:rPr>
        <w:t>（较大或较小）</w:t>
      </w:r>
      <w:r>
        <w:rPr>
          <w:rFonts w:hint="eastAsia"/>
        </w:rPr>
        <w:t>，所以</w:t>
      </w:r>
      <w:r>
        <w:rPr>
          <w:u w:val="single"/>
        </w:rPr>
        <w:t xml:space="preserve">                  </w:t>
      </w:r>
      <w:r>
        <w:rPr>
          <w:rFonts w:hint="eastAsia"/>
          <w:b/>
          <w:bCs/>
          <w:color w:val="C45911" w:themeColor="accent2" w:themeShade="BF"/>
        </w:rPr>
        <w:t>（参照以上应收账款思维导图得出结论：大于2</w:t>
      </w:r>
      <w:r>
        <w:rPr>
          <w:b/>
          <w:bCs/>
          <w:color w:val="C45911" w:themeColor="accent2" w:themeShade="BF"/>
        </w:rPr>
        <w:t>0</w:t>
      </w:r>
      <w:r>
        <w:rPr>
          <w:rFonts w:hint="eastAsia"/>
          <w:b/>
          <w:bCs/>
          <w:color w:val="C45911" w:themeColor="accent2" w:themeShade="BF"/>
        </w:rPr>
        <w:t>%，财务造假分析较大；小于1</w:t>
      </w:r>
      <w:r>
        <w:rPr>
          <w:b/>
          <w:bCs/>
          <w:color w:val="C45911" w:themeColor="accent2" w:themeShade="BF"/>
        </w:rPr>
        <w:t>5</w:t>
      </w:r>
      <w:r>
        <w:rPr>
          <w:rFonts w:hint="eastAsia"/>
          <w:b/>
          <w:bCs/>
          <w:color w:val="C45911" w:themeColor="accent2" w:themeShade="BF"/>
        </w:rPr>
        <w:t>%，</w:t>
      </w:r>
      <w:r>
        <w:rPr>
          <w:b/>
          <w:bCs/>
          <w:color w:val="C45911" w:themeColor="accent2" w:themeShade="BF"/>
        </w:rPr>
        <w:t xml:space="preserve"> </w:t>
      </w:r>
      <w:r>
        <w:rPr>
          <w:rFonts w:hint="eastAsia"/>
          <w:b/>
          <w:bCs/>
          <w:color w:val="C45911" w:themeColor="accent2" w:themeShade="BF"/>
        </w:rPr>
        <w:t>财务造假风险较小）</w:t>
      </w:r>
    </w:p>
    <w:p w14:paraId="28643705" w14:textId="77777777" w:rsidR="005B2385" w:rsidRDefault="00A80AE7">
      <w:pPr>
        <w:pStyle w:val="01761"/>
      </w:pPr>
      <w:r>
        <w:rPr>
          <w:rFonts w:hint="eastAsia"/>
        </w:rPr>
        <w:t>4</w:t>
      </w:r>
      <w:r>
        <w:t>.根据分析得出结论</w:t>
      </w:r>
    </w:p>
    <w:p w14:paraId="279F7989" w14:textId="77777777" w:rsidR="005B2385" w:rsidRDefault="00A80AE7">
      <w:pPr>
        <w:spacing w:line="360" w:lineRule="auto"/>
        <w:ind w:firstLineChars="0" w:firstLine="0"/>
        <w:rPr>
          <w:rFonts w:ascii="KaiTi" w:eastAsia="KaiTi" w:hAnsi="KaiTi"/>
          <w:b/>
          <w:bCs/>
          <w:color w:val="C45911" w:themeColor="accent2" w:themeShade="BF"/>
          <w:kern w:val="0"/>
        </w:rPr>
      </w:pPr>
      <w:r>
        <w:rPr>
          <w:rFonts w:ascii="KaiTi" w:eastAsia="KaiTi" w:hAnsi="KaiTi" w:hint="eastAsia"/>
        </w:rPr>
        <w:t>根据以上分析我们可以判断出，洋河股份应收账款的财务造假风险</w:t>
      </w:r>
      <w:r>
        <w:rPr>
          <w:rFonts w:ascii="KaiTi" w:eastAsia="KaiTi" w:hAnsi="KaiTi" w:hint="eastAsia"/>
          <w:u w:val="single"/>
        </w:rPr>
        <w:t xml:space="preserve"> </w:t>
      </w:r>
      <w:r>
        <w:rPr>
          <w:rFonts w:ascii="KaiTi" w:eastAsia="KaiTi" w:hAnsi="KaiTi"/>
          <w:u w:val="single"/>
        </w:rPr>
        <w:t xml:space="preserve">   </w:t>
      </w:r>
      <w:r>
        <w:rPr>
          <w:rFonts w:hint="eastAsia"/>
          <w:b/>
          <w:bCs/>
          <w:color w:val="C45911" w:themeColor="accent2" w:themeShade="BF"/>
        </w:rPr>
        <w:t>（</w:t>
      </w:r>
      <w:r>
        <w:rPr>
          <w:rFonts w:ascii="KaiTi" w:eastAsia="KaiTi" w:hAnsi="KaiTi" w:hint="eastAsia"/>
          <w:b/>
          <w:bCs/>
          <w:color w:val="C45911" w:themeColor="accent2" w:themeShade="BF"/>
        </w:rPr>
        <w:t>参照以上应收账款思维导图得出结论，</w:t>
      </w:r>
      <w:r>
        <w:rPr>
          <w:rFonts w:ascii="KaiTi" w:eastAsia="KaiTi" w:hAnsi="KaiTi" w:hint="eastAsia"/>
          <w:b/>
          <w:bCs/>
          <w:color w:val="C45911" w:themeColor="accent2" w:themeShade="BF"/>
          <w:kern w:val="0"/>
        </w:rPr>
        <w:t>选项：较大或较小）。</w:t>
      </w:r>
    </w:p>
    <w:p w14:paraId="2C063185" w14:textId="77777777" w:rsidR="005B2385" w:rsidRDefault="005B2385">
      <w:pPr>
        <w:widowControl/>
        <w:spacing w:line="360" w:lineRule="auto"/>
        <w:ind w:firstLineChars="0" w:firstLine="0"/>
        <w:jc w:val="left"/>
        <w:rPr>
          <w:rFonts w:ascii="KaiTi" w:eastAsia="KaiTi" w:hAnsi="KaiTi"/>
        </w:rPr>
      </w:pPr>
    </w:p>
    <w:p w14:paraId="04A6905D" w14:textId="77777777" w:rsidR="005B2385" w:rsidRDefault="00A80AE7">
      <w:pPr>
        <w:pStyle w:val="3"/>
        <w:rPr>
          <w:rFonts w:ascii="KaiTi" w:eastAsia="KaiTi" w:hAnsi="KaiTi" w:cs="宋体"/>
          <w:kern w:val="0"/>
          <w:szCs w:val="28"/>
        </w:rPr>
      </w:pPr>
      <w:r>
        <w:rPr>
          <w:rFonts w:ascii="KaiTi" w:eastAsia="KaiTi" w:hAnsi="KaiTi" w:hint="eastAsia"/>
          <w:szCs w:val="28"/>
        </w:rPr>
        <w:t>三、预付款项造假分析</w:t>
      </w:r>
      <w:r>
        <w:rPr>
          <w:rFonts w:ascii="KaiTi" w:eastAsia="KaiTi" w:hAnsi="KaiTi" w:cs="宋体" w:hint="eastAsia"/>
          <w:kern w:val="0"/>
          <w:szCs w:val="28"/>
        </w:rPr>
        <w:t>（</w:t>
      </w:r>
      <w:r>
        <w:rPr>
          <w:rFonts w:ascii="KaiTi" w:eastAsia="KaiTi" w:hAnsi="KaiTi" w:cs="宋体"/>
          <w:kern w:val="0"/>
          <w:szCs w:val="28"/>
        </w:rPr>
        <w:t>25</w:t>
      </w:r>
      <w:r>
        <w:rPr>
          <w:rFonts w:ascii="KaiTi" w:eastAsia="KaiTi" w:hAnsi="KaiTi" w:cs="宋体" w:hint="eastAsia"/>
          <w:kern w:val="0"/>
          <w:szCs w:val="28"/>
        </w:rPr>
        <w:t>分）</w:t>
      </w:r>
    </w:p>
    <w:p w14:paraId="04FCF97C" w14:textId="77777777" w:rsidR="005B2385" w:rsidRDefault="00A80AE7">
      <w:pPr>
        <w:pStyle w:val="01761"/>
      </w:pPr>
      <w:r>
        <w:rPr>
          <w:rFonts w:hint="eastAsia"/>
        </w:rPr>
        <w:t>1.分析思路</w:t>
      </w:r>
    </w:p>
    <w:p w14:paraId="77FBB846" w14:textId="77777777" w:rsidR="005B2385" w:rsidRDefault="00A80AE7">
      <w:pPr>
        <w:ind w:firstLine="480"/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3594418A" wp14:editId="13A32234">
            <wp:extent cx="4950460" cy="26346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046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5868" w14:textId="77777777" w:rsidR="005B2385" w:rsidRDefault="00A80AE7">
      <w:pPr>
        <w:pStyle w:val="01761"/>
      </w:pPr>
      <w:r>
        <w:rPr>
          <w:rFonts w:hint="eastAsia"/>
        </w:rPr>
        <w:t>2.数据收集汇总：预付款项、其他应收款、资产总计，并计算预付款项和其他应收款占资产总计的比值</w:t>
      </w:r>
    </w:p>
    <w:p w14:paraId="432154BD" w14:textId="77777777" w:rsidR="005B2385" w:rsidRDefault="00A80AE7">
      <w:pPr>
        <w:spacing w:line="240" w:lineRule="auto"/>
        <w:ind w:right="480" w:firstLine="482"/>
        <w:jc w:val="center"/>
        <w:rPr>
          <w:rFonts w:ascii="KaiTi" w:eastAsia="KaiTi" w:hAnsi="KaiTi"/>
          <w:b/>
          <w:bCs/>
        </w:rPr>
      </w:pPr>
      <w:r>
        <w:rPr>
          <w:rFonts w:ascii="KaiTi" w:eastAsia="KaiTi" w:hAnsi="KaiTi" w:hint="eastAsia"/>
          <w:b/>
          <w:bCs/>
        </w:rPr>
        <w:t xml:space="preserve"> </w:t>
      </w:r>
      <w:r>
        <w:rPr>
          <w:rFonts w:ascii="KaiTi" w:eastAsia="KaiTi" w:hAnsi="KaiTi"/>
          <w:b/>
          <w:bCs/>
        </w:rPr>
        <w:t xml:space="preserve">                                               </w:t>
      </w:r>
      <w:r>
        <w:rPr>
          <w:rFonts w:ascii="KaiTi" w:eastAsia="KaiTi" w:hAnsi="KaiTi" w:hint="eastAsia"/>
          <w:b/>
          <w:bCs/>
        </w:rPr>
        <w:t>单位：亿元</w:t>
      </w:r>
    </w:p>
    <w:tbl>
      <w:tblPr>
        <w:tblW w:w="9240" w:type="dxa"/>
        <w:tblLayout w:type="fixed"/>
        <w:tblLook w:val="04A0" w:firstRow="1" w:lastRow="0" w:firstColumn="1" w:lastColumn="0" w:noHBand="0" w:noVBand="1"/>
      </w:tblPr>
      <w:tblGrid>
        <w:gridCol w:w="2560"/>
        <w:gridCol w:w="1100"/>
        <w:gridCol w:w="1100"/>
        <w:gridCol w:w="1100"/>
        <w:gridCol w:w="1100"/>
        <w:gridCol w:w="1100"/>
        <w:gridCol w:w="1180"/>
      </w:tblGrid>
      <w:tr w:rsidR="005B2385" w14:paraId="69B63C46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70BCB10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用预付款项看资产质量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11E00F4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5BB686A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0459BF6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021034AD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2C1800D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2020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45A5D33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</w:p>
        </w:tc>
      </w:tr>
      <w:tr w:rsidR="005B2385" w14:paraId="51DE1C76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345F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预付款项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0FC3D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0.69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9B26E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0.87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9EE1D4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4A60E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2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6C73499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1DDA1180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4472C4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4472C4"/>
                <w:kern w:val="0"/>
                <w:sz w:val="22"/>
                <w:szCs w:val="22"/>
              </w:rPr>
              <w:t>解析3</w:t>
            </w:r>
          </w:p>
        </w:tc>
      </w:tr>
      <w:tr w:rsidR="005B2385" w14:paraId="6390B342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6C73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其他应收款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45557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1.11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ED3AF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0.57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FC8D38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0.48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C2759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0.38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2126BA7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5CC2412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4472C4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4472C4"/>
                <w:kern w:val="0"/>
                <w:sz w:val="22"/>
                <w:szCs w:val="22"/>
              </w:rPr>
              <w:t>解析3</w:t>
            </w:r>
          </w:p>
        </w:tc>
      </w:tr>
      <w:tr w:rsidR="005B2385" w14:paraId="6C098243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39DA52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资产总计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79527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388.04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5E1898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432.58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E245E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495.64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9F873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534.55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13A8C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538.66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3F3CBA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B2385" w14:paraId="01DB8FF4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7244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预付款项+其他应收款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F9671E9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1.8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99CB623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1.44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0422E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0.67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BC9924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1"/>
                <w:szCs w:val="21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1"/>
                <w:szCs w:val="21"/>
              </w:rPr>
              <w:t>2.38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3F4BD903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BD1273F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B2385" w14:paraId="59B327EB" w14:textId="77777777">
        <w:trPr>
          <w:trHeight w:val="588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2E44FA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（预付款项+其他应收款）/总资产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1913A7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0.46%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3963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0.33%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8762D0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0.13%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A8FFE3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0.44%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466D8BB8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7395ED07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</w:tbl>
    <w:p w14:paraId="490F3E4F" w14:textId="77777777" w:rsidR="005B2385" w:rsidRDefault="005B2385">
      <w:pPr>
        <w:spacing w:line="240" w:lineRule="auto"/>
        <w:ind w:right="480" w:firstLineChars="0" w:firstLine="0"/>
        <w:rPr>
          <w:rFonts w:ascii="KaiTi" w:eastAsia="KaiTi" w:hAnsi="KaiTi"/>
          <w:b/>
          <w:bCs/>
        </w:rPr>
      </w:pPr>
    </w:p>
    <w:p w14:paraId="68D631AA" w14:textId="77777777" w:rsidR="005B2385" w:rsidRDefault="00A80AE7">
      <w:pPr>
        <w:pStyle w:val="01761"/>
      </w:pPr>
      <w:r>
        <w:rPr>
          <w:rFonts w:hint="eastAsia"/>
        </w:rPr>
        <w:t>3.分析各年变化趋势</w:t>
      </w:r>
    </w:p>
    <w:p w14:paraId="7C3C4635" w14:textId="77777777" w:rsidR="005B2385" w:rsidRDefault="00A80AE7">
      <w:pPr>
        <w:pStyle w:val="017"/>
      </w:pPr>
      <w:r>
        <w:rPr>
          <w:rFonts w:hint="eastAsia"/>
        </w:rPr>
        <w:t>洋河股份</w:t>
      </w:r>
      <w:r>
        <w:t>2016-2020年预付款项</w:t>
      </w:r>
      <w:r>
        <w:rPr>
          <w:rFonts w:hint="eastAsia"/>
        </w:rPr>
        <w:t>与其他应收款之和占总资产</w:t>
      </w:r>
      <w:r>
        <w:t>的比率分别为：0.46%、0.33%、0.13%、</w:t>
      </w:r>
      <w:r>
        <w:rPr>
          <w:rFonts w:hint="eastAsia"/>
        </w:rPr>
        <w:t>0</w:t>
      </w:r>
      <w:r>
        <w:t>.44</w:t>
      </w:r>
      <w:r>
        <w:rPr>
          <w:rFonts w:hint="eastAsia"/>
        </w:rPr>
        <w:t>%、</w:t>
      </w:r>
      <w:r>
        <w:rPr>
          <w:u w:val="single"/>
        </w:rPr>
        <w:t xml:space="preserve">     </w:t>
      </w:r>
      <w:r>
        <w:rPr>
          <w:rFonts w:hint="eastAsia"/>
        </w:rPr>
        <w:t>，均远小于1</w:t>
      </w:r>
      <w:r>
        <w:t>0</w:t>
      </w:r>
      <w:r>
        <w:rPr>
          <w:rFonts w:hint="eastAsia"/>
        </w:rPr>
        <w:t>%，无明显变化趋势，所以洋河股份通过与关联方之间的预付款项、其他应收款进行财务造假的可能性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</w:t>
      </w:r>
      <w:r>
        <w:rPr>
          <w:rFonts w:hint="eastAsia"/>
          <w:b/>
          <w:bCs/>
          <w:color w:val="C45911" w:themeColor="accent2" w:themeShade="BF"/>
        </w:rPr>
        <w:t>（参照以上预付款项思维导图得出结论，选项：较大或较小）</w:t>
      </w:r>
      <w:r>
        <w:rPr>
          <w:rFonts w:hint="eastAsia"/>
        </w:rPr>
        <w:t>。</w:t>
      </w:r>
    </w:p>
    <w:p w14:paraId="2F5E5E55" w14:textId="77777777" w:rsidR="005B2385" w:rsidRDefault="00A80AE7">
      <w:pPr>
        <w:pStyle w:val="01761"/>
      </w:pPr>
      <w:r>
        <w:rPr>
          <w:rFonts w:hint="eastAsia"/>
        </w:rPr>
        <w:t>4.根据分析得出结论</w:t>
      </w:r>
    </w:p>
    <w:p w14:paraId="5255BF1D" w14:textId="77777777" w:rsidR="005B2385" w:rsidRDefault="00A80AE7">
      <w:pPr>
        <w:pStyle w:val="017"/>
      </w:pPr>
      <w:r>
        <w:rPr>
          <w:rFonts w:hint="eastAsia"/>
        </w:rPr>
        <w:t>根据以上分析我们可以</w:t>
      </w:r>
      <w:r>
        <w:t>判断</w:t>
      </w:r>
      <w:r>
        <w:rPr>
          <w:rFonts w:hint="eastAsia"/>
        </w:rPr>
        <w:t>出洋</w:t>
      </w:r>
      <w:proofErr w:type="gramStart"/>
      <w:r>
        <w:rPr>
          <w:rFonts w:hint="eastAsia"/>
        </w:rPr>
        <w:t>河股份</w:t>
      </w:r>
      <w:proofErr w:type="gramEnd"/>
      <w:r>
        <w:rPr>
          <w:rFonts w:hint="eastAsia"/>
        </w:rPr>
        <w:t>预付款项的财务造假风险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</w:t>
      </w:r>
      <w:r>
        <w:rPr>
          <w:rFonts w:hint="eastAsia"/>
          <w:b/>
          <w:bCs/>
          <w:color w:val="C45911" w:themeColor="accent2" w:themeShade="BF"/>
        </w:rPr>
        <w:t>（参照以上预付款项思维导图得出结论，选项：较大或较小）</w:t>
      </w:r>
      <w:r>
        <w:rPr>
          <w:rFonts w:hint="eastAsia"/>
        </w:rPr>
        <w:t>。</w:t>
      </w:r>
    </w:p>
    <w:p w14:paraId="3E91AC61" w14:textId="77777777" w:rsidR="005B2385" w:rsidRDefault="00A80AE7">
      <w:pPr>
        <w:pStyle w:val="3"/>
        <w:rPr>
          <w:rFonts w:ascii="KaiTi" w:eastAsia="KaiTi" w:hAnsi="KaiTi"/>
          <w:b w:val="0"/>
        </w:rPr>
      </w:pPr>
      <w:r>
        <w:rPr>
          <w:rFonts w:ascii="KaiTi" w:eastAsia="KaiTi" w:hAnsi="KaiTi" w:hint="eastAsia"/>
        </w:rPr>
        <w:t>四、在建工程造假分析（2</w:t>
      </w:r>
      <w:r>
        <w:rPr>
          <w:rFonts w:ascii="KaiTi" w:eastAsia="KaiTi" w:hAnsi="KaiTi"/>
        </w:rPr>
        <w:t>5</w:t>
      </w:r>
      <w:r>
        <w:rPr>
          <w:rFonts w:ascii="KaiTi" w:eastAsia="KaiTi" w:hAnsi="KaiTi" w:hint="eastAsia"/>
        </w:rPr>
        <w:t>分）</w:t>
      </w:r>
    </w:p>
    <w:p w14:paraId="758ECDD7" w14:textId="77777777" w:rsidR="005B2385" w:rsidRDefault="00A80AE7">
      <w:pPr>
        <w:pStyle w:val="01761"/>
      </w:pPr>
      <w:r>
        <w:rPr>
          <w:rFonts w:hint="eastAsia"/>
        </w:rPr>
        <w:t>1.分析思路</w:t>
      </w:r>
    </w:p>
    <w:p w14:paraId="027BB1B0" w14:textId="77777777" w:rsidR="005B2385" w:rsidRDefault="00A80AE7">
      <w:pPr>
        <w:pStyle w:val="af1"/>
        <w:spacing w:before="163" w:after="163"/>
        <w:ind w:firstLine="480"/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7463DAE9" wp14:editId="35D21B6D">
            <wp:extent cx="5187950" cy="242379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0399" cy="2425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C54B9" w14:textId="77777777" w:rsidR="005B2385" w:rsidRDefault="00A80AE7">
      <w:pPr>
        <w:pStyle w:val="01761"/>
      </w:pPr>
      <w:r>
        <w:rPr>
          <w:rFonts w:hint="eastAsia"/>
        </w:rPr>
        <w:t>2.数据收集汇总：在建工程、资产总计，并计算在建工程占资产总计的比值</w:t>
      </w:r>
    </w:p>
    <w:tbl>
      <w:tblPr>
        <w:tblW w:w="9240" w:type="dxa"/>
        <w:tblLayout w:type="fixed"/>
        <w:tblLook w:val="04A0" w:firstRow="1" w:lastRow="0" w:firstColumn="1" w:lastColumn="0" w:noHBand="0" w:noVBand="1"/>
      </w:tblPr>
      <w:tblGrid>
        <w:gridCol w:w="2560"/>
        <w:gridCol w:w="1100"/>
        <w:gridCol w:w="1100"/>
        <w:gridCol w:w="1100"/>
        <w:gridCol w:w="1100"/>
        <w:gridCol w:w="1100"/>
        <w:gridCol w:w="1180"/>
      </w:tblGrid>
      <w:tr w:rsidR="005B2385" w14:paraId="5A3E156A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172B285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看在建工程造假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6DB81228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2016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499D8656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2017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3B376A2F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57F157DA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2019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</w:tcPr>
          <w:p w14:paraId="60C42AA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>2020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0A5F893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</w:p>
        </w:tc>
      </w:tr>
      <w:tr w:rsidR="005B2385" w14:paraId="6A505866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C86092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在建工程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2D8B72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5.45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4B560D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2.35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310F1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1.55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B8039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2.63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0212F96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2CF5BC95" w14:textId="77777777" w:rsidR="005B2385" w:rsidRDefault="00A80AE7">
            <w:pPr>
              <w:widowControl/>
              <w:spacing w:line="240" w:lineRule="auto"/>
              <w:ind w:firstLineChars="0" w:firstLine="0"/>
              <w:jc w:val="right"/>
              <w:rPr>
                <w:rFonts w:ascii="KaiTi" w:eastAsia="KaiTi" w:hAnsi="KaiTi" w:cs="宋体"/>
                <w:color w:val="4472C4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4472C4"/>
                <w:kern w:val="0"/>
                <w:sz w:val="22"/>
                <w:szCs w:val="22"/>
              </w:rPr>
              <w:t>解析4</w:t>
            </w:r>
          </w:p>
        </w:tc>
      </w:tr>
      <w:tr w:rsidR="005B2385" w14:paraId="02030A5E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41B5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资产总计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191E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388.04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955FF09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432.58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25F31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495.64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EC2FC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534.55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F2688B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538.66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5AA1889E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</w:p>
        </w:tc>
      </w:tr>
      <w:tr w:rsidR="005B2385" w14:paraId="00F2E0E2" w14:textId="77777777">
        <w:trPr>
          <w:trHeight w:val="324"/>
        </w:trPr>
        <w:tc>
          <w:tcPr>
            <w:tcW w:w="2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B15A04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在建工程/总资产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D72931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1.41%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0541032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0.54%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FE2E60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0.31%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945D50C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color w:val="000000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color w:val="000000"/>
                <w:kern w:val="0"/>
                <w:sz w:val="22"/>
                <w:szCs w:val="22"/>
              </w:rPr>
              <w:t>0.49%</w:t>
            </w:r>
          </w:p>
        </w:tc>
        <w:tc>
          <w:tcPr>
            <w:tcW w:w="1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</w:tcPr>
          <w:p w14:paraId="270ADB5E" w14:textId="77777777" w:rsidR="005B2385" w:rsidRDefault="00A80AE7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  <w:r>
              <w:rPr>
                <w:rFonts w:ascii="KaiTi" w:eastAsia="KaiTi" w:hAnsi="KaiTi" w:cs="宋体" w:hint="eastAsia"/>
                <w:b/>
                <w:bCs/>
                <w:color w:val="FFFFFF"/>
                <w:kern w:val="0"/>
                <w:sz w:val="22"/>
                <w:szCs w:val="22"/>
              </w:rPr>
              <w:t xml:space="preserve">　</w:t>
            </w:r>
          </w:p>
        </w:tc>
        <w:tc>
          <w:tcPr>
            <w:tcW w:w="118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</w:tcPr>
          <w:p w14:paraId="668E6CDA" w14:textId="77777777" w:rsidR="005B2385" w:rsidRDefault="005B2385">
            <w:pPr>
              <w:widowControl/>
              <w:spacing w:line="240" w:lineRule="auto"/>
              <w:ind w:firstLineChars="0" w:firstLine="0"/>
              <w:jc w:val="center"/>
              <w:rPr>
                <w:rFonts w:ascii="KaiTi" w:eastAsia="KaiTi" w:hAnsi="KaiTi" w:cs="宋体"/>
                <w:b/>
                <w:bCs/>
                <w:color w:val="FFFFFF"/>
                <w:kern w:val="0"/>
                <w:sz w:val="22"/>
                <w:szCs w:val="22"/>
              </w:rPr>
            </w:pPr>
          </w:p>
        </w:tc>
      </w:tr>
    </w:tbl>
    <w:p w14:paraId="00A9F0FB" w14:textId="77777777" w:rsidR="005B2385" w:rsidRDefault="00A80AE7">
      <w:pPr>
        <w:pStyle w:val="01761"/>
        <w:ind w:firstLineChars="0" w:firstLine="0"/>
      </w:pPr>
      <w:r>
        <w:rPr>
          <w:rFonts w:hint="eastAsia"/>
        </w:rPr>
        <w:t>3. 分析各年变化趋势</w:t>
      </w:r>
    </w:p>
    <w:p w14:paraId="128E8D7A" w14:textId="77777777" w:rsidR="005B2385" w:rsidRDefault="00A80AE7">
      <w:pPr>
        <w:pStyle w:val="017"/>
      </w:pPr>
      <w:r>
        <w:rPr>
          <w:rFonts w:hint="eastAsia"/>
        </w:rPr>
        <w:t>正常企业的在建工程占资产总计的比例相对稳定，洋河股份的在建工程占资产总计的比例2</w:t>
      </w:r>
      <w:r>
        <w:t>016</w:t>
      </w:r>
      <w:r>
        <w:rPr>
          <w:rFonts w:hint="eastAsia"/>
        </w:rPr>
        <w:t>-</w:t>
      </w:r>
      <w:r>
        <w:t>2020</w:t>
      </w:r>
      <w:r>
        <w:rPr>
          <w:rFonts w:hint="eastAsia"/>
        </w:rPr>
        <w:t>年分别是1</w:t>
      </w:r>
      <w:r>
        <w:t>.41</w:t>
      </w:r>
      <w:r>
        <w:rPr>
          <w:rFonts w:hint="eastAsia"/>
        </w:rPr>
        <w:t>%、0</w:t>
      </w:r>
      <w:r>
        <w:t>.54</w:t>
      </w:r>
      <w:r>
        <w:rPr>
          <w:rFonts w:hint="eastAsia"/>
        </w:rPr>
        <w:t>%、0</w:t>
      </w:r>
      <w:r>
        <w:t>.31</w:t>
      </w:r>
      <w:r>
        <w:rPr>
          <w:rFonts w:hint="eastAsia"/>
        </w:rPr>
        <w:t>%、0</w:t>
      </w:r>
      <w:r>
        <w:t>.49</w:t>
      </w:r>
      <w:r>
        <w:rPr>
          <w:rFonts w:hint="eastAsia"/>
        </w:rPr>
        <w:t>%</w:t>
      </w:r>
      <w:r>
        <w:rPr>
          <w:u w:val="single"/>
        </w:rPr>
        <w:t xml:space="preserve">     </w:t>
      </w:r>
      <w:r>
        <w:rPr>
          <w:rFonts w:hint="eastAsia"/>
        </w:rPr>
        <w:t>，表现出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rPr>
          <w:rFonts w:hint="eastAsia"/>
          <w:b/>
          <w:bCs/>
          <w:color w:val="C45911" w:themeColor="accent2" w:themeShade="BF"/>
        </w:rPr>
        <w:t>（选项：上升或下降）</w:t>
      </w:r>
      <w:r>
        <w:rPr>
          <w:rFonts w:hint="eastAsia"/>
        </w:rPr>
        <w:t>的趋势，通过在建工程虚增收入的可能性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rFonts w:hint="eastAsia"/>
          <w:b/>
          <w:bCs/>
          <w:color w:val="C45911" w:themeColor="accent2" w:themeShade="BF"/>
        </w:rPr>
        <w:t>（参照以上在建工程思维导图得出结论，选项：较大或较小）</w:t>
      </w:r>
    </w:p>
    <w:p w14:paraId="01D63A74" w14:textId="77777777" w:rsidR="005B2385" w:rsidRDefault="00A80AE7">
      <w:pPr>
        <w:pStyle w:val="01761"/>
      </w:pPr>
      <w:r>
        <w:rPr>
          <w:rFonts w:hint="eastAsia"/>
        </w:rPr>
        <w:t>4.根据分析得出结论</w:t>
      </w:r>
    </w:p>
    <w:p w14:paraId="128D3704" w14:textId="77777777" w:rsidR="005B2385" w:rsidRDefault="00A80AE7">
      <w:pPr>
        <w:pStyle w:val="017"/>
      </w:pPr>
      <w:r>
        <w:rPr>
          <w:rFonts w:hint="eastAsia"/>
        </w:rPr>
        <w:t>根据以上</w:t>
      </w:r>
      <w:r>
        <w:t>分析</w:t>
      </w:r>
      <w:r>
        <w:rPr>
          <w:rFonts w:hint="eastAsia"/>
        </w:rPr>
        <w:t>，我们可以</w:t>
      </w:r>
      <w:r>
        <w:t>判断</w:t>
      </w:r>
      <w:r>
        <w:rPr>
          <w:rFonts w:hint="eastAsia"/>
        </w:rPr>
        <w:t>在建工程虚增收入的风险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</w:t>
      </w:r>
      <w:r>
        <w:t xml:space="preserve"> </w:t>
      </w:r>
      <w:r>
        <w:rPr>
          <w:rFonts w:hint="eastAsia"/>
          <w:b/>
          <w:bCs/>
          <w:color w:val="C45911" w:themeColor="accent2" w:themeShade="BF"/>
        </w:rPr>
        <w:t>（参照以上在建工程思维导图得出结论，选项：较大或较小）</w:t>
      </w:r>
    </w:p>
    <w:p w14:paraId="4E845F7F" w14:textId="77777777" w:rsidR="005B2385" w:rsidRDefault="005B2385">
      <w:pPr>
        <w:pStyle w:val="017"/>
        <w:ind w:firstLineChars="0" w:firstLine="0"/>
      </w:pPr>
    </w:p>
    <w:p w14:paraId="47506576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2514B9C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33CEA785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19FD58EF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27498478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4A6BB98C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21BA146A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AADF734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EF177C7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108D1118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0ED58CAE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3182A336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BBC2AB3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CBF1E4B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4AFA1A75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77D5D40A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61348628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370B968E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529BA040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375F88D9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6711BF40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2EE2F2F6" w14:textId="77777777" w:rsidR="005B2385" w:rsidRDefault="00A80AE7">
      <w:pPr>
        <w:pStyle w:val="0172"/>
        <w:spacing w:before="326" w:after="163"/>
        <w:rPr>
          <w:rFonts w:ascii="KaiTi" w:eastAsia="KaiTi" w:hAnsi="KaiTi"/>
        </w:rPr>
      </w:pPr>
      <w:r>
        <w:rPr>
          <w:rFonts w:ascii="KaiTi" w:eastAsia="KaiTi" w:hAnsi="KaiTi" w:hint="eastAsia"/>
        </w:rPr>
        <w:t>作业解析</w:t>
      </w:r>
      <w:r>
        <w:rPr>
          <w:rFonts w:ascii="KaiTi" w:eastAsia="KaiTi" w:hAnsi="KaiTi"/>
          <w:bCs/>
          <w:szCs w:val="32"/>
        </w:rPr>
        <w:t xml:space="preserve">  </w:t>
      </w:r>
    </w:p>
    <w:p w14:paraId="538F92BF" w14:textId="77777777" w:rsidR="005B2385" w:rsidRDefault="00A80AE7">
      <w:pPr>
        <w:ind w:firstLine="482"/>
        <w:rPr>
          <w:rFonts w:ascii="KaiTi" w:eastAsia="KaiTi" w:hAnsi="KaiTi"/>
        </w:rPr>
      </w:pPr>
      <w:r>
        <w:rPr>
          <w:rFonts w:ascii="KaiTi" w:eastAsia="KaiTi" w:hAnsi="KaiTi" w:hint="eastAsia"/>
          <w:b/>
          <w:bCs/>
          <w:color w:val="FF0000"/>
        </w:rPr>
        <w:t>用手机WPS</w:t>
      </w:r>
      <w:r>
        <w:rPr>
          <w:rFonts w:ascii="KaiTi" w:eastAsia="KaiTi" w:hAnsi="KaiTi" w:hint="eastAsia"/>
        </w:rPr>
        <w:t>打开洋河股份</w:t>
      </w:r>
      <w:r>
        <w:rPr>
          <w:rFonts w:ascii="KaiTi" w:eastAsia="KaiTi" w:hAnsi="KaiTi"/>
        </w:rPr>
        <w:t>2020</w:t>
      </w:r>
      <w:r>
        <w:rPr>
          <w:rFonts w:ascii="KaiTi" w:eastAsia="KaiTi" w:hAnsi="KaiTi" w:hint="eastAsia"/>
        </w:rPr>
        <w:t>年的年报:</w:t>
      </w:r>
    </w:p>
    <w:p w14:paraId="45FD78E3" w14:textId="77777777" w:rsidR="005B2385" w:rsidRDefault="00A80AE7">
      <w:pPr>
        <w:ind w:firstLine="480"/>
        <w:rPr>
          <w:rFonts w:ascii="KaiTi" w:eastAsia="KaiTi" w:hAnsi="KaiTi"/>
        </w:rPr>
      </w:pPr>
      <w:r>
        <w:rPr>
          <w:rFonts w:ascii="KaiTi" w:eastAsia="KaiTi" w:hAnsi="KaiTi" w:hint="eastAsia"/>
        </w:rPr>
        <w:t>利用</w:t>
      </w:r>
      <w:r>
        <w:rPr>
          <w:rFonts w:ascii="KaiTi" w:eastAsia="KaiTi" w:hAnsi="KaiTi"/>
        </w:rPr>
        <w:t>“</w:t>
      </w:r>
      <w:r>
        <w:rPr>
          <w:rFonts w:ascii="KaiTi" w:eastAsia="KaiTi" w:hAnsi="KaiTi" w:hint="eastAsia"/>
        </w:rPr>
        <w:t>搜索功能</w:t>
      </w:r>
      <w:r>
        <w:rPr>
          <w:rFonts w:ascii="KaiTi" w:eastAsia="KaiTi" w:hAnsi="KaiTi"/>
        </w:rPr>
        <w:t>”</w:t>
      </w:r>
      <w:r>
        <w:rPr>
          <w:rFonts w:ascii="KaiTi" w:eastAsia="KaiTi" w:hAnsi="KaiTi" w:hint="eastAsia"/>
        </w:rPr>
        <w:t>，首先点左下角的工具：</w:t>
      </w:r>
    </w:p>
    <w:p w14:paraId="28136B97" w14:textId="77777777" w:rsidR="005B2385" w:rsidRDefault="00A80AE7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  <w:r>
        <w:rPr>
          <w:rFonts w:ascii="KaiTi" w:eastAsia="KaiTi" w:hAnsi="KaiTi"/>
          <w:b/>
          <w:bCs/>
          <w:noProof/>
          <w:sz w:val="32"/>
          <w:szCs w:val="32"/>
        </w:rPr>
        <w:drawing>
          <wp:inline distT="0" distB="0" distL="0" distR="0" wp14:anchorId="5872E4F6" wp14:editId="4AC68C54">
            <wp:extent cx="5454015" cy="3876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2523" cy="389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5281" w14:textId="77777777" w:rsidR="005B2385" w:rsidRDefault="005B2385">
      <w:pPr>
        <w:ind w:firstLineChars="0" w:firstLine="0"/>
        <w:rPr>
          <w:rFonts w:ascii="KaiTi" w:eastAsia="KaiTi" w:hAnsi="KaiTi"/>
        </w:rPr>
      </w:pPr>
    </w:p>
    <w:p w14:paraId="5C50DFC0" w14:textId="77777777" w:rsidR="005B2385" w:rsidRDefault="005B2385">
      <w:pPr>
        <w:pStyle w:val="ab"/>
        <w:adjustRightInd w:val="0"/>
        <w:snapToGrid w:val="0"/>
        <w:spacing w:before="0" w:beforeAutospacing="0" w:afterLines="50" w:after="163" w:afterAutospacing="0"/>
        <w:ind w:firstLine="1"/>
        <w:rPr>
          <w:rFonts w:ascii="KaiTi" w:eastAsia="KaiTi" w:hAnsi="KaiTi"/>
          <w:b/>
          <w:bCs/>
          <w:sz w:val="32"/>
          <w:szCs w:val="32"/>
        </w:rPr>
      </w:pPr>
    </w:p>
    <w:p w14:paraId="25A4AE21" w14:textId="77777777" w:rsidR="005B2385" w:rsidRDefault="00A80AE7">
      <w:pPr>
        <w:spacing w:line="360" w:lineRule="auto"/>
        <w:ind w:firstLine="480"/>
        <w:rPr>
          <w:rFonts w:ascii="KaiTi" w:eastAsia="KaiTi" w:hAnsi="KaiTi"/>
          <w:color w:val="4472C4" w:themeColor="accent1"/>
        </w:rPr>
      </w:pPr>
      <w:r>
        <w:rPr>
          <w:rFonts w:ascii="KaiTi" w:eastAsia="KaiTi" w:hAnsi="KaiTi" w:hint="eastAsia"/>
          <w:color w:val="4472C4" w:themeColor="accent1"/>
        </w:rPr>
        <w:t>【货币资金造假分析】——</w:t>
      </w:r>
      <w:r>
        <w:rPr>
          <w:rFonts w:ascii="KaiTi" w:eastAsia="KaiTi" w:hAnsi="KaiTi" w:hint="eastAsia"/>
          <w:color w:val="4472C4" w:themeColor="accent1"/>
          <w:highlight w:val="yellow"/>
        </w:rPr>
        <w:t>解析1：</w:t>
      </w:r>
    </w:p>
    <w:p w14:paraId="39B8F89D" w14:textId="77777777" w:rsidR="005B2385" w:rsidRDefault="00A80AE7">
      <w:pPr>
        <w:pStyle w:val="017"/>
      </w:pPr>
      <w:r>
        <w:rPr>
          <w:rFonts w:hint="eastAsia"/>
        </w:rPr>
        <w:t>利息支出需要在</w:t>
      </w:r>
      <w:r>
        <w:rPr>
          <w:rFonts w:hint="eastAsia"/>
          <w:b/>
          <w:bCs/>
        </w:rPr>
        <w:t>财务费用的注释中</w:t>
      </w:r>
      <w:r>
        <w:rPr>
          <w:rFonts w:hint="eastAsia"/>
        </w:rPr>
        <w:t>查找，在搜索框中输入:</w:t>
      </w:r>
      <w:r>
        <w:rPr>
          <w:b/>
          <w:bCs/>
        </w:rPr>
        <w:t>“</w:t>
      </w:r>
      <w:r>
        <w:rPr>
          <w:rFonts w:hint="eastAsia"/>
          <w:b/>
          <w:bCs/>
        </w:rPr>
        <w:t>财务费用</w:t>
      </w:r>
      <w:r>
        <w:rPr>
          <w:b/>
          <w:bCs/>
        </w:rPr>
        <w:t>”</w:t>
      </w:r>
      <w:r>
        <w:rPr>
          <w:rFonts w:hint="eastAsia"/>
        </w:rPr>
        <w:t>，找到如下位置：</w:t>
      </w:r>
    </w:p>
    <w:p w14:paraId="08266399" w14:textId="77777777" w:rsidR="005B2385" w:rsidRDefault="00A80AE7">
      <w:pPr>
        <w:ind w:firstLineChars="0" w:firstLine="0"/>
        <w:jc w:val="center"/>
        <w:rPr>
          <w:rFonts w:ascii="KaiTi" w:eastAsia="KaiTi" w:hAnsi="KaiTi"/>
        </w:rPr>
      </w:pPr>
      <w:r>
        <w:rPr>
          <w:rFonts w:ascii="KaiTi" w:eastAsia="KaiTi" w:hAnsi="KaiTi"/>
          <w:noProof/>
        </w:rPr>
        <w:drawing>
          <wp:inline distT="0" distB="0" distL="0" distR="0" wp14:anchorId="3E025FFC" wp14:editId="7C292ED8">
            <wp:extent cx="5274310" cy="45510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9FC7" w14:textId="77777777" w:rsidR="005B2385" w:rsidRDefault="00A80AE7">
      <w:pPr>
        <w:pStyle w:val="017"/>
        <w:ind w:firstLineChars="0" w:firstLine="0"/>
        <w:jc w:val="center"/>
      </w:pPr>
      <w:r>
        <w:rPr>
          <w:noProof/>
        </w:rPr>
        <w:drawing>
          <wp:inline distT="0" distB="0" distL="0" distR="0" wp14:anchorId="52F70EAD" wp14:editId="6AFAE693">
            <wp:extent cx="5135245" cy="3688715"/>
            <wp:effectExtent l="0" t="0" r="825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38243" cy="369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95BCD" w14:textId="77777777" w:rsidR="005B2385" w:rsidRDefault="00A80AE7">
      <w:pPr>
        <w:pStyle w:val="017"/>
      </w:pPr>
      <w:r>
        <w:rPr>
          <w:rFonts w:hint="eastAsia"/>
        </w:rPr>
        <w:t>其中票据贴现支出，需要向银行支付利息，也属于利息支出，所以2</w:t>
      </w:r>
      <w:r>
        <w:t>020</w:t>
      </w:r>
      <w:r>
        <w:rPr>
          <w:rFonts w:hint="eastAsia"/>
        </w:rPr>
        <w:t>年的利息支出为</w:t>
      </w:r>
      <w:r>
        <w:t>1</w:t>
      </w:r>
      <w:r>
        <w:rPr>
          <w:rFonts w:hint="eastAsia"/>
        </w:rPr>
        <w:t>,</w:t>
      </w:r>
      <w:r>
        <w:t>964</w:t>
      </w:r>
      <w:r>
        <w:rPr>
          <w:rFonts w:hint="eastAsia"/>
        </w:rPr>
        <w:t>元加</w:t>
      </w:r>
      <w:r>
        <w:t>11</w:t>
      </w:r>
      <w:r>
        <w:rPr>
          <w:rFonts w:hint="eastAsia"/>
        </w:rPr>
        <w:t>,</w:t>
      </w:r>
      <w:r>
        <w:t>719</w:t>
      </w:r>
      <w:r>
        <w:rPr>
          <w:rFonts w:hint="eastAsia"/>
        </w:rPr>
        <w:t>，</w:t>
      </w:r>
      <w:r>
        <w:t>069.54</w:t>
      </w:r>
      <w:r>
        <w:rPr>
          <w:rFonts w:hint="eastAsia"/>
        </w:rPr>
        <w:t>元。</w:t>
      </w:r>
    </w:p>
    <w:p w14:paraId="05539E65" w14:textId="77777777" w:rsidR="005B2385" w:rsidRDefault="005B2385">
      <w:pPr>
        <w:pStyle w:val="017"/>
      </w:pPr>
    </w:p>
    <w:p w14:paraId="73F030C6" w14:textId="77777777" w:rsidR="005B2385" w:rsidRDefault="00A80AE7">
      <w:pPr>
        <w:spacing w:line="360" w:lineRule="auto"/>
        <w:ind w:firstLine="480"/>
        <w:rPr>
          <w:rFonts w:ascii="KaiTi" w:eastAsia="KaiTi" w:hAnsi="KaiTi"/>
          <w:color w:val="4472C4" w:themeColor="accent1"/>
        </w:rPr>
      </w:pPr>
      <w:r>
        <w:rPr>
          <w:rFonts w:ascii="KaiTi" w:eastAsia="KaiTi" w:hAnsi="KaiTi" w:hint="eastAsia"/>
          <w:color w:val="4472C4" w:themeColor="accent1"/>
        </w:rPr>
        <w:t>【应收账款造假分析】——</w:t>
      </w:r>
      <w:r>
        <w:rPr>
          <w:rFonts w:ascii="KaiTi" w:eastAsia="KaiTi" w:hAnsi="KaiTi" w:hint="eastAsia"/>
          <w:color w:val="4472C4" w:themeColor="accent1"/>
          <w:highlight w:val="yellow"/>
        </w:rPr>
        <w:t>解析</w:t>
      </w:r>
      <w:r>
        <w:rPr>
          <w:rFonts w:ascii="KaiTi" w:eastAsia="KaiTi" w:hAnsi="KaiTi"/>
          <w:color w:val="4472C4" w:themeColor="accent1"/>
          <w:highlight w:val="yellow"/>
        </w:rPr>
        <w:t>2</w:t>
      </w:r>
      <w:r>
        <w:rPr>
          <w:rFonts w:ascii="KaiTi" w:eastAsia="KaiTi" w:hAnsi="KaiTi" w:hint="eastAsia"/>
          <w:color w:val="4472C4" w:themeColor="accent1"/>
          <w:highlight w:val="yellow"/>
        </w:rPr>
        <w:t>：</w:t>
      </w:r>
    </w:p>
    <w:p w14:paraId="608C22F3" w14:textId="77777777" w:rsidR="005B2385" w:rsidRDefault="00A80AE7">
      <w:pPr>
        <w:ind w:firstLineChars="0" w:firstLine="0"/>
      </w:pPr>
      <w:r>
        <w:tab/>
      </w:r>
      <w:r>
        <w:rPr>
          <w:rFonts w:hint="eastAsia"/>
        </w:rPr>
        <w:t>打开洋河股份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20</w:t>
      </w:r>
      <w:r>
        <w:rPr>
          <w:rFonts w:hint="eastAsia"/>
        </w:rPr>
        <w:t>年报，搜索</w:t>
      </w:r>
      <w:r>
        <w:rPr>
          <w:rFonts w:hint="eastAsia"/>
          <w:b/>
          <w:bCs/>
        </w:rPr>
        <w:t>关键字：“合并资产负债表”</w:t>
      </w:r>
    </w:p>
    <w:p w14:paraId="7B25AA67" w14:textId="77777777" w:rsidR="005B2385" w:rsidRDefault="00A80AE7">
      <w:pPr>
        <w:ind w:firstLineChars="0" w:firstLine="0"/>
        <w:jc w:val="center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366C8C8A" wp14:editId="7D585CC6">
            <wp:extent cx="5135245" cy="42545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5510" cy="431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215C" w14:textId="77777777" w:rsidR="005B2385" w:rsidRDefault="005B2385">
      <w:pPr>
        <w:ind w:firstLineChars="0" w:firstLine="0"/>
      </w:pPr>
    </w:p>
    <w:p w14:paraId="7F97AEA5" w14:textId="77777777" w:rsidR="005B2385" w:rsidRDefault="00A80AE7">
      <w:pPr>
        <w:ind w:firstLineChars="0" w:firstLine="0"/>
      </w:pPr>
      <w:r>
        <w:rPr>
          <w:rFonts w:hint="eastAsia"/>
        </w:rPr>
        <w:t>向下，找到“应收账款”的金额。</w:t>
      </w:r>
    </w:p>
    <w:p w14:paraId="7913E341" w14:textId="77777777" w:rsidR="005B2385" w:rsidRDefault="00A80AE7">
      <w:pPr>
        <w:pStyle w:val="017"/>
        <w:ind w:firstLineChars="0" w:firstLine="0"/>
      </w:pPr>
      <w:r>
        <w:rPr>
          <w:noProof/>
        </w:rPr>
        <w:drawing>
          <wp:inline distT="0" distB="0" distL="0" distR="0" wp14:anchorId="41EC258B" wp14:editId="1B692B07">
            <wp:extent cx="5274310" cy="15944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22370" w14:textId="77777777" w:rsidR="005B2385" w:rsidRDefault="005B2385">
      <w:pPr>
        <w:ind w:firstLine="482"/>
        <w:rPr>
          <w:rFonts w:ascii="KaiTi" w:eastAsia="KaiTi" w:hAnsi="KaiTi"/>
          <w:b/>
          <w:bCs/>
        </w:rPr>
      </w:pPr>
    </w:p>
    <w:p w14:paraId="6C1625AC" w14:textId="77777777" w:rsidR="005B2385" w:rsidRDefault="005B2385">
      <w:pPr>
        <w:ind w:firstLine="482"/>
        <w:rPr>
          <w:rFonts w:ascii="KaiTi" w:eastAsia="KaiTi" w:hAnsi="KaiTi"/>
          <w:b/>
          <w:bCs/>
        </w:rPr>
      </w:pPr>
    </w:p>
    <w:p w14:paraId="28B03B36" w14:textId="77777777" w:rsidR="005B2385" w:rsidRDefault="005B2385">
      <w:pPr>
        <w:ind w:firstLine="482"/>
        <w:rPr>
          <w:rFonts w:ascii="KaiTi" w:eastAsia="KaiTi" w:hAnsi="KaiTi"/>
          <w:b/>
          <w:bCs/>
        </w:rPr>
      </w:pPr>
    </w:p>
    <w:p w14:paraId="0BDC46AF" w14:textId="77777777" w:rsidR="005B2385" w:rsidRDefault="00A80AE7">
      <w:pPr>
        <w:ind w:firstLine="482"/>
        <w:rPr>
          <w:rFonts w:ascii="KaiTi" w:eastAsia="KaiTi" w:hAnsi="KaiTi"/>
        </w:rPr>
      </w:pPr>
      <w:r>
        <w:rPr>
          <w:rFonts w:ascii="KaiTi" w:eastAsia="KaiTi" w:hAnsi="KaiTi" w:hint="eastAsia"/>
          <w:b/>
          <w:bCs/>
        </w:rPr>
        <w:t>同样，</w:t>
      </w:r>
      <w:r>
        <w:rPr>
          <w:rFonts w:ascii="KaiTi" w:eastAsia="KaiTi" w:hAnsi="KaiTi" w:hint="eastAsia"/>
        </w:rPr>
        <w:t>在搜索到的“合并资产负债表”中，可以找到</w:t>
      </w:r>
      <w:r>
        <w:rPr>
          <w:rFonts w:ascii="KaiTi" w:eastAsia="KaiTi" w:hAnsi="KaiTi" w:hint="eastAsia"/>
          <w:b/>
          <w:bCs/>
        </w:rPr>
        <w:t>如下图“资产总计”</w:t>
      </w:r>
    </w:p>
    <w:p w14:paraId="1C9066AB" w14:textId="77777777" w:rsidR="005B2385" w:rsidRDefault="00A80AE7">
      <w:pPr>
        <w:ind w:firstLineChars="0" w:firstLine="0"/>
        <w:rPr>
          <w:rFonts w:ascii="KaiTi" w:eastAsia="KaiTi" w:hAnsi="KaiTi"/>
        </w:rPr>
      </w:pPr>
      <w:r>
        <w:rPr>
          <w:noProof/>
        </w:rPr>
        <w:drawing>
          <wp:inline distT="0" distB="0" distL="0" distR="0" wp14:anchorId="2CA463BE" wp14:editId="39932C57">
            <wp:extent cx="5274310" cy="13589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5F59" w14:textId="77777777" w:rsidR="005B2385" w:rsidRDefault="005B2385">
      <w:pPr>
        <w:pStyle w:val="017"/>
        <w:ind w:firstLineChars="0" w:firstLine="0"/>
      </w:pPr>
    </w:p>
    <w:p w14:paraId="4AB9C022" w14:textId="77777777" w:rsidR="005B2385" w:rsidRDefault="00A80AE7">
      <w:pPr>
        <w:spacing w:line="360" w:lineRule="auto"/>
        <w:ind w:firstLine="480"/>
        <w:rPr>
          <w:rFonts w:ascii="KaiTi" w:eastAsia="KaiTi" w:hAnsi="KaiTi"/>
          <w:color w:val="4472C4" w:themeColor="accent1"/>
        </w:rPr>
      </w:pPr>
      <w:r>
        <w:rPr>
          <w:rFonts w:ascii="KaiTi" w:eastAsia="KaiTi" w:hAnsi="KaiTi" w:hint="eastAsia"/>
          <w:color w:val="4472C4" w:themeColor="accent1"/>
        </w:rPr>
        <w:t>【预付款项造假分析】——</w:t>
      </w:r>
      <w:r>
        <w:rPr>
          <w:rFonts w:ascii="KaiTi" w:eastAsia="KaiTi" w:hAnsi="KaiTi" w:hint="eastAsia"/>
          <w:color w:val="4472C4" w:themeColor="accent1"/>
          <w:highlight w:val="yellow"/>
        </w:rPr>
        <w:t>解析</w:t>
      </w:r>
      <w:r>
        <w:rPr>
          <w:rFonts w:ascii="KaiTi" w:eastAsia="KaiTi" w:hAnsi="KaiTi"/>
          <w:color w:val="4472C4" w:themeColor="accent1"/>
          <w:highlight w:val="yellow"/>
        </w:rPr>
        <w:t>3</w:t>
      </w:r>
      <w:r>
        <w:rPr>
          <w:rFonts w:ascii="KaiTi" w:eastAsia="KaiTi" w:hAnsi="KaiTi" w:hint="eastAsia"/>
          <w:color w:val="4472C4" w:themeColor="accent1"/>
          <w:highlight w:val="yellow"/>
        </w:rPr>
        <w:t>：</w:t>
      </w:r>
    </w:p>
    <w:p w14:paraId="530CBA48" w14:textId="77777777" w:rsidR="005B2385" w:rsidRDefault="00A80AE7">
      <w:pPr>
        <w:ind w:firstLine="482"/>
        <w:rPr>
          <w:rFonts w:ascii="KaiTi" w:eastAsia="KaiTi" w:hAnsi="KaiTi"/>
        </w:rPr>
      </w:pPr>
      <w:r>
        <w:rPr>
          <w:rFonts w:ascii="KaiTi" w:eastAsia="KaiTi" w:hAnsi="KaiTi" w:hint="eastAsia"/>
          <w:b/>
          <w:bCs/>
        </w:rPr>
        <w:t>同样，</w:t>
      </w:r>
      <w:r>
        <w:rPr>
          <w:rFonts w:ascii="KaiTi" w:eastAsia="KaiTi" w:hAnsi="KaiTi" w:hint="eastAsia"/>
        </w:rPr>
        <w:t>在搜索到的“合并资产负债表”中，可以找到</w:t>
      </w:r>
      <w:r>
        <w:rPr>
          <w:rFonts w:ascii="KaiTi" w:eastAsia="KaiTi" w:hAnsi="KaiTi" w:hint="eastAsia"/>
          <w:b/>
          <w:bCs/>
        </w:rPr>
        <w:t>如下图“预付款项”和“其他应收款”</w:t>
      </w:r>
    </w:p>
    <w:p w14:paraId="2A534582" w14:textId="77777777" w:rsidR="005B2385" w:rsidRDefault="00A80AE7">
      <w:pPr>
        <w:ind w:rightChars="42" w:right="101" w:firstLineChars="0" w:firstLine="0"/>
        <w:rPr>
          <w:rFonts w:ascii="KaiTi" w:eastAsia="KaiTi" w:hAnsi="KaiTi"/>
          <w:kern w:val="0"/>
          <w:sz w:val="21"/>
          <w:szCs w:val="18"/>
        </w:rPr>
      </w:pPr>
      <w:r>
        <w:rPr>
          <w:noProof/>
        </w:rPr>
        <w:drawing>
          <wp:inline distT="0" distB="0" distL="0" distR="0" wp14:anchorId="5E18E7E9" wp14:editId="7C85BB78">
            <wp:extent cx="5274310" cy="152082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4E89" w14:textId="77777777" w:rsidR="005B2385" w:rsidRDefault="005B2385">
      <w:pPr>
        <w:pStyle w:val="017"/>
        <w:ind w:firstLineChars="0" w:firstLine="0"/>
      </w:pPr>
    </w:p>
    <w:p w14:paraId="6F37D474" w14:textId="77777777" w:rsidR="005B2385" w:rsidRDefault="005B2385">
      <w:pPr>
        <w:pStyle w:val="017"/>
        <w:ind w:firstLineChars="0" w:firstLine="0"/>
      </w:pPr>
    </w:p>
    <w:p w14:paraId="4BDE5B8E" w14:textId="77777777" w:rsidR="005B2385" w:rsidRDefault="00A80AE7">
      <w:pPr>
        <w:spacing w:line="360" w:lineRule="auto"/>
        <w:ind w:firstLine="480"/>
        <w:rPr>
          <w:rFonts w:ascii="KaiTi" w:eastAsia="KaiTi" w:hAnsi="KaiTi"/>
          <w:color w:val="4472C4" w:themeColor="accent1"/>
        </w:rPr>
      </w:pPr>
      <w:r>
        <w:rPr>
          <w:rFonts w:ascii="KaiTi" w:eastAsia="KaiTi" w:hAnsi="KaiTi" w:hint="eastAsia"/>
          <w:color w:val="4472C4" w:themeColor="accent1"/>
        </w:rPr>
        <w:t>【在建工程造假分析】——</w:t>
      </w:r>
      <w:r>
        <w:rPr>
          <w:rFonts w:ascii="KaiTi" w:eastAsia="KaiTi" w:hAnsi="KaiTi" w:hint="eastAsia"/>
          <w:color w:val="4472C4" w:themeColor="accent1"/>
          <w:highlight w:val="yellow"/>
        </w:rPr>
        <w:t>解析</w:t>
      </w:r>
      <w:r>
        <w:rPr>
          <w:rFonts w:ascii="KaiTi" w:eastAsia="KaiTi" w:hAnsi="KaiTi"/>
          <w:color w:val="4472C4" w:themeColor="accent1"/>
          <w:highlight w:val="yellow"/>
        </w:rPr>
        <w:t>4</w:t>
      </w:r>
      <w:r>
        <w:rPr>
          <w:rFonts w:ascii="KaiTi" w:eastAsia="KaiTi" w:hAnsi="KaiTi" w:hint="eastAsia"/>
          <w:color w:val="4472C4" w:themeColor="accent1"/>
          <w:highlight w:val="yellow"/>
        </w:rPr>
        <w:t>：</w:t>
      </w:r>
    </w:p>
    <w:p w14:paraId="2C6B2257" w14:textId="77777777" w:rsidR="005B2385" w:rsidRDefault="00A80AE7">
      <w:pPr>
        <w:ind w:firstLine="482"/>
        <w:rPr>
          <w:rFonts w:ascii="KaiTi" w:eastAsia="KaiTi" w:hAnsi="KaiTi"/>
        </w:rPr>
      </w:pPr>
      <w:r>
        <w:rPr>
          <w:rFonts w:ascii="KaiTi" w:eastAsia="KaiTi" w:hAnsi="KaiTi" w:hint="eastAsia"/>
          <w:b/>
          <w:bCs/>
        </w:rPr>
        <w:t>同样，</w:t>
      </w:r>
      <w:r>
        <w:rPr>
          <w:rFonts w:ascii="KaiTi" w:eastAsia="KaiTi" w:hAnsi="KaiTi" w:hint="eastAsia"/>
        </w:rPr>
        <w:t>在搜索到的“合并资产负债表”中，可以找到</w:t>
      </w:r>
      <w:r>
        <w:rPr>
          <w:rFonts w:ascii="KaiTi" w:eastAsia="KaiTi" w:hAnsi="KaiTi" w:hint="eastAsia"/>
          <w:b/>
          <w:bCs/>
        </w:rPr>
        <w:t>如下图“预付款项”和“其他应收款”</w:t>
      </w:r>
    </w:p>
    <w:p w14:paraId="25112F96" w14:textId="77777777" w:rsidR="005B2385" w:rsidRDefault="00A80AE7">
      <w:pPr>
        <w:ind w:rightChars="42" w:right="101" w:firstLineChars="0" w:firstLine="0"/>
        <w:rPr>
          <w:rFonts w:ascii="KaiTi" w:eastAsia="KaiTi" w:hAnsi="KaiTi"/>
          <w:kern w:val="0"/>
          <w:sz w:val="21"/>
          <w:szCs w:val="18"/>
        </w:rPr>
      </w:pPr>
      <w:r>
        <w:rPr>
          <w:noProof/>
        </w:rPr>
        <w:drawing>
          <wp:inline distT="0" distB="0" distL="0" distR="0" wp14:anchorId="3175E507" wp14:editId="12E00FE4">
            <wp:extent cx="5274310" cy="20777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803" w14:textId="77777777" w:rsidR="005B2385" w:rsidRDefault="00A80AE7">
      <w:pPr>
        <w:spacing w:line="240" w:lineRule="atLeast"/>
        <w:ind w:firstLine="482"/>
        <w:rPr>
          <w:rFonts w:ascii="KaiTi" w:eastAsia="KaiTi" w:hAnsi="KaiTi"/>
          <w:b/>
          <w:bCs/>
          <w:color w:val="FF0000"/>
        </w:rPr>
      </w:pPr>
      <w:r>
        <w:rPr>
          <w:rFonts w:ascii="KaiTi" w:eastAsia="KaiTi" w:hAnsi="KaiTi" w:hint="eastAsia"/>
          <w:b/>
          <w:bCs/>
          <w:color w:val="FF0000"/>
        </w:rPr>
        <w:t>重要声明：</w:t>
      </w:r>
    </w:p>
    <w:p w14:paraId="0BE66F9D" w14:textId="77777777" w:rsidR="005B2385" w:rsidRDefault="00A80AE7">
      <w:pPr>
        <w:spacing w:line="240" w:lineRule="atLeast"/>
        <w:ind w:firstLine="482"/>
        <w:rPr>
          <w:rFonts w:ascii="KaiTi" w:eastAsia="KaiTi" w:hAnsi="KaiTi"/>
          <w:b/>
          <w:bCs/>
          <w:color w:val="FF0000"/>
        </w:rPr>
      </w:pPr>
      <w:r>
        <w:rPr>
          <w:rFonts w:ascii="KaiTi" w:eastAsia="KaiTi" w:hAnsi="KaiTi" w:hint="eastAsia"/>
          <w:b/>
          <w:bCs/>
          <w:color w:val="FF0000"/>
        </w:rPr>
        <w:t>以上关于企业分析的内容，仅作为教学案例，帮助大家掌握投资技能，不作为投资建议。</w:t>
      </w:r>
    </w:p>
    <w:sectPr w:rsidR="005B2385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454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F1F90" w14:textId="77777777" w:rsidR="00E92B43" w:rsidRDefault="00E92B43">
      <w:pPr>
        <w:spacing w:line="240" w:lineRule="auto"/>
        <w:ind w:firstLine="480"/>
      </w:pPr>
      <w:r>
        <w:separator/>
      </w:r>
    </w:p>
  </w:endnote>
  <w:endnote w:type="continuationSeparator" w:id="0">
    <w:p w14:paraId="0E7810D2" w14:textId="77777777" w:rsidR="00E92B43" w:rsidRDefault="00E92B43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楷体">
    <w:altName w:val="汉仪楷体KW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00000287" w:usb1="080E0000" w:usb2="00000016" w:usb3="00000000" w:csb0="0004000F" w:csb1="00000000"/>
  </w:font>
  <w:font w:name="微软雅黑">
    <w:altName w:val="汉仪旗黑KW 55S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00000287" w:usb1="080E0000" w:usb2="00000010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AB790A" w14:textId="77777777" w:rsidR="005B2385" w:rsidRDefault="005B2385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9F6A4" w14:textId="0FE14DFA" w:rsidR="005B2385" w:rsidRDefault="001E04F4">
    <w:pPr>
      <w:pStyle w:val="a7"/>
      <w:ind w:firstLineChars="0" w:firstLine="0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179337B" wp14:editId="001A4C96">
              <wp:simplePos x="0" y="0"/>
              <wp:positionH relativeFrom="margin">
                <wp:posOffset>2082800</wp:posOffset>
              </wp:positionH>
              <wp:positionV relativeFrom="paragraph">
                <wp:posOffset>0</wp:posOffset>
              </wp:positionV>
              <wp:extent cx="1151467" cy="1828800"/>
              <wp:effectExtent l="0" t="0" r="10795" b="0"/>
              <wp:wrapNone/>
              <wp:docPr id="6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1467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5DA532B" w14:textId="77777777" w:rsidR="001E04F4" w:rsidRPr="00F25205" w:rsidRDefault="001E04F4" w:rsidP="001E04F4">
                          <w:pPr>
                            <w:snapToGrid w:val="0"/>
                            <w:ind w:firstLine="360"/>
                            <w:jc w:val="left"/>
                            <w:rPr>
                              <w:rFonts w:ascii="KaiTi" w:eastAsia="KaiTi" w:hAnsi="KaiTi"/>
                              <w:sz w:val="18"/>
                            </w:rPr>
                          </w:pP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第 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begin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instrText xml:space="preserve"> PAGE  \* MERGEFORMAT </w:instrTex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separate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>1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end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 页 共 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begin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instrText xml:space="preserve"> NUMPAGES  \* MERGEFORMAT </w:instrTex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separate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>2</w:t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fldChar w:fldCharType="end"/>
                          </w:r>
                          <w:r w:rsidRPr="00F25205">
                            <w:rPr>
                              <w:rFonts w:ascii="KaiTi" w:eastAsia="KaiTi" w:hAnsi="KaiTi"/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5179337B" id="_x0000_t202" coordsize="21600,21600" o:spt="202" path="m,l,21600r21600,l21600,xe">
              <v:stroke joinstyle="miter"/>
              <v:path gradientshapeok="t" o:connecttype="rect"/>
            </v:shapetype>
            <v:shape id="文本框 6" o:spid="_x0000_s1026" type="#_x0000_t202" style="position:absolute;margin-left:164pt;margin-top:0;width:90.65pt;height:2in;z-index:251660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" filled="f" stroked="f" strokeweight=".5pt">
              <v:textbox style="mso-fit-shape-to-text:t" inset="0,0,0,0">
                <w:txbxContent>
                  <w:p w14:paraId="15DA532B" w14:textId="77777777" w:rsidR="001E04F4" w:rsidRPr="00F25205" w:rsidRDefault="001E04F4" w:rsidP="001E04F4">
                    <w:pPr>
                      <w:snapToGrid w:val="0"/>
                      <w:ind w:firstLine="360"/>
                      <w:jc w:val="left"/>
                      <w:rPr>
                        <w:rFonts w:ascii="KaiTi" w:eastAsia="KaiTi" w:hAnsi="KaiTi"/>
                        <w:sz w:val="18"/>
                      </w:rPr>
                    </w:pP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第 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begin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instrText xml:space="preserve"> PAGE  \* MERGEFORMAT </w:instrTex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separate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>1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end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 页 共 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begin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instrText xml:space="preserve"> NUMPAGES  \* MERGEFORMAT </w:instrTex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separate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>2</w:t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fldChar w:fldCharType="end"/>
                    </w:r>
                    <w:r w:rsidRPr="00F25205">
                      <w:rPr>
                        <w:rFonts w:ascii="KaiTi" w:eastAsia="KaiTi" w:hAnsi="KaiTi"/>
                        <w:sz w:val="18"/>
                      </w:rPr>
                      <w:t xml:space="preserve"> 页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E83CB" w14:textId="77777777" w:rsidR="005B2385" w:rsidRDefault="005B2385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0D8DD8" w14:textId="77777777" w:rsidR="00E92B43" w:rsidRDefault="00E92B43">
      <w:pPr>
        <w:spacing w:line="240" w:lineRule="auto"/>
        <w:ind w:firstLine="480"/>
      </w:pPr>
      <w:r>
        <w:separator/>
      </w:r>
    </w:p>
  </w:footnote>
  <w:footnote w:type="continuationSeparator" w:id="0">
    <w:p w14:paraId="740B4494" w14:textId="77777777" w:rsidR="00E92B43" w:rsidRDefault="00E92B43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460FFC" w14:textId="77777777" w:rsidR="005B2385" w:rsidRDefault="005B2385">
    <w:pPr>
      <w:pStyle w:val="a9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B96C9" w14:textId="0B5C2DDB" w:rsidR="005B2385" w:rsidRDefault="00BB2A88" w:rsidP="0075247A">
    <w:pPr>
      <w:pStyle w:val="a9"/>
      <w:pBdr>
        <w:bottom w:val="single" w:sz="4" w:space="31" w:color="0070C0"/>
      </w:pBdr>
      <w:tabs>
        <w:tab w:val="clear" w:pos="4153"/>
        <w:tab w:val="clear" w:pos="8306"/>
        <w:tab w:val="left" w:pos="1657"/>
      </w:tabs>
      <w:ind w:firstLine="360"/>
      <w:jc w:val="both"/>
    </w:pPr>
    <w:r>
      <w:rPr>
        <w:noProof/>
      </w:rPr>
      <w:drawing>
        <wp:anchor distT="0" distB="0" distL="114300" distR="114300" simplePos="0" relativeHeight="251662848" behindDoc="0" locked="0" layoutInCell="1" allowOverlap="1" wp14:anchorId="6A57E261" wp14:editId="41D76A7C">
          <wp:simplePos x="0" y="0"/>
          <wp:positionH relativeFrom="column">
            <wp:posOffset>19454</wp:posOffset>
          </wp:positionH>
          <wp:positionV relativeFrom="paragraph">
            <wp:posOffset>367665</wp:posOffset>
          </wp:positionV>
          <wp:extent cx="508000" cy="190016"/>
          <wp:effectExtent l="0" t="0" r="6350" b="63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8000" cy="1900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5247A">
      <w:tab/>
    </w:r>
    <w:r w:rsidR="0075247A"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7861B7" w14:textId="77777777" w:rsidR="005B2385" w:rsidRDefault="005B2385">
    <w:pPr>
      <w:pStyle w:val="a9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6D1F"/>
    <w:rsid w:val="EF7FDE21"/>
    <w:rsid w:val="00001297"/>
    <w:rsid w:val="000018F1"/>
    <w:rsid w:val="00001B7D"/>
    <w:rsid w:val="0000227C"/>
    <w:rsid w:val="00007FB2"/>
    <w:rsid w:val="00011458"/>
    <w:rsid w:val="000156CE"/>
    <w:rsid w:val="00030600"/>
    <w:rsid w:val="00030D25"/>
    <w:rsid w:val="00036D1F"/>
    <w:rsid w:val="000411E2"/>
    <w:rsid w:val="00041B9E"/>
    <w:rsid w:val="00046A14"/>
    <w:rsid w:val="0005121B"/>
    <w:rsid w:val="00054029"/>
    <w:rsid w:val="00055D16"/>
    <w:rsid w:val="000560CE"/>
    <w:rsid w:val="000607EA"/>
    <w:rsid w:val="00063A7D"/>
    <w:rsid w:val="000673A3"/>
    <w:rsid w:val="000704E3"/>
    <w:rsid w:val="000707D7"/>
    <w:rsid w:val="000711C9"/>
    <w:rsid w:val="00074CE4"/>
    <w:rsid w:val="00075C60"/>
    <w:rsid w:val="00076EE6"/>
    <w:rsid w:val="00082674"/>
    <w:rsid w:val="000831D0"/>
    <w:rsid w:val="00083AB5"/>
    <w:rsid w:val="00090D22"/>
    <w:rsid w:val="000915B6"/>
    <w:rsid w:val="00093412"/>
    <w:rsid w:val="000944DE"/>
    <w:rsid w:val="00095055"/>
    <w:rsid w:val="00096237"/>
    <w:rsid w:val="00096C6F"/>
    <w:rsid w:val="000A0B21"/>
    <w:rsid w:val="000B0276"/>
    <w:rsid w:val="000B5842"/>
    <w:rsid w:val="000B724F"/>
    <w:rsid w:val="000C3BFF"/>
    <w:rsid w:val="000C497D"/>
    <w:rsid w:val="000D5090"/>
    <w:rsid w:val="000D69FF"/>
    <w:rsid w:val="000E06A6"/>
    <w:rsid w:val="000E1D71"/>
    <w:rsid w:val="000E3BFC"/>
    <w:rsid w:val="000E5449"/>
    <w:rsid w:val="000E5CD1"/>
    <w:rsid w:val="000E6F75"/>
    <w:rsid w:val="000E7E57"/>
    <w:rsid w:val="000F4ECB"/>
    <w:rsid w:val="000F66D4"/>
    <w:rsid w:val="0010342A"/>
    <w:rsid w:val="00105C4B"/>
    <w:rsid w:val="00107512"/>
    <w:rsid w:val="00113816"/>
    <w:rsid w:val="00114446"/>
    <w:rsid w:val="0011685D"/>
    <w:rsid w:val="001173FD"/>
    <w:rsid w:val="00117CD3"/>
    <w:rsid w:val="001245D0"/>
    <w:rsid w:val="00126537"/>
    <w:rsid w:val="00126A23"/>
    <w:rsid w:val="00127803"/>
    <w:rsid w:val="00134933"/>
    <w:rsid w:val="00135AA8"/>
    <w:rsid w:val="001372CB"/>
    <w:rsid w:val="001374CE"/>
    <w:rsid w:val="00144221"/>
    <w:rsid w:val="0015059D"/>
    <w:rsid w:val="00151290"/>
    <w:rsid w:val="00154C9A"/>
    <w:rsid w:val="00155A90"/>
    <w:rsid w:val="0016001B"/>
    <w:rsid w:val="00165982"/>
    <w:rsid w:val="00170322"/>
    <w:rsid w:val="0017368C"/>
    <w:rsid w:val="00175046"/>
    <w:rsid w:val="00175DB8"/>
    <w:rsid w:val="0018144D"/>
    <w:rsid w:val="00183321"/>
    <w:rsid w:val="00190EC9"/>
    <w:rsid w:val="00191C7C"/>
    <w:rsid w:val="0019477F"/>
    <w:rsid w:val="001957FC"/>
    <w:rsid w:val="001A4EEB"/>
    <w:rsid w:val="001B09A2"/>
    <w:rsid w:val="001B1FC5"/>
    <w:rsid w:val="001B4A49"/>
    <w:rsid w:val="001B5154"/>
    <w:rsid w:val="001C195C"/>
    <w:rsid w:val="001C573C"/>
    <w:rsid w:val="001D18F5"/>
    <w:rsid w:val="001D204C"/>
    <w:rsid w:val="001E04F4"/>
    <w:rsid w:val="001E0A79"/>
    <w:rsid w:val="001E3DA1"/>
    <w:rsid w:val="00204B6C"/>
    <w:rsid w:val="002063A1"/>
    <w:rsid w:val="00213476"/>
    <w:rsid w:val="00213CC7"/>
    <w:rsid w:val="00214C13"/>
    <w:rsid w:val="00215CB2"/>
    <w:rsid w:val="00217853"/>
    <w:rsid w:val="00222095"/>
    <w:rsid w:val="00224AC5"/>
    <w:rsid w:val="00227048"/>
    <w:rsid w:val="00235D36"/>
    <w:rsid w:val="00237265"/>
    <w:rsid w:val="00246E62"/>
    <w:rsid w:val="002513AA"/>
    <w:rsid w:val="00253933"/>
    <w:rsid w:val="002554EE"/>
    <w:rsid w:val="00256087"/>
    <w:rsid w:val="00261860"/>
    <w:rsid w:val="00274475"/>
    <w:rsid w:val="00281E0D"/>
    <w:rsid w:val="00284A4B"/>
    <w:rsid w:val="002904A6"/>
    <w:rsid w:val="002920FE"/>
    <w:rsid w:val="002A0E00"/>
    <w:rsid w:val="002A514B"/>
    <w:rsid w:val="002A5238"/>
    <w:rsid w:val="002B45B1"/>
    <w:rsid w:val="002B4C5E"/>
    <w:rsid w:val="002B58F9"/>
    <w:rsid w:val="002B5CE8"/>
    <w:rsid w:val="002C0159"/>
    <w:rsid w:val="002C2C92"/>
    <w:rsid w:val="002C4206"/>
    <w:rsid w:val="002D0010"/>
    <w:rsid w:val="002D02F7"/>
    <w:rsid w:val="002D0731"/>
    <w:rsid w:val="002D11E7"/>
    <w:rsid w:val="002E1523"/>
    <w:rsid w:val="002E509B"/>
    <w:rsid w:val="002E643E"/>
    <w:rsid w:val="002E7B73"/>
    <w:rsid w:val="002F1643"/>
    <w:rsid w:val="002F1A57"/>
    <w:rsid w:val="002F479C"/>
    <w:rsid w:val="002F72D1"/>
    <w:rsid w:val="00303E0E"/>
    <w:rsid w:val="00305AD5"/>
    <w:rsid w:val="00310420"/>
    <w:rsid w:val="003104A3"/>
    <w:rsid w:val="00311D61"/>
    <w:rsid w:val="00315236"/>
    <w:rsid w:val="00316855"/>
    <w:rsid w:val="00320710"/>
    <w:rsid w:val="00321BDB"/>
    <w:rsid w:val="00322885"/>
    <w:rsid w:val="00334331"/>
    <w:rsid w:val="003403B5"/>
    <w:rsid w:val="00341CEA"/>
    <w:rsid w:val="003425FF"/>
    <w:rsid w:val="00342F99"/>
    <w:rsid w:val="00352D38"/>
    <w:rsid w:val="00352F98"/>
    <w:rsid w:val="003570F5"/>
    <w:rsid w:val="003625AD"/>
    <w:rsid w:val="0036576E"/>
    <w:rsid w:val="003671E9"/>
    <w:rsid w:val="003732B8"/>
    <w:rsid w:val="00382F51"/>
    <w:rsid w:val="00383F93"/>
    <w:rsid w:val="00387583"/>
    <w:rsid w:val="00391F7F"/>
    <w:rsid w:val="00393256"/>
    <w:rsid w:val="00393307"/>
    <w:rsid w:val="00393E28"/>
    <w:rsid w:val="00397142"/>
    <w:rsid w:val="003B680A"/>
    <w:rsid w:val="003B778B"/>
    <w:rsid w:val="003C7340"/>
    <w:rsid w:val="003D3595"/>
    <w:rsid w:val="003F1F57"/>
    <w:rsid w:val="00401F7E"/>
    <w:rsid w:val="004062D9"/>
    <w:rsid w:val="004120A5"/>
    <w:rsid w:val="004120A8"/>
    <w:rsid w:val="0041636E"/>
    <w:rsid w:val="00430EFD"/>
    <w:rsid w:val="00431589"/>
    <w:rsid w:val="00432331"/>
    <w:rsid w:val="00432335"/>
    <w:rsid w:val="00432B36"/>
    <w:rsid w:val="004337CF"/>
    <w:rsid w:val="0043393F"/>
    <w:rsid w:val="004368B9"/>
    <w:rsid w:val="004372EF"/>
    <w:rsid w:val="0044622E"/>
    <w:rsid w:val="00451CF9"/>
    <w:rsid w:val="0045477C"/>
    <w:rsid w:val="00457F2B"/>
    <w:rsid w:val="00461170"/>
    <w:rsid w:val="00464619"/>
    <w:rsid w:val="00467C79"/>
    <w:rsid w:val="004700D1"/>
    <w:rsid w:val="00473CEC"/>
    <w:rsid w:val="00483B62"/>
    <w:rsid w:val="00484A8A"/>
    <w:rsid w:val="00486478"/>
    <w:rsid w:val="00493E3E"/>
    <w:rsid w:val="00494967"/>
    <w:rsid w:val="00494A14"/>
    <w:rsid w:val="0049551F"/>
    <w:rsid w:val="004A6C86"/>
    <w:rsid w:val="004B08F8"/>
    <w:rsid w:val="004B7885"/>
    <w:rsid w:val="004C0FD3"/>
    <w:rsid w:val="004C134A"/>
    <w:rsid w:val="004C6A2A"/>
    <w:rsid w:val="004D0640"/>
    <w:rsid w:val="004D299B"/>
    <w:rsid w:val="004D52C3"/>
    <w:rsid w:val="004D76D1"/>
    <w:rsid w:val="004D7A02"/>
    <w:rsid w:val="004E2A0B"/>
    <w:rsid w:val="004E4F97"/>
    <w:rsid w:val="004E5F9C"/>
    <w:rsid w:val="004F2804"/>
    <w:rsid w:val="004F3F44"/>
    <w:rsid w:val="0050119B"/>
    <w:rsid w:val="00515C28"/>
    <w:rsid w:val="00516DF3"/>
    <w:rsid w:val="005178AD"/>
    <w:rsid w:val="0052793D"/>
    <w:rsid w:val="00533B89"/>
    <w:rsid w:val="00541C28"/>
    <w:rsid w:val="00541D9F"/>
    <w:rsid w:val="00542475"/>
    <w:rsid w:val="00552ED3"/>
    <w:rsid w:val="00555ED8"/>
    <w:rsid w:val="00561E6A"/>
    <w:rsid w:val="00563AF1"/>
    <w:rsid w:val="005645BD"/>
    <w:rsid w:val="00564BFC"/>
    <w:rsid w:val="00572C1C"/>
    <w:rsid w:val="0057498D"/>
    <w:rsid w:val="005807A9"/>
    <w:rsid w:val="00583D53"/>
    <w:rsid w:val="0058501B"/>
    <w:rsid w:val="00593DC4"/>
    <w:rsid w:val="0059419D"/>
    <w:rsid w:val="005967B1"/>
    <w:rsid w:val="00596FDA"/>
    <w:rsid w:val="005A08A7"/>
    <w:rsid w:val="005A41A0"/>
    <w:rsid w:val="005A682A"/>
    <w:rsid w:val="005B0D0E"/>
    <w:rsid w:val="005B18B4"/>
    <w:rsid w:val="005B2385"/>
    <w:rsid w:val="005B2502"/>
    <w:rsid w:val="005B26F4"/>
    <w:rsid w:val="005C3BDB"/>
    <w:rsid w:val="005C5CD9"/>
    <w:rsid w:val="005C64A7"/>
    <w:rsid w:val="005D14AA"/>
    <w:rsid w:val="005E3713"/>
    <w:rsid w:val="005E7DEB"/>
    <w:rsid w:val="005F5F0C"/>
    <w:rsid w:val="006021A1"/>
    <w:rsid w:val="006049B9"/>
    <w:rsid w:val="0060602E"/>
    <w:rsid w:val="00610BFE"/>
    <w:rsid w:val="00612884"/>
    <w:rsid w:val="00612DCF"/>
    <w:rsid w:val="00614916"/>
    <w:rsid w:val="00614CFC"/>
    <w:rsid w:val="00616495"/>
    <w:rsid w:val="00617FB8"/>
    <w:rsid w:val="00620DF5"/>
    <w:rsid w:val="00620F34"/>
    <w:rsid w:val="00625E6E"/>
    <w:rsid w:val="006266B3"/>
    <w:rsid w:val="00627AD9"/>
    <w:rsid w:val="006310A0"/>
    <w:rsid w:val="006311EB"/>
    <w:rsid w:val="00631A49"/>
    <w:rsid w:val="0063465F"/>
    <w:rsid w:val="00641951"/>
    <w:rsid w:val="00651A33"/>
    <w:rsid w:val="00652952"/>
    <w:rsid w:val="00652BCE"/>
    <w:rsid w:val="00654F82"/>
    <w:rsid w:val="00657553"/>
    <w:rsid w:val="0066015F"/>
    <w:rsid w:val="00663467"/>
    <w:rsid w:val="006643D5"/>
    <w:rsid w:val="0067276F"/>
    <w:rsid w:val="00673A0B"/>
    <w:rsid w:val="0067445F"/>
    <w:rsid w:val="00682B16"/>
    <w:rsid w:val="006831C2"/>
    <w:rsid w:val="00685221"/>
    <w:rsid w:val="006872E5"/>
    <w:rsid w:val="00691956"/>
    <w:rsid w:val="0069208F"/>
    <w:rsid w:val="00695ACA"/>
    <w:rsid w:val="006A16E2"/>
    <w:rsid w:val="006A22A2"/>
    <w:rsid w:val="006A3EEB"/>
    <w:rsid w:val="006A74FC"/>
    <w:rsid w:val="006B21AC"/>
    <w:rsid w:val="006C0DFD"/>
    <w:rsid w:val="006C31CA"/>
    <w:rsid w:val="006C34A0"/>
    <w:rsid w:val="006C37E1"/>
    <w:rsid w:val="006D604E"/>
    <w:rsid w:val="006D628A"/>
    <w:rsid w:val="006D653F"/>
    <w:rsid w:val="006F1980"/>
    <w:rsid w:val="006F298B"/>
    <w:rsid w:val="00700ECB"/>
    <w:rsid w:val="007057D1"/>
    <w:rsid w:val="0071030B"/>
    <w:rsid w:val="007169D2"/>
    <w:rsid w:val="0072042D"/>
    <w:rsid w:val="00724D15"/>
    <w:rsid w:val="00733480"/>
    <w:rsid w:val="00734E48"/>
    <w:rsid w:val="00735011"/>
    <w:rsid w:val="00740ADB"/>
    <w:rsid w:val="00741A34"/>
    <w:rsid w:val="00743651"/>
    <w:rsid w:val="00744566"/>
    <w:rsid w:val="00746853"/>
    <w:rsid w:val="00751473"/>
    <w:rsid w:val="0075247A"/>
    <w:rsid w:val="00755188"/>
    <w:rsid w:val="0075615A"/>
    <w:rsid w:val="007579F2"/>
    <w:rsid w:val="0076310E"/>
    <w:rsid w:val="00765192"/>
    <w:rsid w:val="00766E8D"/>
    <w:rsid w:val="0076733A"/>
    <w:rsid w:val="00767ACD"/>
    <w:rsid w:val="00777145"/>
    <w:rsid w:val="00780B2D"/>
    <w:rsid w:val="00780DA4"/>
    <w:rsid w:val="007878F4"/>
    <w:rsid w:val="00795D46"/>
    <w:rsid w:val="00796886"/>
    <w:rsid w:val="007A189E"/>
    <w:rsid w:val="007A7834"/>
    <w:rsid w:val="007B22D7"/>
    <w:rsid w:val="007B2EAD"/>
    <w:rsid w:val="007B323E"/>
    <w:rsid w:val="007B3982"/>
    <w:rsid w:val="007B3E3E"/>
    <w:rsid w:val="007C0CCA"/>
    <w:rsid w:val="007C5C85"/>
    <w:rsid w:val="007D1B72"/>
    <w:rsid w:val="007E13D9"/>
    <w:rsid w:val="007E752A"/>
    <w:rsid w:val="007F15A3"/>
    <w:rsid w:val="007F21EA"/>
    <w:rsid w:val="007F7635"/>
    <w:rsid w:val="007F7D84"/>
    <w:rsid w:val="00800BB1"/>
    <w:rsid w:val="00802AB5"/>
    <w:rsid w:val="00810CBB"/>
    <w:rsid w:val="00812746"/>
    <w:rsid w:val="00813ADA"/>
    <w:rsid w:val="0081506C"/>
    <w:rsid w:val="00821699"/>
    <w:rsid w:val="008263C0"/>
    <w:rsid w:val="008265CA"/>
    <w:rsid w:val="00826C39"/>
    <w:rsid w:val="008324EC"/>
    <w:rsid w:val="00833920"/>
    <w:rsid w:val="008357B4"/>
    <w:rsid w:val="008367B8"/>
    <w:rsid w:val="008424FB"/>
    <w:rsid w:val="00845BB0"/>
    <w:rsid w:val="0084630D"/>
    <w:rsid w:val="0085110C"/>
    <w:rsid w:val="00852497"/>
    <w:rsid w:val="00855B7E"/>
    <w:rsid w:val="00862E0C"/>
    <w:rsid w:val="00864E3A"/>
    <w:rsid w:val="00870DEC"/>
    <w:rsid w:val="00872909"/>
    <w:rsid w:val="008730C9"/>
    <w:rsid w:val="008858E0"/>
    <w:rsid w:val="00885EEA"/>
    <w:rsid w:val="0088621E"/>
    <w:rsid w:val="008A396A"/>
    <w:rsid w:val="008A58F4"/>
    <w:rsid w:val="008A681D"/>
    <w:rsid w:val="008B3C70"/>
    <w:rsid w:val="008B49E6"/>
    <w:rsid w:val="008B4D3E"/>
    <w:rsid w:val="008B7B61"/>
    <w:rsid w:val="008C0342"/>
    <w:rsid w:val="008C1216"/>
    <w:rsid w:val="008C2912"/>
    <w:rsid w:val="008C3D3F"/>
    <w:rsid w:val="008E260F"/>
    <w:rsid w:val="008E3CD3"/>
    <w:rsid w:val="008E5E58"/>
    <w:rsid w:val="008F7D52"/>
    <w:rsid w:val="00910DA2"/>
    <w:rsid w:val="00911821"/>
    <w:rsid w:val="00915DA8"/>
    <w:rsid w:val="009318E0"/>
    <w:rsid w:val="009431CC"/>
    <w:rsid w:val="00943771"/>
    <w:rsid w:val="0094565D"/>
    <w:rsid w:val="009466C4"/>
    <w:rsid w:val="00946B32"/>
    <w:rsid w:val="00952B0A"/>
    <w:rsid w:val="00954ECC"/>
    <w:rsid w:val="009600A8"/>
    <w:rsid w:val="00960B88"/>
    <w:rsid w:val="00960F6C"/>
    <w:rsid w:val="00960F80"/>
    <w:rsid w:val="00963367"/>
    <w:rsid w:val="00986AA6"/>
    <w:rsid w:val="009909DE"/>
    <w:rsid w:val="009913C7"/>
    <w:rsid w:val="0099329F"/>
    <w:rsid w:val="009977E7"/>
    <w:rsid w:val="009A2EDD"/>
    <w:rsid w:val="009A6D65"/>
    <w:rsid w:val="009C680C"/>
    <w:rsid w:val="009D2A88"/>
    <w:rsid w:val="009E04DE"/>
    <w:rsid w:val="009E1CC1"/>
    <w:rsid w:val="009E3370"/>
    <w:rsid w:val="009E34C9"/>
    <w:rsid w:val="009F3A07"/>
    <w:rsid w:val="009F5F31"/>
    <w:rsid w:val="009F76A2"/>
    <w:rsid w:val="00A0469D"/>
    <w:rsid w:val="00A11D41"/>
    <w:rsid w:val="00A13830"/>
    <w:rsid w:val="00A141D5"/>
    <w:rsid w:val="00A243AA"/>
    <w:rsid w:val="00A4062D"/>
    <w:rsid w:val="00A44F24"/>
    <w:rsid w:val="00A45497"/>
    <w:rsid w:val="00A468EE"/>
    <w:rsid w:val="00A51C94"/>
    <w:rsid w:val="00A5588B"/>
    <w:rsid w:val="00A56CE1"/>
    <w:rsid w:val="00A57DA8"/>
    <w:rsid w:val="00A63231"/>
    <w:rsid w:val="00A634D4"/>
    <w:rsid w:val="00A63D5F"/>
    <w:rsid w:val="00A7022F"/>
    <w:rsid w:val="00A7196F"/>
    <w:rsid w:val="00A77196"/>
    <w:rsid w:val="00A80239"/>
    <w:rsid w:val="00A80AE7"/>
    <w:rsid w:val="00A80C57"/>
    <w:rsid w:val="00A859E2"/>
    <w:rsid w:val="00A867A0"/>
    <w:rsid w:val="00A86EC4"/>
    <w:rsid w:val="00A9015B"/>
    <w:rsid w:val="00A9298A"/>
    <w:rsid w:val="00AA6468"/>
    <w:rsid w:val="00AB59DA"/>
    <w:rsid w:val="00AB7C17"/>
    <w:rsid w:val="00AC02F3"/>
    <w:rsid w:val="00AC4E5F"/>
    <w:rsid w:val="00AD06C6"/>
    <w:rsid w:val="00AD5F33"/>
    <w:rsid w:val="00AE10E3"/>
    <w:rsid w:val="00AE3D99"/>
    <w:rsid w:val="00AE6B78"/>
    <w:rsid w:val="00AF125C"/>
    <w:rsid w:val="00AF324D"/>
    <w:rsid w:val="00B005FE"/>
    <w:rsid w:val="00B022D2"/>
    <w:rsid w:val="00B03103"/>
    <w:rsid w:val="00B04F94"/>
    <w:rsid w:val="00B0670C"/>
    <w:rsid w:val="00B07DFA"/>
    <w:rsid w:val="00B14F99"/>
    <w:rsid w:val="00B17890"/>
    <w:rsid w:val="00B24DD4"/>
    <w:rsid w:val="00B2559A"/>
    <w:rsid w:val="00B271BD"/>
    <w:rsid w:val="00B30CAA"/>
    <w:rsid w:val="00B40A63"/>
    <w:rsid w:val="00B40DFC"/>
    <w:rsid w:val="00B430D2"/>
    <w:rsid w:val="00B50632"/>
    <w:rsid w:val="00B52E15"/>
    <w:rsid w:val="00B538D7"/>
    <w:rsid w:val="00B539F3"/>
    <w:rsid w:val="00B61DA1"/>
    <w:rsid w:val="00B632A9"/>
    <w:rsid w:val="00B63E6A"/>
    <w:rsid w:val="00B662E7"/>
    <w:rsid w:val="00B6781F"/>
    <w:rsid w:val="00B770DA"/>
    <w:rsid w:val="00B8759D"/>
    <w:rsid w:val="00B92740"/>
    <w:rsid w:val="00B93DD3"/>
    <w:rsid w:val="00B940C6"/>
    <w:rsid w:val="00B95EE0"/>
    <w:rsid w:val="00B9694E"/>
    <w:rsid w:val="00BA0C9F"/>
    <w:rsid w:val="00BA0DF7"/>
    <w:rsid w:val="00BA585A"/>
    <w:rsid w:val="00BA7C06"/>
    <w:rsid w:val="00BB1733"/>
    <w:rsid w:val="00BB17A2"/>
    <w:rsid w:val="00BB27D5"/>
    <w:rsid w:val="00BB2A88"/>
    <w:rsid w:val="00BC05A3"/>
    <w:rsid w:val="00BC4259"/>
    <w:rsid w:val="00BE0E1F"/>
    <w:rsid w:val="00BE14A6"/>
    <w:rsid w:val="00BE5461"/>
    <w:rsid w:val="00BE6BDC"/>
    <w:rsid w:val="00BE7CB3"/>
    <w:rsid w:val="00BF0CC0"/>
    <w:rsid w:val="00BF12FA"/>
    <w:rsid w:val="00BF75BF"/>
    <w:rsid w:val="00C018C3"/>
    <w:rsid w:val="00C01C30"/>
    <w:rsid w:val="00C03D35"/>
    <w:rsid w:val="00C0507B"/>
    <w:rsid w:val="00C1310E"/>
    <w:rsid w:val="00C2305E"/>
    <w:rsid w:val="00C25006"/>
    <w:rsid w:val="00C25145"/>
    <w:rsid w:val="00C26DAC"/>
    <w:rsid w:val="00C31F83"/>
    <w:rsid w:val="00C41D4D"/>
    <w:rsid w:val="00C43841"/>
    <w:rsid w:val="00C46049"/>
    <w:rsid w:val="00C52B40"/>
    <w:rsid w:val="00C55BBE"/>
    <w:rsid w:val="00C55F2B"/>
    <w:rsid w:val="00C608B5"/>
    <w:rsid w:val="00C610D0"/>
    <w:rsid w:val="00C63250"/>
    <w:rsid w:val="00C675E0"/>
    <w:rsid w:val="00C74057"/>
    <w:rsid w:val="00C74D91"/>
    <w:rsid w:val="00C7765D"/>
    <w:rsid w:val="00C82393"/>
    <w:rsid w:val="00C845DC"/>
    <w:rsid w:val="00C877DD"/>
    <w:rsid w:val="00C900C9"/>
    <w:rsid w:val="00C90784"/>
    <w:rsid w:val="00C90A90"/>
    <w:rsid w:val="00CA4989"/>
    <w:rsid w:val="00CB0A29"/>
    <w:rsid w:val="00CB2986"/>
    <w:rsid w:val="00CB50BC"/>
    <w:rsid w:val="00CD077E"/>
    <w:rsid w:val="00CD4A9F"/>
    <w:rsid w:val="00CD5DE1"/>
    <w:rsid w:val="00CD7CD5"/>
    <w:rsid w:val="00CE27BB"/>
    <w:rsid w:val="00CE423D"/>
    <w:rsid w:val="00CE6A20"/>
    <w:rsid w:val="00CF025C"/>
    <w:rsid w:val="00CF0AEA"/>
    <w:rsid w:val="00CF12E0"/>
    <w:rsid w:val="00CF4342"/>
    <w:rsid w:val="00D02CB7"/>
    <w:rsid w:val="00D04A9B"/>
    <w:rsid w:val="00D158E6"/>
    <w:rsid w:val="00D25E1C"/>
    <w:rsid w:val="00D30914"/>
    <w:rsid w:val="00D31407"/>
    <w:rsid w:val="00D3524C"/>
    <w:rsid w:val="00D369DA"/>
    <w:rsid w:val="00D37979"/>
    <w:rsid w:val="00D41A33"/>
    <w:rsid w:val="00D42809"/>
    <w:rsid w:val="00D43608"/>
    <w:rsid w:val="00D43B2A"/>
    <w:rsid w:val="00D53E25"/>
    <w:rsid w:val="00D627D9"/>
    <w:rsid w:val="00D63386"/>
    <w:rsid w:val="00D64B1F"/>
    <w:rsid w:val="00D661B3"/>
    <w:rsid w:val="00D720B5"/>
    <w:rsid w:val="00D732FD"/>
    <w:rsid w:val="00D7545C"/>
    <w:rsid w:val="00D768EA"/>
    <w:rsid w:val="00D820E9"/>
    <w:rsid w:val="00D878D9"/>
    <w:rsid w:val="00D934F2"/>
    <w:rsid w:val="00DA6529"/>
    <w:rsid w:val="00DB20E6"/>
    <w:rsid w:val="00DB2393"/>
    <w:rsid w:val="00DB530F"/>
    <w:rsid w:val="00DD0AE4"/>
    <w:rsid w:val="00DD4127"/>
    <w:rsid w:val="00DE4B20"/>
    <w:rsid w:val="00DF3279"/>
    <w:rsid w:val="00DF4A1B"/>
    <w:rsid w:val="00E01A81"/>
    <w:rsid w:val="00E041F3"/>
    <w:rsid w:val="00E10964"/>
    <w:rsid w:val="00E14AD4"/>
    <w:rsid w:val="00E17286"/>
    <w:rsid w:val="00E2209D"/>
    <w:rsid w:val="00E26FA9"/>
    <w:rsid w:val="00E27824"/>
    <w:rsid w:val="00E3347E"/>
    <w:rsid w:val="00E3678A"/>
    <w:rsid w:val="00E403A6"/>
    <w:rsid w:val="00E4074A"/>
    <w:rsid w:val="00E43866"/>
    <w:rsid w:val="00E44368"/>
    <w:rsid w:val="00E60CD6"/>
    <w:rsid w:val="00E61B53"/>
    <w:rsid w:val="00E61ED7"/>
    <w:rsid w:val="00E61F5D"/>
    <w:rsid w:val="00E6200D"/>
    <w:rsid w:val="00E656A5"/>
    <w:rsid w:val="00E7371B"/>
    <w:rsid w:val="00E75B5A"/>
    <w:rsid w:val="00E77D05"/>
    <w:rsid w:val="00E8080E"/>
    <w:rsid w:val="00E80E7C"/>
    <w:rsid w:val="00E836BD"/>
    <w:rsid w:val="00E838C4"/>
    <w:rsid w:val="00E845E9"/>
    <w:rsid w:val="00E85D2A"/>
    <w:rsid w:val="00E86352"/>
    <w:rsid w:val="00E92B43"/>
    <w:rsid w:val="00EA14BC"/>
    <w:rsid w:val="00EA20B5"/>
    <w:rsid w:val="00EC0150"/>
    <w:rsid w:val="00EC1770"/>
    <w:rsid w:val="00EC6CB0"/>
    <w:rsid w:val="00ED64D9"/>
    <w:rsid w:val="00EE3443"/>
    <w:rsid w:val="00EE7F41"/>
    <w:rsid w:val="00EF3751"/>
    <w:rsid w:val="00EF64E4"/>
    <w:rsid w:val="00EF73F4"/>
    <w:rsid w:val="00F0672E"/>
    <w:rsid w:val="00F12DCC"/>
    <w:rsid w:val="00F158CD"/>
    <w:rsid w:val="00F21E57"/>
    <w:rsid w:val="00F22DC3"/>
    <w:rsid w:val="00F22FB6"/>
    <w:rsid w:val="00F235DD"/>
    <w:rsid w:val="00F24C82"/>
    <w:rsid w:val="00F252EE"/>
    <w:rsid w:val="00F25E39"/>
    <w:rsid w:val="00F27C04"/>
    <w:rsid w:val="00F331FF"/>
    <w:rsid w:val="00F33294"/>
    <w:rsid w:val="00F33DBF"/>
    <w:rsid w:val="00F408F4"/>
    <w:rsid w:val="00F41494"/>
    <w:rsid w:val="00F42C12"/>
    <w:rsid w:val="00F44456"/>
    <w:rsid w:val="00F4552B"/>
    <w:rsid w:val="00F45B02"/>
    <w:rsid w:val="00F45D19"/>
    <w:rsid w:val="00F46C20"/>
    <w:rsid w:val="00F4733D"/>
    <w:rsid w:val="00F47A81"/>
    <w:rsid w:val="00F532F2"/>
    <w:rsid w:val="00F551BE"/>
    <w:rsid w:val="00F62B02"/>
    <w:rsid w:val="00F85009"/>
    <w:rsid w:val="00F861CE"/>
    <w:rsid w:val="00F92880"/>
    <w:rsid w:val="00F959E4"/>
    <w:rsid w:val="00FA105E"/>
    <w:rsid w:val="00FA1D6C"/>
    <w:rsid w:val="00FA6D52"/>
    <w:rsid w:val="00FB07A6"/>
    <w:rsid w:val="00FB1BE8"/>
    <w:rsid w:val="00FB3C1F"/>
    <w:rsid w:val="00FB6BD9"/>
    <w:rsid w:val="00FB75FC"/>
    <w:rsid w:val="00FB7BED"/>
    <w:rsid w:val="00FC1DD8"/>
    <w:rsid w:val="00FC79A5"/>
    <w:rsid w:val="00FD0E5C"/>
    <w:rsid w:val="00FD1B37"/>
    <w:rsid w:val="00FD56CB"/>
    <w:rsid w:val="00FD771E"/>
    <w:rsid w:val="00FE02F8"/>
    <w:rsid w:val="00FE159C"/>
    <w:rsid w:val="00FE4BA8"/>
    <w:rsid w:val="00FE5328"/>
    <w:rsid w:val="00FE743D"/>
    <w:rsid w:val="00FF05E9"/>
    <w:rsid w:val="00FF1D53"/>
    <w:rsid w:val="00FF2747"/>
    <w:rsid w:val="454E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930745"/>
  <w15:docId w15:val="{213BF0C3-042F-4FB5-A5F2-98519AF6F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spacing w:line="300" w:lineRule="auto"/>
      <w:ind w:firstLineChars="200" w:firstLine="200"/>
      <w:jc w:val="both"/>
    </w:pPr>
    <w:rPr>
      <w:rFonts w:ascii="Calibri" w:eastAsia="楷体" w:hAnsi="Calibri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120" w:after="120"/>
      <w:ind w:firstLineChars="0" w:firstLine="0"/>
      <w:jc w:val="center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/>
      <w:ind w:firstLineChars="0" w:firstLine="0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/>
      <w:ind w:firstLineChars="0" w:firstLine="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120" w:after="120"/>
      <w:outlineLvl w:val="3"/>
    </w:pPr>
    <w:rPr>
      <w:rFonts w:asciiTheme="majorHAnsi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uiPriority w:val="99"/>
    <w:semiHidden/>
    <w:unhideWhenUsed/>
    <w:pPr>
      <w:jc w:val="left"/>
    </w:pPr>
  </w:style>
  <w:style w:type="paragraph" w:styleId="a5">
    <w:name w:val="Balloon Text"/>
    <w:basedOn w:val="a"/>
    <w:link w:val="a6"/>
    <w:uiPriority w:val="99"/>
    <w:semiHidden/>
    <w:unhideWhenUsed/>
    <w:pPr>
      <w:spacing w:line="240" w:lineRule="auto"/>
    </w:pPr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qFormat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eastAsia="宋体" w:hAnsi="宋体" w:cs="宋体"/>
      <w:kern w:val="0"/>
    </w:rPr>
  </w:style>
  <w:style w:type="paragraph" w:styleId="ac">
    <w:name w:val="annotation subject"/>
    <w:basedOn w:val="a3"/>
    <w:next w:val="a3"/>
    <w:link w:val="ad"/>
    <w:uiPriority w:val="99"/>
    <w:semiHidden/>
    <w:unhideWhenUsed/>
    <w:rPr>
      <w:b/>
      <w:bCs/>
    </w:rPr>
  </w:style>
  <w:style w:type="table" w:styleId="ae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styleId="af0">
    <w:name w:val="List Paragraph"/>
    <w:basedOn w:val="a"/>
    <w:uiPriority w:val="34"/>
    <w:pPr>
      <w:ind w:firstLine="420"/>
    </w:pPr>
    <w:rPr>
      <w:szCs w:val="22"/>
    </w:rPr>
  </w:style>
  <w:style w:type="paragraph" w:customStyle="1" w:styleId="0174">
    <w:name w:val="017讲义4级标题 一、"/>
    <w:basedOn w:val="4"/>
    <w:pPr>
      <w:spacing w:line="360" w:lineRule="auto"/>
      <w:jc w:val="left"/>
      <w:textAlignment w:val="center"/>
    </w:pPr>
    <w:rPr>
      <w:rFonts w:ascii="Times New Roman" w:eastAsia="宋体" w:hAnsi="Times New Roman" w:cs="Times New Roman"/>
      <w:sz w:val="22"/>
      <w:szCs w:val="25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="楷体" w:hAnsiTheme="majorHAnsi" w:cstheme="majorBidi"/>
      <w:b/>
      <w:bCs/>
      <w:kern w:val="2"/>
      <w:sz w:val="24"/>
      <w:szCs w:val="28"/>
    </w:rPr>
  </w:style>
  <w:style w:type="character" w:customStyle="1" w:styleId="10">
    <w:name w:val="标题 1 字符"/>
    <w:basedOn w:val="a0"/>
    <w:link w:val="1"/>
    <w:uiPriority w:val="9"/>
    <w:qFormat/>
    <w:rPr>
      <w:rFonts w:ascii="Calibri" w:eastAsia="楷体" w:hAnsi="Calibri" w:cs="Times New Roman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楷体" w:hAnsiTheme="majorHAnsi" w:cstheme="majorBidi"/>
      <w:b/>
      <w:bCs/>
      <w:kern w:val="2"/>
      <w:sz w:val="30"/>
      <w:szCs w:val="32"/>
    </w:rPr>
  </w:style>
  <w:style w:type="paragraph" w:customStyle="1" w:styleId="el-menu-item">
    <w:name w:val="el-menu-item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30">
    <w:name w:val="标题 3 字符"/>
    <w:basedOn w:val="a0"/>
    <w:link w:val="3"/>
    <w:uiPriority w:val="9"/>
    <w:rPr>
      <w:rFonts w:ascii="Calibri" w:eastAsia="楷体" w:hAnsi="Calibri" w:cs="Times New Roman"/>
      <w:b/>
      <w:bCs/>
      <w:kern w:val="2"/>
      <w:sz w:val="28"/>
      <w:szCs w:val="32"/>
    </w:rPr>
  </w:style>
  <w:style w:type="table" w:customStyle="1" w:styleId="4-11">
    <w:name w:val="网格表 4 - 着色 11"/>
    <w:basedOn w:val="a1"/>
    <w:uiPriority w:val="49"/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a4">
    <w:name w:val="批注文字 字符"/>
    <w:basedOn w:val="a0"/>
    <w:link w:val="a3"/>
    <w:uiPriority w:val="99"/>
    <w:semiHidden/>
    <w:rPr>
      <w:rFonts w:ascii="Calibri" w:eastAsia="楷体" w:hAnsi="Calibri" w:cs="Times New Roman"/>
      <w:kern w:val="2"/>
      <w:sz w:val="24"/>
      <w:szCs w:val="24"/>
    </w:rPr>
  </w:style>
  <w:style w:type="character" w:customStyle="1" w:styleId="ad">
    <w:name w:val="批注主题 字符"/>
    <w:basedOn w:val="a4"/>
    <w:link w:val="ac"/>
    <w:uiPriority w:val="99"/>
    <w:semiHidden/>
    <w:rPr>
      <w:rFonts w:ascii="Calibri" w:eastAsia="楷体" w:hAnsi="Calibri" w:cs="Times New Roman"/>
      <w:b/>
      <w:bCs/>
      <w:kern w:val="2"/>
      <w:sz w:val="24"/>
      <w:szCs w:val="24"/>
    </w:rPr>
  </w:style>
  <w:style w:type="character" w:customStyle="1" w:styleId="a6">
    <w:name w:val="批注框文本 字符"/>
    <w:basedOn w:val="a0"/>
    <w:link w:val="a5"/>
    <w:uiPriority w:val="99"/>
    <w:semiHidden/>
    <w:rPr>
      <w:rFonts w:ascii="Calibri" w:eastAsia="楷体" w:hAnsi="Calibri" w:cs="Times New Roman"/>
      <w:kern w:val="2"/>
      <w:sz w:val="18"/>
      <w:szCs w:val="18"/>
    </w:rPr>
  </w:style>
  <w:style w:type="paragraph" w:customStyle="1" w:styleId="0172">
    <w:name w:val="017讲义2级标题 章"/>
    <w:basedOn w:val="2"/>
    <w:link w:val="0172Char"/>
    <w:qFormat/>
    <w:pPr>
      <w:keepNext w:val="0"/>
      <w:keepLines w:val="0"/>
      <w:widowControl/>
      <w:spacing w:beforeLines="100" w:before="312" w:afterLines="50" w:after="156" w:line="360" w:lineRule="auto"/>
      <w:ind w:firstLine="480"/>
      <w:jc w:val="center"/>
      <w:textAlignment w:val="center"/>
    </w:pPr>
    <w:rPr>
      <w:rFonts w:ascii="微软雅黑" w:eastAsia="微软雅黑" w:hAnsi="微软雅黑" w:cs="Times New Roman"/>
      <w:bCs w:val="0"/>
      <w:kern w:val="0"/>
      <w:sz w:val="32"/>
      <w:szCs w:val="29"/>
    </w:rPr>
  </w:style>
  <w:style w:type="character" w:customStyle="1" w:styleId="0172Char">
    <w:name w:val="017讲义2级标题 章 Char"/>
    <w:basedOn w:val="a0"/>
    <w:link w:val="0172"/>
    <w:qFormat/>
    <w:rPr>
      <w:rFonts w:ascii="微软雅黑" w:eastAsia="微软雅黑" w:hAnsi="微软雅黑" w:cs="Times New Roman"/>
      <w:b/>
      <w:sz w:val="32"/>
      <w:szCs w:val="29"/>
    </w:rPr>
  </w:style>
  <w:style w:type="paragraph" w:customStyle="1" w:styleId="01761">
    <w:name w:val="017讲义6级标题 1."/>
    <w:basedOn w:val="6"/>
    <w:link w:val="01761Char"/>
    <w:qFormat/>
    <w:pPr>
      <w:widowControl/>
      <w:spacing w:before="0" w:after="0" w:line="240" w:lineRule="auto"/>
      <w:ind w:firstLine="482"/>
      <w:jc w:val="left"/>
      <w:textAlignment w:val="center"/>
    </w:pPr>
    <w:rPr>
      <w:rFonts w:ascii="KaiTi" w:eastAsia="KaiTi" w:hAnsi="KaiTi" w:cs="Arial"/>
      <w:kern w:val="0"/>
      <w:szCs w:val="22"/>
    </w:rPr>
  </w:style>
  <w:style w:type="character" w:customStyle="1" w:styleId="01761Char">
    <w:name w:val="017讲义6级标题 1. Char"/>
    <w:basedOn w:val="a0"/>
    <w:link w:val="01761"/>
    <w:qFormat/>
    <w:rPr>
      <w:rFonts w:ascii="KaiTi" w:eastAsia="KaiTi" w:hAnsi="KaiTi" w:cs="Arial"/>
      <w:b/>
      <w:bCs/>
      <w:sz w:val="24"/>
      <w:szCs w:val="22"/>
    </w:rPr>
  </w:style>
  <w:style w:type="paragraph" w:customStyle="1" w:styleId="017">
    <w:name w:val="017讲义正文"/>
    <w:basedOn w:val="a"/>
    <w:link w:val="017Char"/>
    <w:qFormat/>
    <w:pPr>
      <w:widowControl/>
      <w:spacing w:line="360" w:lineRule="auto"/>
      <w:ind w:firstLine="480"/>
      <w:jc w:val="left"/>
      <w:textAlignment w:val="center"/>
    </w:pPr>
    <w:rPr>
      <w:rFonts w:ascii="KaiTi" w:eastAsia="KaiTi" w:hAnsi="KaiTi"/>
      <w:kern w:val="0"/>
    </w:rPr>
  </w:style>
  <w:style w:type="character" w:customStyle="1" w:styleId="017Char">
    <w:name w:val="017讲义正文 Char"/>
    <w:link w:val="017"/>
    <w:qFormat/>
    <w:rPr>
      <w:rFonts w:ascii="KaiTi" w:eastAsia="KaiTi" w:hAnsi="KaiTi" w:cs="Times New Roman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paragraph" w:customStyle="1" w:styleId="0175">
    <w:name w:val="017讲义5级标题 （一）"/>
    <w:basedOn w:val="5"/>
    <w:link w:val="0175Char"/>
    <w:qFormat/>
    <w:pPr>
      <w:widowControl/>
      <w:spacing w:before="0" w:after="0" w:line="240" w:lineRule="auto"/>
      <w:jc w:val="left"/>
      <w:textAlignment w:val="center"/>
    </w:pPr>
    <w:rPr>
      <w:rFonts w:ascii="Times New Roman" w:eastAsia="宋体" w:hAnsi="Times New Roman"/>
      <w:b w:val="0"/>
      <w:kern w:val="0"/>
      <w:sz w:val="22"/>
      <w:szCs w:val="23"/>
    </w:rPr>
  </w:style>
  <w:style w:type="character" w:customStyle="1" w:styleId="0175Char">
    <w:name w:val="017讲义5级标题 （一） Char"/>
    <w:basedOn w:val="a0"/>
    <w:link w:val="0175"/>
    <w:qFormat/>
    <w:rPr>
      <w:rFonts w:ascii="Times New Roman" w:eastAsia="宋体" w:hAnsi="Times New Roman" w:cs="Times New Roman"/>
      <w:bCs/>
      <w:sz w:val="22"/>
      <w:szCs w:val="23"/>
    </w:rPr>
  </w:style>
  <w:style w:type="paragraph" w:customStyle="1" w:styleId="af1">
    <w:name w:val="小标题"/>
    <w:basedOn w:val="a"/>
    <w:link w:val="af2"/>
    <w:qFormat/>
    <w:pPr>
      <w:spacing w:beforeLines="50" w:before="50" w:afterLines="50" w:after="50" w:line="240" w:lineRule="auto"/>
      <w:ind w:firstLineChars="0" w:firstLine="0"/>
    </w:pPr>
    <w:rPr>
      <w:rFonts w:ascii="宋体" w:eastAsia="宋体" w:hAnsi="宋体" w:cs="微软雅黑"/>
      <w:b/>
      <w:color w:val="000000" w:themeColor="text1"/>
    </w:rPr>
  </w:style>
  <w:style w:type="character" w:customStyle="1" w:styleId="af2">
    <w:name w:val="小标题 字符"/>
    <w:basedOn w:val="a0"/>
    <w:link w:val="af1"/>
    <w:rPr>
      <w:rFonts w:ascii="宋体" w:eastAsia="宋体" w:hAnsi="宋体" w:cs="微软雅黑"/>
      <w:b/>
      <w:color w:val="000000" w:themeColor="text1"/>
      <w:kern w:val="2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Pr>
      <w:rFonts w:ascii="Calibri" w:eastAsia="楷体" w:hAnsi="Calibri" w:cs="Times New Roman"/>
      <w:b/>
      <w:bCs/>
      <w:kern w:val="2"/>
      <w:sz w:val="28"/>
      <w:szCs w:val="28"/>
    </w:rPr>
  </w:style>
  <w:style w:type="character" w:customStyle="1" w:styleId="c-textnode">
    <w:name w:val="c-textnod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曹 坤</dc:creator>
  <cp:lastModifiedBy>cc li</cp:lastModifiedBy>
  <cp:revision>5</cp:revision>
  <dcterms:created xsi:type="dcterms:W3CDTF">2021-05-14T10:16:00Z</dcterms:created>
  <dcterms:modified xsi:type="dcterms:W3CDTF">2021-09-06T04:41:00Z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