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F10DD" w14:textId="77777777" w:rsidR="00E629F3" w:rsidRDefault="00573FF2">
      <w:pPr>
        <w:pStyle w:val="0172"/>
        <w:spacing w:before="326" w:after="163"/>
        <w:rPr>
          <w:rFonts w:ascii="KaiTi" w:eastAsia="KaiTi" w:hAnsi="KaiTi"/>
        </w:rPr>
      </w:pPr>
      <w:r>
        <w:rPr>
          <w:rFonts w:ascii="KaiTi" w:eastAsia="KaiTi" w:hAnsi="KaiTi"/>
        </w:rPr>
        <w:t>第17周</w:t>
      </w:r>
      <w:r>
        <w:rPr>
          <w:rFonts w:ascii="KaiTi" w:eastAsia="KaiTi" w:hAnsi="KaiTi" w:hint="eastAsia"/>
        </w:rPr>
        <w:t>作业（手机版）</w:t>
      </w:r>
    </w:p>
    <w:p w14:paraId="4D66D623" w14:textId="77777777" w:rsidR="00E629F3" w:rsidRDefault="00573FF2">
      <w:pPr>
        <w:pStyle w:val="2"/>
        <w:widowControl w:val="0"/>
        <w:spacing w:line="360" w:lineRule="auto"/>
        <w:jc w:val="both"/>
        <w:rPr>
          <w:rFonts w:ascii="KaiTi" w:eastAsia="KaiTi" w:hAnsi="KaiTi"/>
          <w:kern w:val="2"/>
        </w:rPr>
      </w:pPr>
      <w:r>
        <w:rPr>
          <w:rFonts w:ascii="KaiTi" w:eastAsia="KaiTi" w:hAnsi="KaiTi" w:hint="eastAsia"/>
          <w:kern w:val="2"/>
        </w:rPr>
        <w:t>案例</w:t>
      </w:r>
      <w:proofErr w:type="gramStart"/>
      <w:r>
        <w:rPr>
          <w:rFonts w:ascii="KaiTi" w:eastAsia="KaiTi" w:hAnsi="KaiTi" w:hint="eastAsia"/>
          <w:kern w:val="2"/>
        </w:rPr>
        <w:t>一</w:t>
      </w:r>
      <w:proofErr w:type="gramEnd"/>
      <w:r>
        <w:rPr>
          <w:rFonts w:ascii="KaiTi" w:eastAsia="KaiTi" w:hAnsi="KaiTi" w:hint="eastAsia"/>
          <w:kern w:val="2"/>
        </w:rPr>
        <w:t xml:space="preserve"> ：</w:t>
      </w:r>
    </w:p>
    <w:p w14:paraId="7D31CD42" w14:textId="77777777" w:rsidR="00E629F3" w:rsidRDefault="00573FF2">
      <w:pPr>
        <w:spacing w:line="360" w:lineRule="auto"/>
        <w:ind w:firstLineChars="200" w:firstLine="480"/>
        <w:rPr>
          <w:rFonts w:ascii="KaiTi" w:eastAsia="KaiTi" w:hAnsi="KaiTi"/>
        </w:rPr>
      </w:pPr>
      <w:r>
        <w:rPr>
          <w:rFonts w:ascii="KaiTi" w:eastAsia="KaiTi" w:hAnsi="KaiTi"/>
        </w:rPr>
        <w:t>根据</w:t>
      </w:r>
      <w:r>
        <w:rPr>
          <w:rFonts w:ascii="KaiTi" w:eastAsia="KaiTi" w:hAnsi="KaiTi" w:hint="eastAsia"/>
        </w:rPr>
        <w:t>洋河股份近五年年报的合并利润表项目，分析一下公司的行业地位、成长性、产品竞争力及风险、成本管控能力、产品销售难易度、盈利能力及利润质量等情况，简单评价一下洋河股份这家公司</w:t>
      </w:r>
      <w:r>
        <w:rPr>
          <w:rFonts w:ascii="KaiTi" w:eastAsia="KaiTi" w:hAnsi="KaiTi"/>
        </w:rPr>
        <w:t>。（100 分）</w:t>
      </w:r>
    </w:p>
    <w:p w14:paraId="7A9C674A" w14:textId="77777777" w:rsidR="00E629F3" w:rsidRDefault="00573FF2">
      <w:pPr>
        <w:spacing w:line="360" w:lineRule="auto"/>
        <w:rPr>
          <w:rFonts w:ascii="KaiTi" w:eastAsia="KaiTi" w:hAnsi="KaiTi"/>
        </w:rPr>
      </w:pPr>
      <w:r>
        <w:rPr>
          <w:rFonts w:ascii="KaiTi" w:eastAsia="KaiTi" w:hAnsi="KaiTi" w:hint="eastAsia"/>
          <w:b/>
          <w:bCs/>
          <w:color w:val="FF0000"/>
        </w:rPr>
        <w:t>提示：年报中查找的数据单位为“元”，填到表格时注意换算为“亿元”</w:t>
      </w:r>
    </w:p>
    <w:p w14:paraId="5D338E12" w14:textId="77777777" w:rsidR="00E629F3" w:rsidRDefault="00573FF2">
      <w:pPr>
        <w:spacing w:line="360" w:lineRule="auto"/>
        <w:jc w:val="center"/>
        <w:rPr>
          <w:rFonts w:ascii="KaiTi" w:eastAsia="KaiTi" w:hAnsi="KaiTi"/>
        </w:rPr>
      </w:pPr>
      <w:r>
        <w:rPr>
          <w:rFonts w:ascii="KaiTi" w:eastAsia="KaiTi" w:hAnsi="KaiTi"/>
          <w:b/>
          <w:noProof/>
          <w:sz w:val="28"/>
          <w:szCs w:val="28"/>
        </w:rPr>
        <w:drawing>
          <wp:inline distT="0" distB="0" distL="0" distR="0" wp14:anchorId="3BC7DB43" wp14:editId="7D337D97">
            <wp:extent cx="3759200" cy="37287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70585" cy="3740136"/>
                    </a:xfrm>
                    <a:prstGeom prst="rect">
                      <a:avLst/>
                    </a:prstGeom>
                    <a:noFill/>
                    <a:ln>
                      <a:noFill/>
                    </a:ln>
                  </pic:spPr>
                </pic:pic>
              </a:graphicData>
            </a:graphic>
          </wp:inline>
        </w:drawing>
      </w:r>
    </w:p>
    <w:p w14:paraId="1DDE430D" w14:textId="77777777" w:rsidR="00E629F3" w:rsidRDefault="00573FF2">
      <w:pPr>
        <w:pStyle w:val="3"/>
        <w:spacing w:line="360" w:lineRule="auto"/>
        <w:rPr>
          <w:rFonts w:ascii="KaiTi" w:eastAsia="KaiTi" w:hAnsi="KaiTi"/>
          <w:szCs w:val="28"/>
        </w:rPr>
      </w:pPr>
      <w:r>
        <w:rPr>
          <w:rFonts w:ascii="KaiTi" w:eastAsia="KaiTi" w:hAnsi="KaiTi" w:hint="eastAsia"/>
          <w:szCs w:val="28"/>
        </w:rPr>
        <w:lastRenderedPageBreak/>
        <w:t>一、看营业收入（</w:t>
      </w:r>
      <w:r>
        <w:rPr>
          <w:rFonts w:ascii="KaiTi" w:eastAsia="KaiTi" w:hAnsi="KaiTi"/>
          <w:szCs w:val="28"/>
        </w:rPr>
        <w:t>10</w:t>
      </w:r>
      <w:r>
        <w:rPr>
          <w:rFonts w:ascii="KaiTi" w:eastAsia="KaiTi" w:hAnsi="KaiTi" w:hint="eastAsia"/>
          <w:szCs w:val="28"/>
        </w:rPr>
        <w:t>分）</w:t>
      </w:r>
    </w:p>
    <w:p w14:paraId="72BEFC85" w14:textId="77777777" w:rsidR="00E629F3" w:rsidRDefault="00573FF2">
      <w:pPr>
        <w:pStyle w:val="01761"/>
      </w:pPr>
      <w:r>
        <w:rPr>
          <w:rFonts w:hint="eastAsia"/>
        </w:rPr>
        <w:t>1</w:t>
      </w:r>
      <w:r>
        <w:t>.分析思路：</w:t>
      </w:r>
    </w:p>
    <w:p w14:paraId="23EA805D" w14:textId="77777777" w:rsidR="00E629F3" w:rsidRDefault="00573FF2">
      <w:pPr>
        <w:spacing w:line="360" w:lineRule="auto"/>
        <w:rPr>
          <w:rFonts w:ascii="KaiTi" w:eastAsia="KaiTi" w:hAnsi="KaiTi"/>
        </w:rPr>
      </w:pPr>
      <w:r>
        <w:rPr>
          <w:rFonts w:ascii="KaiTi" w:eastAsia="KaiTi" w:hAnsi="KaiTi"/>
          <w:noProof/>
        </w:rPr>
        <w:drawing>
          <wp:inline distT="0" distB="0" distL="0" distR="0" wp14:anchorId="3B660B68" wp14:editId="54D070DE">
            <wp:extent cx="5266690" cy="23374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2336" cy="2339954"/>
                    </a:xfrm>
                    <a:prstGeom prst="rect">
                      <a:avLst/>
                    </a:prstGeom>
                  </pic:spPr>
                </pic:pic>
              </a:graphicData>
            </a:graphic>
          </wp:inline>
        </w:drawing>
      </w:r>
    </w:p>
    <w:p w14:paraId="764B47F9" w14:textId="77777777" w:rsidR="00E629F3" w:rsidRDefault="00573FF2">
      <w:pPr>
        <w:pStyle w:val="01761"/>
      </w:pPr>
      <w:r>
        <w:rPr>
          <w:rFonts w:hint="eastAsia"/>
        </w:rPr>
        <w:t>2.数据收集汇总：营业收入，并计算营业收入增长率</w:t>
      </w:r>
    </w:p>
    <w:p w14:paraId="411513A4" w14:textId="77777777" w:rsidR="00E629F3" w:rsidRDefault="00573FF2">
      <w:pPr>
        <w:spacing w:line="360" w:lineRule="auto"/>
        <w:rPr>
          <w:rFonts w:ascii="KaiTi" w:eastAsia="KaiTi" w:hAnsi="KaiTi"/>
          <w:b/>
          <w:bCs/>
        </w:rPr>
      </w:pPr>
      <w:r>
        <w:rPr>
          <w:rFonts w:ascii="KaiTi" w:eastAsia="KaiTi" w:hAnsi="KaiTi"/>
        </w:rPr>
        <w:t xml:space="preserve">                                                      </w:t>
      </w:r>
      <w:r>
        <w:rPr>
          <w:rFonts w:ascii="KaiTi" w:eastAsia="KaiTi" w:hAnsi="KaiTi" w:hint="eastAsia"/>
          <w:b/>
          <w:bCs/>
        </w:rPr>
        <w:t>单位：亿元</w:t>
      </w:r>
    </w:p>
    <w:tbl>
      <w:tblPr>
        <w:tblW w:w="9640" w:type="dxa"/>
        <w:tblInd w:w="-147" w:type="dxa"/>
        <w:tblLayout w:type="fixed"/>
        <w:tblLook w:val="04A0" w:firstRow="1" w:lastRow="0" w:firstColumn="1" w:lastColumn="0" w:noHBand="0" w:noVBand="1"/>
      </w:tblPr>
      <w:tblGrid>
        <w:gridCol w:w="1843"/>
        <w:gridCol w:w="964"/>
        <w:gridCol w:w="1080"/>
        <w:gridCol w:w="1080"/>
        <w:gridCol w:w="1080"/>
        <w:gridCol w:w="1080"/>
        <w:gridCol w:w="1080"/>
        <w:gridCol w:w="1160"/>
        <w:gridCol w:w="273"/>
      </w:tblGrid>
      <w:tr w:rsidR="00E629F3" w14:paraId="10FDB754" w14:textId="77777777">
        <w:trPr>
          <w:gridAfter w:val="1"/>
          <w:wAfter w:w="273" w:type="dxa"/>
          <w:trHeight w:val="454"/>
        </w:trPr>
        <w:tc>
          <w:tcPr>
            <w:tcW w:w="1843" w:type="dxa"/>
            <w:tcBorders>
              <w:top w:val="single" w:sz="4" w:space="0" w:color="auto"/>
              <w:left w:val="single" w:sz="4" w:space="0" w:color="auto"/>
              <w:bottom w:val="single" w:sz="4" w:space="0" w:color="auto"/>
              <w:right w:val="single" w:sz="4" w:space="0" w:color="auto"/>
            </w:tcBorders>
            <w:shd w:val="clear" w:color="auto" w:fill="2E74B5" w:themeFill="accent5" w:themeFillShade="BF"/>
            <w:vAlign w:val="center"/>
          </w:tcPr>
          <w:p w14:paraId="609F61E7"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看营业收入</w:t>
            </w:r>
          </w:p>
        </w:tc>
        <w:tc>
          <w:tcPr>
            <w:tcW w:w="96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D7BC743"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201</w:t>
            </w:r>
            <w:r>
              <w:rPr>
                <w:rFonts w:ascii="KaiTi" w:eastAsia="KaiTi" w:hAnsi="KaiTi"/>
                <w:b/>
                <w:bCs/>
                <w:color w:val="FFFFFF"/>
                <w:sz w:val="22"/>
                <w:szCs w:val="22"/>
              </w:rPr>
              <w:t>5</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70984834"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2016</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1D16DE31"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2017</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1156B57A"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w:t>
            </w:r>
            <w:r>
              <w:rPr>
                <w:rFonts w:ascii="KaiTi" w:eastAsia="KaiTi" w:hAnsi="KaiTi"/>
                <w:b/>
                <w:bCs/>
                <w:color w:val="FFFFFF"/>
                <w:sz w:val="22"/>
                <w:szCs w:val="22"/>
              </w:rPr>
              <w:t>018</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467CBB39"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w:t>
            </w:r>
            <w:r>
              <w:rPr>
                <w:rFonts w:ascii="KaiTi" w:eastAsia="KaiTi" w:hAnsi="KaiTi"/>
                <w:b/>
                <w:bCs/>
                <w:color w:val="FFFFFF"/>
                <w:sz w:val="22"/>
                <w:szCs w:val="22"/>
              </w:rPr>
              <w:t>019</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3A27527F"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w:t>
            </w:r>
            <w:r>
              <w:rPr>
                <w:rFonts w:ascii="KaiTi" w:eastAsia="KaiTi" w:hAnsi="KaiTi"/>
                <w:b/>
                <w:bCs/>
                <w:color w:val="FFFFFF"/>
                <w:sz w:val="22"/>
                <w:szCs w:val="22"/>
              </w:rPr>
              <w:t>020</w:t>
            </w:r>
          </w:p>
        </w:tc>
        <w:tc>
          <w:tcPr>
            <w:tcW w:w="1160" w:type="dxa"/>
            <w:tcBorders>
              <w:top w:val="nil"/>
              <w:left w:val="nil"/>
              <w:bottom w:val="nil"/>
              <w:right w:val="nil"/>
            </w:tcBorders>
            <w:shd w:val="clear" w:color="auto" w:fill="auto"/>
            <w:noWrap/>
            <w:vAlign w:val="center"/>
          </w:tcPr>
          <w:p w14:paraId="1194B558" w14:textId="77777777" w:rsidR="00E629F3" w:rsidRDefault="00E629F3">
            <w:pPr>
              <w:spacing w:line="360" w:lineRule="auto"/>
              <w:jc w:val="center"/>
              <w:rPr>
                <w:rFonts w:ascii="KaiTi" w:eastAsia="KaiTi" w:hAnsi="KaiTi"/>
                <w:b/>
                <w:bCs/>
                <w:color w:val="FFFFFF"/>
                <w:sz w:val="20"/>
                <w:szCs w:val="20"/>
              </w:rPr>
            </w:pPr>
          </w:p>
        </w:tc>
      </w:tr>
      <w:tr w:rsidR="00E629F3" w14:paraId="2373584D" w14:textId="77777777">
        <w:trPr>
          <w:trHeight w:val="454"/>
        </w:trPr>
        <w:tc>
          <w:tcPr>
            <w:tcW w:w="1843" w:type="dxa"/>
            <w:tcBorders>
              <w:top w:val="nil"/>
              <w:left w:val="single" w:sz="4" w:space="0" w:color="auto"/>
              <w:bottom w:val="single" w:sz="4" w:space="0" w:color="auto"/>
              <w:right w:val="single" w:sz="4" w:space="0" w:color="auto"/>
            </w:tcBorders>
            <w:shd w:val="clear" w:color="auto" w:fill="auto"/>
            <w:vAlign w:val="center"/>
          </w:tcPr>
          <w:p w14:paraId="706EDA7E"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营业收入</w:t>
            </w:r>
          </w:p>
        </w:tc>
        <w:tc>
          <w:tcPr>
            <w:tcW w:w="964" w:type="dxa"/>
            <w:tcBorders>
              <w:top w:val="nil"/>
              <w:left w:val="nil"/>
              <w:bottom w:val="single" w:sz="4" w:space="0" w:color="auto"/>
              <w:right w:val="single" w:sz="4" w:space="0" w:color="auto"/>
            </w:tcBorders>
            <w:shd w:val="clear" w:color="auto" w:fill="auto"/>
            <w:noWrap/>
            <w:vAlign w:val="center"/>
          </w:tcPr>
          <w:p w14:paraId="67C110D4"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160.52 </w:t>
            </w:r>
          </w:p>
        </w:tc>
        <w:tc>
          <w:tcPr>
            <w:tcW w:w="1080" w:type="dxa"/>
            <w:tcBorders>
              <w:top w:val="nil"/>
              <w:left w:val="nil"/>
              <w:bottom w:val="single" w:sz="4" w:space="0" w:color="auto"/>
              <w:right w:val="single" w:sz="4" w:space="0" w:color="auto"/>
            </w:tcBorders>
            <w:shd w:val="clear" w:color="auto" w:fill="auto"/>
            <w:noWrap/>
            <w:vAlign w:val="center"/>
          </w:tcPr>
          <w:p w14:paraId="74AF74FF"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171.83 </w:t>
            </w:r>
          </w:p>
        </w:tc>
        <w:tc>
          <w:tcPr>
            <w:tcW w:w="1080" w:type="dxa"/>
            <w:tcBorders>
              <w:top w:val="nil"/>
              <w:left w:val="nil"/>
              <w:bottom w:val="single" w:sz="4" w:space="0" w:color="auto"/>
              <w:right w:val="single" w:sz="4" w:space="0" w:color="auto"/>
            </w:tcBorders>
            <w:shd w:val="clear" w:color="auto" w:fill="auto"/>
            <w:noWrap/>
            <w:vAlign w:val="center"/>
          </w:tcPr>
          <w:p w14:paraId="0A284EA1"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199.18 </w:t>
            </w:r>
          </w:p>
        </w:tc>
        <w:tc>
          <w:tcPr>
            <w:tcW w:w="1080" w:type="dxa"/>
            <w:tcBorders>
              <w:top w:val="nil"/>
              <w:left w:val="nil"/>
              <w:bottom w:val="single" w:sz="4" w:space="0" w:color="auto"/>
              <w:right w:val="single" w:sz="4" w:space="0" w:color="auto"/>
            </w:tcBorders>
            <w:shd w:val="clear" w:color="auto" w:fill="auto"/>
            <w:noWrap/>
            <w:vAlign w:val="center"/>
          </w:tcPr>
          <w:p w14:paraId="475D30D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241.60 </w:t>
            </w:r>
          </w:p>
        </w:tc>
        <w:tc>
          <w:tcPr>
            <w:tcW w:w="1080" w:type="dxa"/>
            <w:tcBorders>
              <w:top w:val="nil"/>
              <w:left w:val="nil"/>
              <w:bottom w:val="single" w:sz="4" w:space="0" w:color="auto"/>
              <w:right w:val="single" w:sz="4" w:space="0" w:color="auto"/>
            </w:tcBorders>
            <w:shd w:val="clear" w:color="auto" w:fill="auto"/>
            <w:noWrap/>
            <w:vAlign w:val="center"/>
          </w:tcPr>
          <w:p w14:paraId="5D282E81"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231.26 </w:t>
            </w:r>
          </w:p>
        </w:tc>
        <w:tc>
          <w:tcPr>
            <w:tcW w:w="1080" w:type="dxa"/>
            <w:tcBorders>
              <w:top w:val="nil"/>
              <w:left w:val="nil"/>
              <w:bottom w:val="single" w:sz="4" w:space="0" w:color="auto"/>
              <w:right w:val="single" w:sz="4" w:space="0" w:color="auto"/>
            </w:tcBorders>
            <w:shd w:val="clear" w:color="000000" w:fill="FFFF00"/>
            <w:noWrap/>
            <w:vAlign w:val="center"/>
          </w:tcPr>
          <w:p w14:paraId="698CE8BF" w14:textId="77777777" w:rsidR="00E629F3" w:rsidRDefault="00E629F3">
            <w:pPr>
              <w:spacing w:line="360" w:lineRule="auto"/>
              <w:jc w:val="right"/>
              <w:rPr>
                <w:rFonts w:ascii="KaiTi" w:eastAsia="KaiTi" w:hAnsi="KaiTi" w:cs="Arial"/>
                <w:sz w:val="20"/>
                <w:szCs w:val="20"/>
              </w:rPr>
            </w:pPr>
          </w:p>
        </w:tc>
        <w:tc>
          <w:tcPr>
            <w:tcW w:w="1433" w:type="dxa"/>
            <w:gridSpan w:val="2"/>
            <w:tcBorders>
              <w:top w:val="nil"/>
              <w:left w:val="nil"/>
              <w:bottom w:val="nil"/>
              <w:right w:val="nil"/>
            </w:tcBorders>
            <w:shd w:val="clear" w:color="auto" w:fill="auto"/>
            <w:noWrap/>
            <w:vAlign w:val="center"/>
          </w:tcPr>
          <w:p w14:paraId="5DC9D814" w14:textId="77777777" w:rsidR="00E629F3" w:rsidRDefault="00573FF2">
            <w:pPr>
              <w:spacing w:line="360" w:lineRule="auto"/>
              <w:rPr>
                <w:rFonts w:ascii="KaiTi" w:eastAsia="KaiTi" w:hAnsi="KaiTi" w:cs="Arial"/>
                <w:color w:val="4472C4" w:themeColor="accent1"/>
                <w:sz w:val="22"/>
                <w:szCs w:val="22"/>
              </w:rPr>
            </w:pPr>
            <w:r>
              <w:rPr>
                <w:rFonts w:ascii="KaiTi" w:eastAsia="KaiTi" w:hAnsi="KaiTi" w:cs="Arial" w:hint="eastAsia"/>
                <w:color w:val="4472C4" w:themeColor="accent1"/>
                <w:sz w:val="22"/>
                <w:szCs w:val="22"/>
              </w:rPr>
              <w:t>解析1</w:t>
            </w:r>
          </w:p>
        </w:tc>
      </w:tr>
      <w:tr w:rsidR="00E629F3" w14:paraId="4433630A" w14:textId="77777777">
        <w:trPr>
          <w:trHeight w:val="454"/>
        </w:trPr>
        <w:tc>
          <w:tcPr>
            <w:tcW w:w="1843" w:type="dxa"/>
            <w:tcBorders>
              <w:top w:val="nil"/>
              <w:left w:val="single" w:sz="4" w:space="0" w:color="auto"/>
              <w:bottom w:val="single" w:sz="4" w:space="0" w:color="auto"/>
              <w:right w:val="single" w:sz="4" w:space="0" w:color="auto"/>
            </w:tcBorders>
            <w:shd w:val="clear" w:color="auto" w:fill="auto"/>
            <w:vAlign w:val="center"/>
          </w:tcPr>
          <w:p w14:paraId="1B0F3E11"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营业收入增长率</w:t>
            </w:r>
          </w:p>
        </w:tc>
        <w:tc>
          <w:tcPr>
            <w:tcW w:w="964" w:type="dxa"/>
            <w:tcBorders>
              <w:top w:val="nil"/>
              <w:left w:val="nil"/>
              <w:bottom w:val="single" w:sz="4" w:space="0" w:color="auto"/>
              <w:right w:val="single" w:sz="4" w:space="0" w:color="auto"/>
            </w:tcBorders>
            <w:shd w:val="clear" w:color="auto" w:fill="auto"/>
            <w:noWrap/>
            <w:vAlign w:val="center"/>
          </w:tcPr>
          <w:p w14:paraId="32CCDF94" w14:textId="77777777" w:rsidR="00E629F3" w:rsidRDefault="00E629F3">
            <w:pPr>
              <w:spacing w:line="360" w:lineRule="auto"/>
              <w:jc w:val="right"/>
              <w:rPr>
                <w:rFonts w:ascii="KaiTi" w:eastAsia="KaiTi" w:hAnsi="KaiTi" w:cs="Arial"/>
                <w:sz w:val="20"/>
                <w:szCs w:val="20"/>
              </w:rPr>
            </w:pPr>
          </w:p>
        </w:tc>
        <w:tc>
          <w:tcPr>
            <w:tcW w:w="1080" w:type="dxa"/>
            <w:tcBorders>
              <w:top w:val="nil"/>
              <w:left w:val="nil"/>
              <w:bottom w:val="single" w:sz="4" w:space="0" w:color="auto"/>
              <w:right w:val="single" w:sz="4" w:space="0" w:color="auto"/>
            </w:tcBorders>
            <w:shd w:val="clear" w:color="auto" w:fill="auto"/>
            <w:noWrap/>
            <w:vAlign w:val="center"/>
          </w:tcPr>
          <w:p w14:paraId="78A9FC97" w14:textId="77777777" w:rsidR="00E629F3" w:rsidRDefault="00573FF2">
            <w:pPr>
              <w:spacing w:line="360" w:lineRule="auto"/>
              <w:jc w:val="right"/>
              <w:rPr>
                <w:rFonts w:ascii="KaiTi" w:eastAsia="KaiTi" w:hAnsi="KaiTi" w:cs="Arial"/>
                <w:sz w:val="20"/>
                <w:szCs w:val="20"/>
              </w:rPr>
            </w:pPr>
            <w:r>
              <w:rPr>
                <w:rFonts w:ascii="KaiTi" w:eastAsia="KaiTi" w:hAnsi="KaiTi" w:cs="Arial" w:hint="eastAsia"/>
                <w:sz w:val="20"/>
                <w:szCs w:val="20"/>
              </w:rPr>
              <w:t>7.04%</w:t>
            </w:r>
          </w:p>
        </w:tc>
        <w:tc>
          <w:tcPr>
            <w:tcW w:w="1080" w:type="dxa"/>
            <w:tcBorders>
              <w:top w:val="nil"/>
              <w:left w:val="nil"/>
              <w:bottom w:val="single" w:sz="4" w:space="0" w:color="auto"/>
              <w:right w:val="single" w:sz="4" w:space="0" w:color="auto"/>
            </w:tcBorders>
            <w:shd w:val="clear" w:color="auto" w:fill="auto"/>
            <w:noWrap/>
            <w:vAlign w:val="center"/>
          </w:tcPr>
          <w:p w14:paraId="2C4C262A" w14:textId="77777777" w:rsidR="00E629F3" w:rsidRDefault="00573FF2">
            <w:pPr>
              <w:spacing w:line="360" w:lineRule="auto"/>
              <w:jc w:val="right"/>
              <w:rPr>
                <w:rFonts w:ascii="KaiTi" w:eastAsia="KaiTi" w:hAnsi="KaiTi" w:cs="Arial"/>
                <w:sz w:val="20"/>
                <w:szCs w:val="20"/>
              </w:rPr>
            </w:pPr>
            <w:r>
              <w:rPr>
                <w:rFonts w:ascii="KaiTi" w:eastAsia="KaiTi" w:hAnsi="KaiTi" w:cs="Arial" w:hint="eastAsia"/>
                <w:sz w:val="20"/>
                <w:szCs w:val="20"/>
              </w:rPr>
              <w:t>15.92%</w:t>
            </w:r>
          </w:p>
        </w:tc>
        <w:tc>
          <w:tcPr>
            <w:tcW w:w="1080" w:type="dxa"/>
            <w:tcBorders>
              <w:top w:val="nil"/>
              <w:left w:val="nil"/>
              <w:bottom w:val="single" w:sz="4" w:space="0" w:color="auto"/>
              <w:right w:val="single" w:sz="4" w:space="0" w:color="auto"/>
            </w:tcBorders>
            <w:shd w:val="clear" w:color="auto" w:fill="auto"/>
            <w:noWrap/>
            <w:vAlign w:val="center"/>
          </w:tcPr>
          <w:p w14:paraId="0060F619" w14:textId="77777777" w:rsidR="00E629F3" w:rsidRDefault="00573FF2">
            <w:pPr>
              <w:spacing w:line="360" w:lineRule="auto"/>
              <w:jc w:val="right"/>
              <w:rPr>
                <w:rFonts w:ascii="KaiTi" w:eastAsia="KaiTi" w:hAnsi="KaiTi" w:cs="Arial"/>
                <w:sz w:val="20"/>
                <w:szCs w:val="20"/>
              </w:rPr>
            </w:pPr>
            <w:r>
              <w:rPr>
                <w:rFonts w:ascii="KaiTi" w:eastAsia="KaiTi" w:hAnsi="KaiTi" w:cs="Arial" w:hint="eastAsia"/>
                <w:sz w:val="20"/>
                <w:szCs w:val="20"/>
              </w:rPr>
              <w:t>21.30%</w:t>
            </w:r>
          </w:p>
        </w:tc>
        <w:tc>
          <w:tcPr>
            <w:tcW w:w="1080" w:type="dxa"/>
            <w:tcBorders>
              <w:top w:val="nil"/>
              <w:left w:val="nil"/>
              <w:bottom w:val="single" w:sz="4" w:space="0" w:color="auto"/>
              <w:right w:val="single" w:sz="4" w:space="0" w:color="auto"/>
            </w:tcBorders>
            <w:shd w:val="clear" w:color="auto" w:fill="auto"/>
            <w:noWrap/>
            <w:vAlign w:val="center"/>
          </w:tcPr>
          <w:p w14:paraId="22CDD295" w14:textId="77777777" w:rsidR="00E629F3" w:rsidRDefault="00573FF2">
            <w:pPr>
              <w:spacing w:line="360" w:lineRule="auto"/>
              <w:jc w:val="right"/>
              <w:rPr>
                <w:rFonts w:ascii="KaiTi" w:eastAsia="KaiTi" w:hAnsi="KaiTi" w:cs="Arial"/>
                <w:sz w:val="20"/>
                <w:szCs w:val="20"/>
              </w:rPr>
            </w:pPr>
            <w:r>
              <w:rPr>
                <w:rFonts w:ascii="KaiTi" w:eastAsia="KaiTi" w:hAnsi="KaiTi" w:cs="Arial" w:hint="eastAsia"/>
                <w:sz w:val="20"/>
                <w:szCs w:val="20"/>
              </w:rPr>
              <w:t>-4.28%</w:t>
            </w:r>
          </w:p>
        </w:tc>
        <w:tc>
          <w:tcPr>
            <w:tcW w:w="1080" w:type="dxa"/>
            <w:tcBorders>
              <w:top w:val="nil"/>
              <w:left w:val="nil"/>
              <w:bottom w:val="single" w:sz="4" w:space="0" w:color="auto"/>
              <w:right w:val="single" w:sz="4" w:space="0" w:color="auto"/>
            </w:tcBorders>
            <w:shd w:val="clear" w:color="000000" w:fill="FFFF00"/>
            <w:noWrap/>
            <w:vAlign w:val="bottom"/>
          </w:tcPr>
          <w:p w14:paraId="4D146C21" w14:textId="77777777" w:rsidR="00E629F3" w:rsidRDefault="00E629F3">
            <w:pPr>
              <w:spacing w:line="360" w:lineRule="auto"/>
              <w:jc w:val="right"/>
              <w:rPr>
                <w:rFonts w:ascii="KaiTi" w:eastAsia="KaiTi" w:hAnsi="KaiTi" w:cs="Arial"/>
                <w:sz w:val="20"/>
                <w:szCs w:val="20"/>
              </w:rPr>
            </w:pPr>
          </w:p>
        </w:tc>
        <w:tc>
          <w:tcPr>
            <w:tcW w:w="1433" w:type="dxa"/>
            <w:gridSpan w:val="2"/>
            <w:tcBorders>
              <w:top w:val="nil"/>
              <w:left w:val="nil"/>
              <w:bottom w:val="nil"/>
              <w:right w:val="nil"/>
            </w:tcBorders>
            <w:shd w:val="clear" w:color="auto" w:fill="auto"/>
            <w:noWrap/>
            <w:vAlign w:val="center"/>
          </w:tcPr>
          <w:p w14:paraId="23851996" w14:textId="77777777" w:rsidR="00E629F3" w:rsidRDefault="00573FF2">
            <w:pPr>
              <w:spacing w:line="360" w:lineRule="auto"/>
              <w:rPr>
                <w:rFonts w:ascii="KaiTi" w:eastAsia="KaiTi" w:hAnsi="KaiTi" w:cs="Arial"/>
                <w:color w:val="4472C4" w:themeColor="accent1"/>
                <w:sz w:val="22"/>
                <w:szCs w:val="22"/>
              </w:rPr>
            </w:pPr>
            <w:r>
              <w:rPr>
                <w:rFonts w:ascii="KaiTi" w:eastAsia="KaiTi" w:hAnsi="KaiTi" w:cs="Arial" w:hint="eastAsia"/>
                <w:color w:val="4472C4" w:themeColor="accent1"/>
                <w:sz w:val="22"/>
                <w:szCs w:val="22"/>
              </w:rPr>
              <w:t>解析1</w:t>
            </w:r>
          </w:p>
        </w:tc>
      </w:tr>
    </w:tbl>
    <w:p w14:paraId="026B3E6B" w14:textId="77777777" w:rsidR="00E629F3" w:rsidRDefault="00573FF2">
      <w:pPr>
        <w:spacing w:line="360" w:lineRule="auto"/>
        <w:rPr>
          <w:rFonts w:ascii="KaiTi" w:eastAsia="KaiTi" w:hAnsi="KaiTi"/>
          <w:b/>
          <w:bCs/>
          <w:color w:val="4472C4" w:themeColor="accent1"/>
        </w:rPr>
      </w:pPr>
      <w:r>
        <w:rPr>
          <w:rFonts w:ascii="KaiTi" w:eastAsia="KaiTi" w:hAnsi="KaiTi" w:hint="eastAsia"/>
          <w:b/>
          <w:bCs/>
          <w:color w:val="4472C4" w:themeColor="accent1"/>
        </w:rPr>
        <w:t>计算公式：①营业收入增长率=（本期营业收入-上期营业收入）/上期营业收入</w:t>
      </w:r>
    </w:p>
    <w:p w14:paraId="674642CB" w14:textId="77777777" w:rsidR="00E629F3" w:rsidRDefault="00573FF2">
      <w:pPr>
        <w:pStyle w:val="01761"/>
      </w:pPr>
      <w:r>
        <w:rPr>
          <w:rFonts w:hint="eastAsia"/>
        </w:rPr>
        <w:t>3.分析各年变化趋势</w:t>
      </w:r>
    </w:p>
    <w:p w14:paraId="0D7D613C" w14:textId="77777777" w:rsidR="00E629F3" w:rsidRDefault="00573FF2">
      <w:pPr>
        <w:spacing w:line="360" w:lineRule="auto"/>
        <w:ind w:firstLine="480"/>
        <w:rPr>
          <w:rFonts w:ascii="KaiTi" w:eastAsia="KaiTi" w:hAnsi="KaiTi"/>
        </w:rPr>
      </w:pPr>
      <w:r>
        <w:rPr>
          <w:rFonts w:ascii="KaiTi" w:eastAsia="KaiTi" w:hAnsi="KaiTi" w:hint="eastAsia"/>
        </w:rPr>
        <w:t>（1）营业收入规模</w:t>
      </w:r>
    </w:p>
    <w:p w14:paraId="1E07EC1A" w14:textId="77777777" w:rsidR="00E629F3" w:rsidRDefault="00573FF2">
      <w:pPr>
        <w:spacing w:line="360" w:lineRule="auto"/>
        <w:ind w:firstLine="480"/>
        <w:rPr>
          <w:rFonts w:ascii="KaiTi" w:eastAsia="KaiTi" w:hAnsi="KaiTi"/>
        </w:rPr>
      </w:pPr>
      <w:r>
        <w:rPr>
          <w:rFonts w:ascii="KaiTi" w:eastAsia="KaiTi" w:hAnsi="KaiTi" w:hint="eastAsia"/>
        </w:rPr>
        <w:t>从上表可以看出，洋河股份201</w:t>
      </w:r>
      <w:r>
        <w:rPr>
          <w:rFonts w:ascii="KaiTi" w:eastAsia="KaiTi" w:hAnsi="KaiTi"/>
        </w:rPr>
        <w:t>6</w:t>
      </w:r>
      <w:r>
        <w:rPr>
          <w:rFonts w:ascii="KaiTi" w:eastAsia="KaiTi" w:hAnsi="KaiTi" w:hint="eastAsia"/>
        </w:rPr>
        <w:t>-20</w:t>
      </w:r>
      <w:r>
        <w:rPr>
          <w:rFonts w:ascii="KaiTi" w:eastAsia="KaiTi" w:hAnsi="KaiTi"/>
        </w:rPr>
        <w:t>20</w:t>
      </w:r>
      <w:r>
        <w:rPr>
          <w:rFonts w:ascii="KaiTi" w:eastAsia="KaiTi" w:hAnsi="KaiTi" w:hint="eastAsia"/>
        </w:rPr>
        <w:t>年的营业收入分别是：171.83亿、199.17亿、241.60亿、</w:t>
      </w:r>
      <w:r>
        <w:rPr>
          <w:rFonts w:ascii="KaiTi" w:eastAsia="KaiTi" w:hAnsi="KaiTi"/>
        </w:rPr>
        <w:t>231.26</w:t>
      </w:r>
      <w:r>
        <w:rPr>
          <w:rFonts w:ascii="KaiTi" w:eastAsia="KaiTi" w:hAnsi="KaiTi" w:hint="eastAsia"/>
        </w:rPr>
        <w:t>亿、</w:t>
      </w:r>
      <w:r>
        <w:rPr>
          <w:rFonts w:ascii="KaiTi" w:eastAsia="KaiTi" w:hAnsi="KaiTi"/>
          <w:u w:val="single"/>
        </w:rPr>
        <w:t xml:space="preserve">      </w:t>
      </w:r>
      <w:r>
        <w:rPr>
          <w:rFonts w:ascii="KaiTi" w:eastAsia="KaiTi" w:hAnsi="KaiTi" w:hint="eastAsia"/>
        </w:rPr>
        <w:t>亿，在第1</w:t>
      </w:r>
      <w:r>
        <w:rPr>
          <w:rFonts w:ascii="KaiTi" w:eastAsia="KaiTi" w:hAnsi="KaiTi"/>
        </w:rPr>
        <w:t>2</w:t>
      </w:r>
      <w:r>
        <w:rPr>
          <w:rFonts w:ascii="KaiTi" w:eastAsia="KaiTi" w:hAnsi="KaiTi" w:hint="eastAsia"/>
        </w:rPr>
        <w:t>周作业中，我们已经了解了洋河股份的营业收入规模在行业中的排名情况。</w:t>
      </w:r>
    </w:p>
    <w:p w14:paraId="30F968DA" w14:textId="77777777" w:rsidR="00E629F3" w:rsidRDefault="00573FF2">
      <w:pPr>
        <w:spacing w:line="360" w:lineRule="auto"/>
        <w:ind w:firstLine="480"/>
        <w:rPr>
          <w:rFonts w:ascii="KaiTi" w:eastAsia="KaiTi" w:hAnsi="KaiTi"/>
        </w:rPr>
      </w:pPr>
      <w:r>
        <w:rPr>
          <w:rFonts w:ascii="KaiTi" w:eastAsia="KaiTi" w:hAnsi="KaiTi" w:hint="eastAsia"/>
        </w:rPr>
        <w:t>（2）营业收入增长率</w:t>
      </w:r>
    </w:p>
    <w:p w14:paraId="6B385101" w14:textId="77777777" w:rsidR="00E629F3" w:rsidRDefault="00573FF2">
      <w:pPr>
        <w:spacing w:line="360" w:lineRule="auto"/>
        <w:ind w:firstLine="480"/>
        <w:rPr>
          <w:rFonts w:ascii="KaiTi" w:eastAsia="KaiTi" w:hAnsi="KaiTi"/>
        </w:rPr>
      </w:pPr>
      <w:r>
        <w:rPr>
          <w:rFonts w:ascii="KaiTi" w:eastAsia="KaiTi" w:hAnsi="KaiTi" w:hint="eastAsia"/>
        </w:rPr>
        <w:t>通过计算我们看到洋河股份的营业收入增长率近五年依次为7.04%、15.92%、21.30%、-</w:t>
      </w:r>
      <w:r>
        <w:rPr>
          <w:rFonts w:ascii="KaiTi" w:eastAsia="KaiTi" w:hAnsi="KaiTi"/>
        </w:rPr>
        <w:t>4.28</w:t>
      </w:r>
      <w:r>
        <w:rPr>
          <w:rFonts w:ascii="KaiTi" w:eastAsia="KaiTi" w:hAnsi="KaiTi" w:hint="eastAsia"/>
        </w:rPr>
        <w:t>%、</w:t>
      </w:r>
      <w:r>
        <w:rPr>
          <w:rFonts w:ascii="KaiTi" w:eastAsia="KaiTi" w:hAnsi="KaiTi" w:hint="eastAsia"/>
          <w:u w:val="single"/>
        </w:rPr>
        <w:t xml:space="preserve"> </w:t>
      </w:r>
      <w:r>
        <w:rPr>
          <w:rFonts w:ascii="KaiTi" w:eastAsia="KaiTi" w:hAnsi="KaiTi"/>
          <w:u w:val="single"/>
        </w:rPr>
        <w:t xml:space="preserve">    </w:t>
      </w:r>
      <w:r>
        <w:rPr>
          <w:rFonts w:ascii="KaiTi" w:eastAsia="KaiTi" w:hAnsi="KaiTi" w:hint="eastAsia"/>
        </w:rPr>
        <w:t>，2015-2018年的营业收入增长率呈现出稳定</w:t>
      </w:r>
    </w:p>
    <w:p w14:paraId="6A887D16" w14:textId="77777777" w:rsidR="00E629F3" w:rsidRDefault="00573FF2">
      <w:pPr>
        <w:spacing w:line="360" w:lineRule="auto"/>
        <w:ind w:firstLine="480"/>
        <w:rPr>
          <w:rFonts w:ascii="KaiTi" w:eastAsia="KaiTi" w:hAnsi="KaiTi"/>
        </w:rPr>
      </w:pPr>
      <w:r>
        <w:rPr>
          <w:rFonts w:ascii="KaiTi" w:eastAsia="KaiTi" w:hAnsi="KaiTi" w:hint="eastAsia"/>
          <w:u w:val="single"/>
        </w:rPr>
        <w:t xml:space="preserve"> </w:t>
      </w:r>
      <w:r>
        <w:rPr>
          <w:rFonts w:ascii="KaiTi" w:eastAsia="KaiTi" w:hAnsi="KaiTi"/>
          <w:u w:val="single"/>
        </w:rPr>
        <w:t xml:space="preserve">    </w:t>
      </w:r>
      <w:r>
        <w:rPr>
          <w:rFonts w:ascii="KaiTi" w:eastAsia="KaiTi" w:hAnsi="KaiTi" w:hint="eastAsia"/>
          <w:b/>
          <w:bCs/>
          <w:color w:val="C45911" w:themeColor="accent2" w:themeShade="BF"/>
        </w:rPr>
        <w:t>(选项：增长或下降</w:t>
      </w:r>
      <w:r>
        <w:rPr>
          <w:rFonts w:ascii="KaiTi" w:eastAsia="KaiTi" w:hAnsi="KaiTi"/>
          <w:b/>
          <w:bCs/>
          <w:color w:val="C45911" w:themeColor="accent2" w:themeShade="BF"/>
        </w:rPr>
        <w:t>)</w:t>
      </w:r>
      <w:r>
        <w:rPr>
          <w:rFonts w:ascii="KaiTi" w:eastAsia="KaiTi" w:hAnsi="KaiTi" w:hint="eastAsia"/>
        </w:rPr>
        <w:t>的趋势，基本都在10%以上，盈利能力稳定性</w:t>
      </w:r>
    </w:p>
    <w:p w14:paraId="11339A39" w14:textId="77777777" w:rsidR="00E629F3" w:rsidRDefault="00573FF2">
      <w:pPr>
        <w:spacing w:line="360" w:lineRule="auto"/>
        <w:ind w:firstLine="480"/>
        <w:rPr>
          <w:rFonts w:ascii="KaiTi" w:eastAsia="KaiTi" w:hAnsi="KaiTi"/>
        </w:rPr>
      </w:pPr>
      <w:r>
        <w:rPr>
          <w:rFonts w:ascii="KaiTi" w:eastAsia="KaiTi" w:hAnsi="KaiTi" w:hint="eastAsia"/>
          <w:u w:val="single"/>
        </w:rPr>
        <w:t xml:space="preserve"> </w:t>
      </w:r>
      <w:r>
        <w:rPr>
          <w:rFonts w:ascii="KaiTi" w:eastAsia="KaiTi" w:hAnsi="KaiTi"/>
          <w:u w:val="single"/>
        </w:rPr>
        <w:t xml:space="preserve">    </w:t>
      </w:r>
      <w:r>
        <w:rPr>
          <w:rFonts w:ascii="KaiTi" w:eastAsia="KaiTi" w:hAnsi="KaiTi"/>
          <w:b/>
          <w:bCs/>
          <w:color w:val="C45911" w:themeColor="accent2" w:themeShade="BF"/>
        </w:rPr>
        <w:t>(</w:t>
      </w:r>
      <w:r>
        <w:rPr>
          <w:rFonts w:ascii="KaiTi" w:eastAsia="KaiTi" w:hAnsi="KaiTi" w:hint="eastAsia"/>
          <w:b/>
          <w:bCs/>
          <w:color w:val="C45911" w:themeColor="accent2" w:themeShade="BF"/>
        </w:rPr>
        <w:t>参照以上营业收入的思维导图得出结论，选项：较强或较弱</w:t>
      </w:r>
      <w:r>
        <w:rPr>
          <w:rFonts w:ascii="KaiTi" w:eastAsia="KaiTi" w:hAnsi="KaiTi"/>
          <w:b/>
          <w:bCs/>
          <w:color w:val="C45911" w:themeColor="accent2" w:themeShade="BF"/>
        </w:rPr>
        <w:t>)</w:t>
      </w:r>
      <w:r>
        <w:rPr>
          <w:rFonts w:ascii="KaiTi" w:eastAsia="KaiTi" w:hAnsi="KaiTi" w:hint="eastAsia"/>
        </w:rPr>
        <w:t>，但2019年开始营业收入出现了负增长，</w:t>
      </w:r>
      <w:r>
        <w:rPr>
          <w:rFonts w:ascii="KaiTi" w:eastAsia="KaiTi" w:hAnsi="KaiTi"/>
          <w:u w:val="single"/>
        </w:rPr>
        <w:t xml:space="preserve">     </w:t>
      </w:r>
      <w:r>
        <w:rPr>
          <w:rFonts w:ascii="KaiTi" w:eastAsia="KaiTi" w:hAnsi="KaiTi" w:hint="eastAsia"/>
        </w:rPr>
        <w:t>年的下降幅度最大。</w:t>
      </w:r>
    </w:p>
    <w:p w14:paraId="03B03F66" w14:textId="77777777" w:rsidR="00E629F3" w:rsidRDefault="00573FF2">
      <w:pPr>
        <w:spacing w:line="360" w:lineRule="auto"/>
        <w:ind w:firstLine="480"/>
        <w:rPr>
          <w:rFonts w:ascii="KaiTi" w:eastAsia="KaiTi" w:hAnsi="KaiTi"/>
        </w:rPr>
      </w:pPr>
      <w:r>
        <w:rPr>
          <w:rFonts w:ascii="KaiTi" w:eastAsia="KaiTi" w:hAnsi="KaiTi" w:hint="eastAsia"/>
        </w:rPr>
        <w:t>在第1</w:t>
      </w:r>
      <w:r>
        <w:rPr>
          <w:rFonts w:ascii="KaiTi" w:eastAsia="KaiTi" w:hAnsi="KaiTi"/>
        </w:rPr>
        <w:t>2</w:t>
      </w:r>
      <w:r>
        <w:rPr>
          <w:rFonts w:ascii="KaiTi" w:eastAsia="KaiTi" w:hAnsi="KaiTi" w:hint="eastAsia"/>
        </w:rPr>
        <w:t>周我们从营业收入的构成（行业、产品、地区三个维度）查找到省内和省外的白酒营业收入下降导致了洋河营业收入总额的下降，省内和省外的市场都不同程度的被竞争对手挤占。</w:t>
      </w:r>
    </w:p>
    <w:p w14:paraId="1B7CD27F" w14:textId="77777777" w:rsidR="00E629F3" w:rsidRDefault="00573FF2">
      <w:pPr>
        <w:spacing w:line="360" w:lineRule="auto"/>
        <w:ind w:firstLine="480"/>
        <w:rPr>
          <w:rFonts w:ascii="KaiTi" w:eastAsia="KaiTi" w:hAnsi="KaiTi"/>
        </w:rPr>
      </w:pPr>
      <w:r>
        <w:rPr>
          <w:rFonts w:ascii="KaiTi" w:eastAsia="KaiTi" w:hAnsi="KaiTi" w:hint="eastAsia"/>
        </w:rPr>
        <w:t>另外，结合2</w:t>
      </w:r>
      <w:r>
        <w:rPr>
          <w:rFonts w:ascii="KaiTi" w:eastAsia="KaiTi" w:hAnsi="KaiTi"/>
        </w:rPr>
        <w:t>020</w:t>
      </w:r>
      <w:r>
        <w:rPr>
          <w:rFonts w:ascii="KaiTi" w:eastAsia="KaiTi" w:hAnsi="KaiTi" w:hint="eastAsia"/>
        </w:rPr>
        <w:t>年的疫情可以推断营业收入下降很可能与疫情期间人们减少聚餐，从而减少白酒消费有关。随着疫情好转，消费恢复，</w:t>
      </w:r>
      <w:bookmarkStart w:id="0" w:name="_Hlk71572728"/>
      <w:r>
        <w:rPr>
          <w:rFonts w:ascii="KaiTi" w:eastAsia="KaiTi" w:hAnsi="KaiTi" w:hint="eastAsia"/>
        </w:rPr>
        <w:t>结合年报中对2</w:t>
      </w:r>
      <w:r>
        <w:rPr>
          <w:rFonts w:ascii="KaiTi" w:eastAsia="KaiTi" w:hAnsi="KaiTi"/>
        </w:rPr>
        <w:t>021</w:t>
      </w:r>
      <w:r>
        <w:rPr>
          <w:rFonts w:ascii="KaiTi" w:eastAsia="KaiTi" w:hAnsi="KaiTi" w:hint="eastAsia"/>
        </w:rPr>
        <w:t>的展望，2</w:t>
      </w:r>
      <w:r>
        <w:rPr>
          <w:rFonts w:ascii="KaiTi" w:eastAsia="KaiTi" w:hAnsi="KaiTi"/>
        </w:rPr>
        <w:t>021</w:t>
      </w:r>
      <w:r>
        <w:rPr>
          <w:rFonts w:ascii="KaiTi" w:eastAsia="KaiTi" w:hAnsi="KaiTi" w:hint="eastAsia"/>
        </w:rPr>
        <w:t>收入增长目标是</w:t>
      </w:r>
      <w:r>
        <w:rPr>
          <w:rFonts w:ascii="KaiTi" w:eastAsia="KaiTi" w:hAnsi="KaiTi" w:hint="eastAsia"/>
          <w:u w:val="single"/>
        </w:rPr>
        <w:t xml:space="preserve"> </w:t>
      </w:r>
      <w:r>
        <w:rPr>
          <w:rFonts w:ascii="KaiTi" w:eastAsia="KaiTi" w:hAnsi="KaiTi"/>
          <w:u w:val="single"/>
        </w:rPr>
        <w:t xml:space="preserve">   </w:t>
      </w:r>
      <w:r>
        <w:rPr>
          <w:rFonts w:ascii="KaiTi" w:eastAsia="KaiTi" w:hAnsi="KaiTi"/>
          <w:b/>
          <w:bCs/>
          <w:color w:val="C45911" w:themeColor="accent2" w:themeShade="BF"/>
        </w:rPr>
        <w:t>(</w:t>
      </w:r>
      <w:r>
        <w:rPr>
          <w:rFonts w:ascii="KaiTi" w:eastAsia="KaiTi" w:hAnsi="KaiTi" w:hint="eastAsia"/>
          <w:b/>
          <w:bCs/>
          <w:color w:val="C45911" w:themeColor="accent2" w:themeShade="BF"/>
        </w:rPr>
        <w:t>看下图)</w:t>
      </w:r>
      <w:r>
        <w:rPr>
          <w:rFonts w:ascii="KaiTi" w:eastAsia="KaiTi" w:hAnsi="KaiTi" w:hint="eastAsia"/>
        </w:rPr>
        <w:t>营业收入情况需要持续关注</w:t>
      </w:r>
      <w:bookmarkEnd w:id="0"/>
      <w:r>
        <w:rPr>
          <w:rFonts w:ascii="KaiTi" w:eastAsia="KaiTi" w:hAnsi="KaiTi" w:hint="eastAsia"/>
        </w:rPr>
        <w:t>。</w:t>
      </w:r>
    </w:p>
    <w:p w14:paraId="1EA40C95" w14:textId="77777777" w:rsidR="00E629F3" w:rsidRDefault="00573FF2">
      <w:pPr>
        <w:spacing w:line="360" w:lineRule="auto"/>
        <w:rPr>
          <w:rFonts w:ascii="KaiTi" w:eastAsia="KaiTi" w:hAnsi="KaiTi"/>
        </w:rPr>
      </w:pPr>
      <w:r>
        <w:rPr>
          <w:rFonts w:ascii="KaiTi" w:eastAsia="KaiTi" w:hAnsi="KaiTi"/>
          <w:noProof/>
        </w:rPr>
        <w:drawing>
          <wp:inline distT="0" distB="0" distL="0" distR="0" wp14:anchorId="5B86D78D" wp14:editId="5F08336F">
            <wp:extent cx="5578475" cy="890270"/>
            <wp:effectExtent l="0" t="0" r="317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649502" cy="901826"/>
                    </a:xfrm>
                    <a:prstGeom prst="rect">
                      <a:avLst/>
                    </a:prstGeom>
                  </pic:spPr>
                </pic:pic>
              </a:graphicData>
            </a:graphic>
          </wp:inline>
        </w:drawing>
      </w:r>
    </w:p>
    <w:p w14:paraId="16837DAF" w14:textId="77777777" w:rsidR="00E629F3" w:rsidRDefault="00573FF2">
      <w:pPr>
        <w:spacing w:line="360" w:lineRule="auto"/>
        <w:ind w:firstLine="480"/>
        <w:rPr>
          <w:rFonts w:ascii="KaiTi" w:eastAsia="KaiTi" w:hAnsi="KaiTi"/>
        </w:rPr>
      </w:pPr>
      <w:r>
        <w:rPr>
          <w:rFonts w:ascii="KaiTi" w:eastAsia="KaiTi" w:hAnsi="KaiTi" w:hint="eastAsia"/>
        </w:rPr>
        <w:t>4.根据分析得出结论</w:t>
      </w:r>
    </w:p>
    <w:p w14:paraId="4D7955F9" w14:textId="77777777" w:rsidR="00E629F3" w:rsidRDefault="00573FF2">
      <w:pPr>
        <w:spacing w:line="360" w:lineRule="auto"/>
        <w:ind w:firstLine="480"/>
        <w:rPr>
          <w:rFonts w:ascii="KaiTi" w:eastAsia="KaiTi" w:hAnsi="KaiTi"/>
        </w:rPr>
      </w:pPr>
      <w:r>
        <w:rPr>
          <w:rFonts w:ascii="KaiTi" w:eastAsia="KaiTi" w:hAnsi="KaiTi" w:hint="eastAsia"/>
        </w:rPr>
        <w:t>根据上述分析得出，整体来看洋河股份盈利能力</w:t>
      </w:r>
      <w:r>
        <w:rPr>
          <w:rFonts w:ascii="KaiTi" w:eastAsia="KaiTi" w:hAnsi="KaiTi" w:hint="eastAsia"/>
          <w:u w:val="single"/>
        </w:rPr>
        <w:t xml:space="preserve"> </w:t>
      </w:r>
      <w:r>
        <w:rPr>
          <w:rFonts w:ascii="KaiTi" w:eastAsia="KaiTi" w:hAnsi="KaiTi"/>
          <w:u w:val="single"/>
        </w:rPr>
        <w:t xml:space="preserve">   </w:t>
      </w:r>
      <w:r>
        <w:rPr>
          <w:rFonts w:ascii="KaiTi" w:eastAsia="KaiTi" w:hAnsi="KaiTi"/>
          <w:b/>
          <w:bCs/>
          <w:color w:val="C45911" w:themeColor="accent2" w:themeShade="BF"/>
        </w:rPr>
        <w:t>(</w:t>
      </w:r>
      <w:r>
        <w:rPr>
          <w:rFonts w:ascii="KaiTi" w:eastAsia="KaiTi" w:hAnsi="KaiTi" w:hint="eastAsia"/>
          <w:b/>
          <w:bCs/>
          <w:color w:val="C45911" w:themeColor="accent2" w:themeShade="BF"/>
        </w:rPr>
        <w:t>选项：较强或较弱</w:t>
      </w:r>
      <w:r>
        <w:rPr>
          <w:rFonts w:ascii="KaiTi" w:eastAsia="KaiTi" w:hAnsi="KaiTi"/>
          <w:b/>
          <w:bCs/>
          <w:color w:val="C45911" w:themeColor="accent2" w:themeShade="BF"/>
        </w:rPr>
        <w:t>)</w:t>
      </w:r>
      <w:r>
        <w:rPr>
          <w:rFonts w:ascii="KaiTi" w:eastAsia="KaiTi" w:hAnsi="KaiTi"/>
        </w:rPr>
        <w:t xml:space="preserve"> </w:t>
      </w:r>
      <w:r>
        <w:rPr>
          <w:rFonts w:ascii="KaiTi" w:eastAsia="KaiTi" w:hAnsi="KaiTi" w:hint="eastAsia"/>
        </w:rPr>
        <w:t>，营业收入整体呈现出</w:t>
      </w:r>
      <w:r>
        <w:rPr>
          <w:rFonts w:ascii="KaiTi" w:eastAsia="KaiTi" w:hAnsi="KaiTi" w:hint="eastAsia"/>
          <w:u w:val="single"/>
        </w:rPr>
        <w:t xml:space="preserve"> </w:t>
      </w:r>
      <w:r>
        <w:rPr>
          <w:rFonts w:ascii="KaiTi" w:eastAsia="KaiTi" w:hAnsi="KaiTi"/>
          <w:u w:val="single"/>
        </w:rPr>
        <w:t xml:space="preserve">    </w:t>
      </w:r>
      <w:r>
        <w:rPr>
          <w:rFonts w:ascii="KaiTi" w:eastAsia="KaiTi" w:hAnsi="KaiTi" w:hint="eastAsia"/>
        </w:rPr>
        <w:t>趋势</w:t>
      </w:r>
      <w:r>
        <w:rPr>
          <w:rFonts w:ascii="KaiTi" w:eastAsia="KaiTi" w:hAnsi="KaiTi" w:hint="eastAsia"/>
          <w:b/>
          <w:bCs/>
          <w:color w:val="C45911" w:themeColor="accent2" w:themeShade="BF"/>
        </w:rPr>
        <w:t>（选项：上升或下降）</w:t>
      </w:r>
      <w:r>
        <w:rPr>
          <w:rFonts w:ascii="KaiTi" w:eastAsia="KaiTi" w:hAnsi="KaiTi" w:hint="eastAsia"/>
        </w:rPr>
        <w:t>当中，</w:t>
      </w:r>
      <w:bookmarkStart w:id="1" w:name="_Hlk71572926"/>
      <w:r>
        <w:rPr>
          <w:rFonts w:ascii="KaiTi" w:eastAsia="KaiTi" w:hAnsi="KaiTi" w:hint="eastAsia"/>
        </w:rPr>
        <w:t>整体来看</w:t>
      </w:r>
      <w:bookmarkEnd w:id="1"/>
      <w:r>
        <w:rPr>
          <w:rFonts w:ascii="KaiTi" w:eastAsia="KaiTi" w:hAnsi="KaiTi" w:hint="eastAsia"/>
        </w:rPr>
        <w:t>公司处于</w:t>
      </w:r>
      <w:r>
        <w:rPr>
          <w:rFonts w:ascii="KaiTi" w:eastAsia="KaiTi" w:hAnsi="KaiTi" w:hint="eastAsia"/>
          <w:u w:val="single"/>
        </w:rPr>
        <w:t xml:space="preserve"> </w:t>
      </w:r>
      <w:r>
        <w:rPr>
          <w:rFonts w:ascii="KaiTi" w:eastAsia="KaiTi" w:hAnsi="KaiTi"/>
          <w:u w:val="single"/>
        </w:rPr>
        <w:t xml:space="preserve">    </w:t>
      </w:r>
      <w:r>
        <w:rPr>
          <w:rFonts w:ascii="KaiTi" w:eastAsia="KaiTi" w:hAnsi="KaiTi" w:hint="eastAsia"/>
          <w:b/>
          <w:bCs/>
          <w:color w:val="C45911" w:themeColor="accent2" w:themeShade="BF"/>
        </w:rPr>
        <w:t>（参照以上营业收入的思维导图得出结论，选项：成长中或衰退中），</w:t>
      </w:r>
      <w:bookmarkStart w:id="2" w:name="_Hlk71573248"/>
      <w:r>
        <w:rPr>
          <w:rFonts w:ascii="KaiTi" w:eastAsia="KaiTi" w:hAnsi="KaiTi" w:hint="eastAsia"/>
        </w:rPr>
        <w:t>最近两年在进行转型升级，需要持续关注</w:t>
      </w:r>
      <w:bookmarkEnd w:id="2"/>
      <w:r>
        <w:rPr>
          <w:rFonts w:ascii="KaiTi" w:eastAsia="KaiTi" w:hAnsi="KaiTi" w:hint="eastAsia"/>
        </w:rPr>
        <w:t>。</w:t>
      </w:r>
    </w:p>
    <w:p w14:paraId="42E42286" w14:textId="77777777" w:rsidR="00E629F3" w:rsidRDefault="00573FF2">
      <w:pPr>
        <w:pStyle w:val="3"/>
        <w:spacing w:line="360" w:lineRule="auto"/>
        <w:rPr>
          <w:rFonts w:ascii="KaiTi" w:eastAsia="KaiTi" w:hAnsi="KaiTi"/>
          <w:szCs w:val="28"/>
        </w:rPr>
      </w:pPr>
      <w:r>
        <w:rPr>
          <w:rFonts w:ascii="KaiTi" w:eastAsia="KaiTi" w:hAnsi="KaiTi" w:hint="eastAsia"/>
          <w:szCs w:val="28"/>
        </w:rPr>
        <w:t>二、看毛利率（</w:t>
      </w:r>
      <w:r>
        <w:rPr>
          <w:rFonts w:ascii="KaiTi" w:eastAsia="KaiTi" w:hAnsi="KaiTi"/>
          <w:szCs w:val="28"/>
        </w:rPr>
        <w:t>20</w:t>
      </w:r>
      <w:r>
        <w:rPr>
          <w:rFonts w:ascii="KaiTi" w:eastAsia="KaiTi" w:hAnsi="KaiTi" w:hint="eastAsia"/>
          <w:szCs w:val="28"/>
        </w:rPr>
        <w:t>分）</w:t>
      </w:r>
    </w:p>
    <w:p w14:paraId="450D4C31" w14:textId="77777777" w:rsidR="00E629F3" w:rsidRDefault="00573FF2">
      <w:pPr>
        <w:pStyle w:val="01761"/>
      </w:pPr>
      <w:r>
        <w:rPr>
          <w:rFonts w:hint="eastAsia"/>
        </w:rPr>
        <w:t>1</w:t>
      </w:r>
      <w:r>
        <w:t>.分析思路：</w:t>
      </w:r>
    </w:p>
    <w:p w14:paraId="2A30C1A7" w14:textId="77777777" w:rsidR="00E629F3" w:rsidRDefault="00573FF2">
      <w:pPr>
        <w:spacing w:line="360" w:lineRule="auto"/>
        <w:rPr>
          <w:rFonts w:ascii="KaiTi" w:eastAsia="KaiTi" w:hAnsi="KaiTi"/>
        </w:rPr>
      </w:pPr>
      <w:r>
        <w:rPr>
          <w:rFonts w:ascii="KaiTi" w:eastAsia="KaiTi" w:hAnsi="KaiTi"/>
          <w:noProof/>
        </w:rPr>
        <w:drawing>
          <wp:inline distT="0" distB="0" distL="0" distR="0" wp14:anchorId="58AA02CA" wp14:editId="0D39D494">
            <wp:extent cx="5219065" cy="26289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55152" cy="2647019"/>
                    </a:xfrm>
                    <a:prstGeom prst="rect">
                      <a:avLst/>
                    </a:prstGeom>
                  </pic:spPr>
                </pic:pic>
              </a:graphicData>
            </a:graphic>
          </wp:inline>
        </w:drawing>
      </w:r>
    </w:p>
    <w:p w14:paraId="2B81F2F2" w14:textId="77777777" w:rsidR="00E629F3" w:rsidRDefault="00573FF2">
      <w:pPr>
        <w:pStyle w:val="01761"/>
        <w:spacing w:line="240" w:lineRule="auto"/>
      </w:pPr>
      <w:r>
        <w:rPr>
          <w:rFonts w:hint="eastAsia"/>
        </w:rPr>
        <w:t>2</w:t>
      </w:r>
      <w:r>
        <w:t>.</w:t>
      </w:r>
      <w:bookmarkStart w:id="3" w:name="_Hlk45877664"/>
      <w:r>
        <w:rPr>
          <w:rFonts w:hint="eastAsia"/>
        </w:rPr>
        <w:t>数据收集汇总：</w:t>
      </w:r>
      <w:bookmarkEnd w:id="3"/>
      <w:r>
        <w:rPr>
          <w:rFonts w:hint="eastAsia"/>
        </w:rPr>
        <w:t>近五年营业收入、营业成本，并计算毛利率和毛利率波动幅度</w:t>
      </w:r>
    </w:p>
    <w:p w14:paraId="3351E822"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单位：亿元</w:t>
      </w:r>
    </w:p>
    <w:tbl>
      <w:tblPr>
        <w:tblW w:w="10129" w:type="dxa"/>
        <w:tblInd w:w="-289" w:type="dxa"/>
        <w:tblLayout w:type="fixed"/>
        <w:tblLook w:val="04A0" w:firstRow="1" w:lastRow="0" w:firstColumn="1" w:lastColumn="0" w:noHBand="0" w:noVBand="1"/>
      </w:tblPr>
      <w:tblGrid>
        <w:gridCol w:w="1985"/>
        <w:gridCol w:w="1134"/>
        <w:gridCol w:w="1134"/>
        <w:gridCol w:w="1134"/>
        <w:gridCol w:w="1134"/>
        <w:gridCol w:w="1134"/>
        <w:gridCol w:w="993"/>
        <w:gridCol w:w="1481"/>
      </w:tblGrid>
      <w:tr w:rsidR="00E629F3" w14:paraId="0BEC027A" w14:textId="77777777">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2E74B5" w:themeFill="accent5" w:themeFillShade="BF"/>
            <w:vAlign w:val="center"/>
          </w:tcPr>
          <w:p w14:paraId="68433F5C"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看毛利率</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76E2928C"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201</w:t>
            </w:r>
            <w:r>
              <w:rPr>
                <w:rFonts w:ascii="KaiTi" w:eastAsia="KaiTi" w:hAnsi="KaiTi"/>
                <w:b/>
                <w:bCs/>
                <w:color w:val="FFFFFF"/>
                <w:sz w:val="22"/>
                <w:szCs w:val="22"/>
              </w:rPr>
              <w:t>5</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6D1CF4CD"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2016</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AE844B4"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2017</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BA053FB"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w:t>
            </w:r>
            <w:r>
              <w:rPr>
                <w:rFonts w:ascii="KaiTi" w:eastAsia="KaiTi" w:hAnsi="KaiTi"/>
                <w:b/>
                <w:bCs/>
                <w:color w:val="FFFFFF"/>
                <w:sz w:val="22"/>
                <w:szCs w:val="22"/>
              </w:rPr>
              <w:t>018</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20C28C91"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w:t>
            </w:r>
            <w:r>
              <w:rPr>
                <w:rFonts w:ascii="KaiTi" w:eastAsia="KaiTi" w:hAnsi="KaiTi"/>
                <w:b/>
                <w:bCs/>
                <w:color w:val="FFFFFF"/>
                <w:sz w:val="22"/>
                <w:szCs w:val="22"/>
              </w:rPr>
              <w:t>019</w:t>
            </w:r>
          </w:p>
        </w:tc>
        <w:tc>
          <w:tcPr>
            <w:tcW w:w="993"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62975BFC" w14:textId="77777777" w:rsidR="00E629F3" w:rsidRDefault="00573FF2">
            <w:pPr>
              <w:jc w:val="center"/>
              <w:rPr>
                <w:rFonts w:ascii="KaiTi" w:eastAsia="KaiTi" w:hAnsi="KaiTi"/>
                <w:b/>
                <w:bCs/>
                <w:color w:val="FFFFFF"/>
                <w:sz w:val="22"/>
                <w:szCs w:val="22"/>
              </w:rPr>
            </w:pPr>
            <w:r>
              <w:rPr>
                <w:rFonts w:ascii="KaiTi" w:eastAsia="KaiTi" w:hAnsi="KaiTi" w:hint="eastAsia"/>
                <w:b/>
                <w:bCs/>
                <w:color w:val="FFFFFF"/>
                <w:sz w:val="22"/>
                <w:szCs w:val="22"/>
              </w:rPr>
              <w:t>2</w:t>
            </w:r>
            <w:r>
              <w:rPr>
                <w:rFonts w:ascii="KaiTi" w:eastAsia="KaiTi" w:hAnsi="KaiTi"/>
                <w:b/>
                <w:bCs/>
                <w:color w:val="FFFFFF"/>
                <w:sz w:val="22"/>
                <w:szCs w:val="22"/>
              </w:rPr>
              <w:t>020</w:t>
            </w:r>
          </w:p>
        </w:tc>
        <w:tc>
          <w:tcPr>
            <w:tcW w:w="1481" w:type="dxa"/>
            <w:tcBorders>
              <w:top w:val="nil"/>
              <w:left w:val="nil"/>
              <w:bottom w:val="nil"/>
              <w:right w:val="nil"/>
            </w:tcBorders>
            <w:shd w:val="clear" w:color="auto" w:fill="auto"/>
            <w:noWrap/>
            <w:vAlign w:val="center"/>
          </w:tcPr>
          <w:p w14:paraId="63B0AD0F" w14:textId="77777777" w:rsidR="00E629F3" w:rsidRDefault="00E629F3">
            <w:pPr>
              <w:spacing w:line="360" w:lineRule="auto"/>
              <w:jc w:val="center"/>
              <w:rPr>
                <w:rFonts w:ascii="KaiTi" w:eastAsia="KaiTi" w:hAnsi="KaiTi"/>
                <w:b/>
                <w:bCs/>
                <w:color w:val="FFFFFF"/>
                <w:sz w:val="22"/>
                <w:szCs w:val="22"/>
              </w:rPr>
            </w:pPr>
          </w:p>
        </w:tc>
      </w:tr>
      <w:tr w:rsidR="00E629F3" w14:paraId="6F66D9A6" w14:textId="77777777">
        <w:trPr>
          <w:trHeight w:val="454"/>
        </w:trPr>
        <w:tc>
          <w:tcPr>
            <w:tcW w:w="1985" w:type="dxa"/>
            <w:tcBorders>
              <w:top w:val="nil"/>
              <w:left w:val="single" w:sz="4" w:space="0" w:color="auto"/>
              <w:bottom w:val="single" w:sz="4" w:space="0" w:color="auto"/>
              <w:right w:val="single" w:sz="4" w:space="0" w:color="auto"/>
            </w:tcBorders>
            <w:shd w:val="clear" w:color="auto" w:fill="auto"/>
            <w:vAlign w:val="center"/>
          </w:tcPr>
          <w:p w14:paraId="7827B69E"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①营业收入</w:t>
            </w:r>
          </w:p>
        </w:tc>
        <w:tc>
          <w:tcPr>
            <w:tcW w:w="1134" w:type="dxa"/>
            <w:tcBorders>
              <w:top w:val="nil"/>
              <w:left w:val="nil"/>
              <w:bottom w:val="single" w:sz="4" w:space="0" w:color="auto"/>
              <w:right w:val="single" w:sz="4" w:space="0" w:color="auto"/>
            </w:tcBorders>
            <w:shd w:val="clear" w:color="auto" w:fill="auto"/>
            <w:noWrap/>
            <w:vAlign w:val="center"/>
          </w:tcPr>
          <w:p w14:paraId="2695C35C"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160.52</w:t>
            </w:r>
          </w:p>
        </w:tc>
        <w:tc>
          <w:tcPr>
            <w:tcW w:w="1134" w:type="dxa"/>
            <w:tcBorders>
              <w:top w:val="nil"/>
              <w:left w:val="nil"/>
              <w:bottom w:val="single" w:sz="4" w:space="0" w:color="auto"/>
              <w:right w:val="single" w:sz="4" w:space="0" w:color="auto"/>
            </w:tcBorders>
            <w:shd w:val="clear" w:color="auto" w:fill="auto"/>
            <w:noWrap/>
            <w:vAlign w:val="center"/>
          </w:tcPr>
          <w:p w14:paraId="5A7472EB"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171.83</w:t>
            </w:r>
          </w:p>
        </w:tc>
        <w:tc>
          <w:tcPr>
            <w:tcW w:w="1134" w:type="dxa"/>
            <w:tcBorders>
              <w:top w:val="nil"/>
              <w:left w:val="nil"/>
              <w:bottom w:val="single" w:sz="4" w:space="0" w:color="auto"/>
              <w:right w:val="single" w:sz="4" w:space="0" w:color="auto"/>
            </w:tcBorders>
            <w:shd w:val="clear" w:color="auto" w:fill="auto"/>
            <w:noWrap/>
            <w:vAlign w:val="center"/>
          </w:tcPr>
          <w:p w14:paraId="40697AB0"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199.18</w:t>
            </w:r>
          </w:p>
        </w:tc>
        <w:tc>
          <w:tcPr>
            <w:tcW w:w="1134" w:type="dxa"/>
            <w:tcBorders>
              <w:top w:val="nil"/>
              <w:left w:val="nil"/>
              <w:bottom w:val="single" w:sz="4" w:space="0" w:color="auto"/>
              <w:right w:val="single" w:sz="4" w:space="0" w:color="auto"/>
            </w:tcBorders>
            <w:shd w:val="clear" w:color="auto" w:fill="auto"/>
            <w:noWrap/>
            <w:vAlign w:val="center"/>
          </w:tcPr>
          <w:p w14:paraId="29947932"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241.60</w:t>
            </w:r>
          </w:p>
        </w:tc>
        <w:tc>
          <w:tcPr>
            <w:tcW w:w="1134" w:type="dxa"/>
            <w:tcBorders>
              <w:top w:val="nil"/>
              <w:left w:val="nil"/>
              <w:bottom w:val="single" w:sz="4" w:space="0" w:color="auto"/>
              <w:right w:val="single" w:sz="4" w:space="0" w:color="auto"/>
            </w:tcBorders>
            <w:shd w:val="clear" w:color="auto" w:fill="auto"/>
            <w:noWrap/>
            <w:vAlign w:val="center"/>
          </w:tcPr>
          <w:p w14:paraId="3FFA430A"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231.26</w:t>
            </w:r>
          </w:p>
        </w:tc>
        <w:tc>
          <w:tcPr>
            <w:tcW w:w="993" w:type="dxa"/>
            <w:tcBorders>
              <w:top w:val="nil"/>
              <w:left w:val="nil"/>
              <w:bottom w:val="single" w:sz="4" w:space="0" w:color="auto"/>
              <w:right w:val="single" w:sz="4" w:space="0" w:color="auto"/>
            </w:tcBorders>
            <w:shd w:val="clear" w:color="000000" w:fill="FFFF00"/>
            <w:noWrap/>
            <w:vAlign w:val="center"/>
          </w:tcPr>
          <w:p w14:paraId="7EEAA23B" w14:textId="77777777" w:rsidR="00E629F3" w:rsidRDefault="00E629F3">
            <w:pPr>
              <w:spacing w:line="360" w:lineRule="auto"/>
              <w:jc w:val="right"/>
              <w:rPr>
                <w:rFonts w:ascii="KaiTi" w:eastAsia="KaiTi" w:hAnsi="KaiTi" w:cs="Arial"/>
                <w:sz w:val="20"/>
                <w:szCs w:val="20"/>
              </w:rPr>
            </w:pPr>
          </w:p>
        </w:tc>
        <w:tc>
          <w:tcPr>
            <w:tcW w:w="1481" w:type="dxa"/>
            <w:tcBorders>
              <w:top w:val="nil"/>
              <w:left w:val="nil"/>
              <w:bottom w:val="nil"/>
              <w:right w:val="nil"/>
            </w:tcBorders>
            <w:shd w:val="clear" w:color="auto" w:fill="auto"/>
            <w:noWrap/>
            <w:vAlign w:val="center"/>
          </w:tcPr>
          <w:p w14:paraId="0A5EBC34" w14:textId="77777777" w:rsidR="00E629F3" w:rsidRDefault="00573FF2">
            <w:pPr>
              <w:spacing w:line="360" w:lineRule="auto"/>
              <w:rPr>
                <w:rFonts w:ascii="KaiTi" w:eastAsia="KaiTi" w:hAnsi="KaiTi" w:cs="Arial"/>
                <w:color w:val="4472C4" w:themeColor="accent1"/>
                <w:sz w:val="22"/>
                <w:szCs w:val="22"/>
              </w:rPr>
            </w:pPr>
            <w:r>
              <w:rPr>
                <w:rFonts w:ascii="KaiTi" w:eastAsia="KaiTi" w:hAnsi="KaiTi" w:cs="Arial" w:hint="eastAsia"/>
                <w:color w:val="4472C4" w:themeColor="accent1"/>
                <w:sz w:val="22"/>
                <w:szCs w:val="22"/>
              </w:rPr>
              <w:t>上一步已查</w:t>
            </w:r>
          </w:p>
        </w:tc>
      </w:tr>
      <w:tr w:rsidR="00E629F3" w14:paraId="2B473F68" w14:textId="77777777">
        <w:trPr>
          <w:trHeight w:val="454"/>
        </w:trPr>
        <w:tc>
          <w:tcPr>
            <w:tcW w:w="1985" w:type="dxa"/>
            <w:tcBorders>
              <w:top w:val="nil"/>
              <w:left w:val="single" w:sz="4" w:space="0" w:color="auto"/>
              <w:bottom w:val="single" w:sz="4" w:space="0" w:color="auto"/>
              <w:right w:val="single" w:sz="4" w:space="0" w:color="auto"/>
            </w:tcBorders>
            <w:shd w:val="clear" w:color="auto" w:fill="auto"/>
            <w:vAlign w:val="center"/>
          </w:tcPr>
          <w:p w14:paraId="57B8AF70"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②营业成本</w:t>
            </w:r>
          </w:p>
        </w:tc>
        <w:tc>
          <w:tcPr>
            <w:tcW w:w="1134" w:type="dxa"/>
            <w:tcBorders>
              <w:top w:val="nil"/>
              <w:left w:val="nil"/>
              <w:bottom w:val="single" w:sz="4" w:space="0" w:color="auto"/>
              <w:right w:val="single" w:sz="4" w:space="0" w:color="auto"/>
            </w:tcBorders>
            <w:shd w:val="clear" w:color="auto" w:fill="auto"/>
            <w:noWrap/>
            <w:vAlign w:val="center"/>
          </w:tcPr>
          <w:p w14:paraId="632F3886"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61.15</w:t>
            </w:r>
          </w:p>
        </w:tc>
        <w:tc>
          <w:tcPr>
            <w:tcW w:w="1134" w:type="dxa"/>
            <w:tcBorders>
              <w:top w:val="nil"/>
              <w:left w:val="nil"/>
              <w:bottom w:val="single" w:sz="4" w:space="0" w:color="auto"/>
              <w:right w:val="single" w:sz="4" w:space="0" w:color="auto"/>
            </w:tcBorders>
            <w:shd w:val="clear" w:color="auto" w:fill="auto"/>
            <w:noWrap/>
            <w:vAlign w:val="center"/>
          </w:tcPr>
          <w:p w14:paraId="2598488B"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62.03</w:t>
            </w:r>
          </w:p>
        </w:tc>
        <w:tc>
          <w:tcPr>
            <w:tcW w:w="1134" w:type="dxa"/>
            <w:tcBorders>
              <w:top w:val="nil"/>
              <w:left w:val="nil"/>
              <w:bottom w:val="single" w:sz="4" w:space="0" w:color="auto"/>
              <w:right w:val="single" w:sz="4" w:space="0" w:color="auto"/>
            </w:tcBorders>
            <w:shd w:val="clear" w:color="auto" w:fill="auto"/>
            <w:noWrap/>
            <w:vAlign w:val="center"/>
          </w:tcPr>
          <w:p w14:paraId="5E23CA7F"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66.81</w:t>
            </w:r>
          </w:p>
        </w:tc>
        <w:tc>
          <w:tcPr>
            <w:tcW w:w="1134" w:type="dxa"/>
            <w:tcBorders>
              <w:top w:val="nil"/>
              <w:left w:val="nil"/>
              <w:bottom w:val="single" w:sz="4" w:space="0" w:color="auto"/>
              <w:right w:val="single" w:sz="4" w:space="0" w:color="auto"/>
            </w:tcBorders>
            <w:shd w:val="clear" w:color="auto" w:fill="auto"/>
            <w:noWrap/>
            <w:vAlign w:val="center"/>
          </w:tcPr>
          <w:p w14:paraId="1E1C475A"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63.53</w:t>
            </w:r>
          </w:p>
        </w:tc>
        <w:tc>
          <w:tcPr>
            <w:tcW w:w="1134" w:type="dxa"/>
            <w:tcBorders>
              <w:top w:val="nil"/>
              <w:left w:val="nil"/>
              <w:bottom w:val="single" w:sz="4" w:space="0" w:color="auto"/>
              <w:right w:val="single" w:sz="4" w:space="0" w:color="auto"/>
            </w:tcBorders>
            <w:shd w:val="clear" w:color="auto" w:fill="auto"/>
            <w:noWrap/>
            <w:vAlign w:val="center"/>
          </w:tcPr>
          <w:p w14:paraId="3DE9F9AC"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66.26</w:t>
            </w:r>
          </w:p>
        </w:tc>
        <w:tc>
          <w:tcPr>
            <w:tcW w:w="993" w:type="dxa"/>
            <w:tcBorders>
              <w:top w:val="nil"/>
              <w:left w:val="nil"/>
              <w:bottom w:val="single" w:sz="4" w:space="0" w:color="auto"/>
              <w:right w:val="single" w:sz="4" w:space="0" w:color="auto"/>
            </w:tcBorders>
            <w:shd w:val="clear" w:color="000000" w:fill="FFFF00"/>
            <w:noWrap/>
            <w:vAlign w:val="center"/>
          </w:tcPr>
          <w:p w14:paraId="541C1B3E" w14:textId="77777777" w:rsidR="00E629F3" w:rsidRDefault="00E629F3">
            <w:pPr>
              <w:spacing w:line="360" w:lineRule="auto"/>
              <w:jc w:val="right"/>
              <w:rPr>
                <w:rFonts w:ascii="KaiTi" w:eastAsia="KaiTi" w:hAnsi="KaiTi" w:cs="Arial"/>
                <w:sz w:val="20"/>
                <w:szCs w:val="20"/>
              </w:rPr>
            </w:pPr>
          </w:p>
        </w:tc>
        <w:tc>
          <w:tcPr>
            <w:tcW w:w="1481" w:type="dxa"/>
            <w:tcBorders>
              <w:top w:val="nil"/>
              <w:left w:val="nil"/>
              <w:bottom w:val="nil"/>
              <w:right w:val="nil"/>
            </w:tcBorders>
            <w:shd w:val="clear" w:color="auto" w:fill="auto"/>
            <w:noWrap/>
            <w:vAlign w:val="center"/>
          </w:tcPr>
          <w:p w14:paraId="554DF89B" w14:textId="77777777" w:rsidR="00E629F3" w:rsidRDefault="00573FF2">
            <w:pPr>
              <w:spacing w:line="360" w:lineRule="auto"/>
              <w:rPr>
                <w:rFonts w:ascii="KaiTi" w:eastAsia="KaiTi" w:hAnsi="KaiTi" w:cs="Arial"/>
                <w:color w:val="4472C4" w:themeColor="accent1"/>
                <w:sz w:val="22"/>
                <w:szCs w:val="22"/>
              </w:rPr>
            </w:pPr>
            <w:r>
              <w:rPr>
                <w:rFonts w:ascii="KaiTi" w:eastAsia="KaiTi" w:hAnsi="KaiTi" w:cs="Arial" w:hint="eastAsia"/>
                <w:color w:val="4472C4" w:themeColor="accent1"/>
                <w:sz w:val="22"/>
                <w:szCs w:val="22"/>
              </w:rPr>
              <w:t>解析2</w:t>
            </w:r>
          </w:p>
        </w:tc>
      </w:tr>
      <w:tr w:rsidR="00E629F3" w14:paraId="09DFC4E1" w14:textId="77777777">
        <w:trPr>
          <w:trHeight w:val="454"/>
        </w:trPr>
        <w:tc>
          <w:tcPr>
            <w:tcW w:w="1985" w:type="dxa"/>
            <w:tcBorders>
              <w:top w:val="nil"/>
              <w:left w:val="single" w:sz="4" w:space="0" w:color="auto"/>
              <w:bottom w:val="single" w:sz="4" w:space="0" w:color="auto"/>
              <w:right w:val="single" w:sz="4" w:space="0" w:color="auto"/>
            </w:tcBorders>
            <w:shd w:val="clear" w:color="auto" w:fill="auto"/>
            <w:vAlign w:val="center"/>
          </w:tcPr>
          <w:p w14:paraId="67583E3D" w14:textId="77777777" w:rsidR="00E629F3" w:rsidRDefault="00573FF2">
            <w:pPr>
              <w:jc w:val="center"/>
              <w:rPr>
                <w:rFonts w:ascii="KaiTi" w:eastAsia="KaiTi" w:hAnsi="KaiTi"/>
                <w:sz w:val="18"/>
                <w:szCs w:val="18"/>
              </w:rPr>
            </w:pPr>
            <w:r>
              <w:rPr>
                <w:rFonts w:ascii="KaiTi" w:eastAsia="KaiTi" w:hAnsi="KaiTi" w:hint="eastAsia"/>
                <w:sz w:val="18"/>
                <w:szCs w:val="18"/>
              </w:rPr>
              <w:t>毛利率=（①-②）/①</w:t>
            </w:r>
          </w:p>
        </w:tc>
        <w:tc>
          <w:tcPr>
            <w:tcW w:w="1134" w:type="dxa"/>
            <w:tcBorders>
              <w:top w:val="nil"/>
              <w:left w:val="nil"/>
              <w:bottom w:val="single" w:sz="4" w:space="0" w:color="auto"/>
              <w:right w:val="single" w:sz="4" w:space="0" w:color="auto"/>
            </w:tcBorders>
            <w:shd w:val="clear" w:color="auto" w:fill="auto"/>
            <w:noWrap/>
            <w:vAlign w:val="center"/>
          </w:tcPr>
          <w:p w14:paraId="3F58929C"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61.91%</w:t>
            </w:r>
          </w:p>
        </w:tc>
        <w:tc>
          <w:tcPr>
            <w:tcW w:w="1134" w:type="dxa"/>
            <w:tcBorders>
              <w:top w:val="nil"/>
              <w:left w:val="nil"/>
              <w:bottom w:val="single" w:sz="4" w:space="0" w:color="auto"/>
              <w:right w:val="single" w:sz="4" w:space="0" w:color="auto"/>
            </w:tcBorders>
            <w:shd w:val="clear" w:color="auto" w:fill="auto"/>
            <w:noWrap/>
            <w:vAlign w:val="center"/>
          </w:tcPr>
          <w:p w14:paraId="43FD4C74"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63.90%</w:t>
            </w:r>
          </w:p>
        </w:tc>
        <w:tc>
          <w:tcPr>
            <w:tcW w:w="1134" w:type="dxa"/>
            <w:tcBorders>
              <w:top w:val="nil"/>
              <w:left w:val="nil"/>
              <w:bottom w:val="single" w:sz="4" w:space="0" w:color="auto"/>
              <w:right w:val="single" w:sz="4" w:space="0" w:color="auto"/>
            </w:tcBorders>
            <w:shd w:val="clear" w:color="auto" w:fill="auto"/>
            <w:noWrap/>
            <w:vAlign w:val="center"/>
          </w:tcPr>
          <w:p w14:paraId="676AD98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66.46%</w:t>
            </w:r>
          </w:p>
        </w:tc>
        <w:tc>
          <w:tcPr>
            <w:tcW w:w="1134" w:type="dxa"/>
            <w:tcBorders>
              <w:top w:val="nil"/>
              <w:left w:val="nil"/>
              <w:bottom w:val="single" w:sz="4" w:space="0" w:color="auto"/>
              <w:right w:val="single" w:sz="4" w:space="0" w:color="auto"/>
            </w:tcBorders>
            <w:shd w:val="clear" w:color="auto" w:fill="auto"/>
            <w:noWrap/>
            <w:vAlign w:val="center"/>
          </w:tcPr>
          <w:p w14:paraId="0928E725"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73.70%</w:t>
            </w:r>
          </w:p>
        </w:tc>
        <w:tc>
          <w:tcPr>
            <w:tcW w:w="1134" w:type="dxa"/>
            <w:tcBorders>
              <w:top w:val="nil"/>
              <w:left w:val="nil"/>
              <w:bottom w:val="single" w:sz="4" w:space="0" w:color="auto"/>
              <w:right w:val="single" w:sz="4" w:space="0" w:color="auto"/>
            </w:tcBorders>
            <w:shd w:val="clear" w:color="auto" w:fill="auto"/>
            <w:noWrap/>
            <w:vAlign w:val="center"/>
          </w:tcPr>
          <w:p w14:paraId="01381FA8"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71.35%</w:t>
            </w:r>
          </w:p>
        </w:tc>
        <w:tc>
          <w:tcPr>
            <w:tcW w:w="993" w:type="dxa"/>
            <w:tcBorders>
              <w:top w:val="nil"/>
              <w:left w:val="nil"/>
              <w:bottom w:val="single" w:sz="4" w:space="0" w:color="auto"/>
              <w:right w:val="single" w:sz="4" w:space="0" w:color="auto"/>
            </w:tcBorders>
            <w:shd w:val="clear" w:color="000000" w:fill="FFFF00"/>
            <w:noWrap/>
            <w:vAlign w:val="center"/>
          </w:tcPr>
          <w:p w14:paraId="61231FC2" w14:textId="77777777" w:rsidR="00E629F3" w:rsidRDefault="00E629F3">
            <w:pPr>
              <w:spacing w:line="360" w:lineRule="auto"/>
              <w:jc w:val="right"/>
              <w:rPr>
                <w:rFonts w:ascii="KaiTi" w:eastAsia="KaiTi" w:hAnsi="KaiTi" w:cs="Arial"/>
                <w:sz w:val="20"/>
                <w:szCs w:val="20"/>
              </w:rPr>
            </w:pPr>
          </w:p>
        </w:tc>
        <w:tc>
          <w:tcPr>
            <w:tcW w:w="1481" w:type="dxa"/>
            <w:tcBorders>
              <w:top w:val="nil"/>
              <w:left w:val="nil"/>
              <w:bottom w:val="nil"/>
              <w:right w:val="nil"/>
            </w:tcBorders>
            <w:shd w:val="clear" w:color="auto" w:fill="auto"/>
            <w:noWrap/>
            <w:vAlign w:val="center"/>
          </w:tcPr>
          <w:p w14:paraId="1B864A5E" w14:textId="77777777" w:rsidR="00E629F3" w:rsidRDefault="00573FF2">
            <w:pPr>
              <w:spacing w:line="360" w:lineRule="auto"/>
              <w:rPr>
                <w:rFonts w:ascii="KaiTi" w:eastAsia="KaiTi" w:hAnsi="KaiTi" w:cs="Arial"/>
                <w:color w:val="4472C4" w:themeColor="accent1"/>
                <w:sz w:val="22"/>
                <w:szCs w:val="22"/>
              </w:rPr>
            </w:pPr>
            <w:r>
              <w:rPr>
                <w:rFonts w:ascii="KaiTi" w:eastAsia="KaiTi" w:hAnsi="KaiTi" w:cs="Arial" w:hint="eastAsia"/>
                <w:color w:val="4472C4" w:themeColor="accent1"/>
                <w:sz w:val="22"/>
                <w:szCs w:val="22"/>
              </w:rPr>
              <w:t>解析2</w:t>
            </w:r>
          </w:p>
        </w:tc>
      </w:tr>
      <w:tr w:rsidR="00E629F3" w14:paraId="3A744E04" w14:textId="77777777">
        <w:trPr>
          <w:trHeight w:val="454"/>
        </w:trPr>
        <w:tc>
          <w:tcPr>
            <w:tcW w:w="1985" w:type="dxa"/>
            <w:tcBorders>
              <w:top w:val="nil"/>
              <w:left w:val="single" w:sz="4" w:space="0" w:color="auto"/>
              <w:bottom w:val="single" w:sz="4" w:space="0" w:color="auto"/>
              <w:right w:val="single" w:sz="4" w:space="0" w:color="auto"/>
            </w:tcBorders>
            <w:shd w:val="clear" w:color="auto" w:fill="auto"/>
            <w:vAlign w:val="center"/>
          </w:tcPr>
          <w:p w14:paraId="68909F36"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毛利率波动幅度</w:t>
            </w:r>
          </w:p>
        </w:tc>
        <w:tc>
          <w:tcPr>
            <w:tcW w:w="1134" w:type="dxa"/>
            <w:tcBorders>
              <w:top w:val="nil"/>
              <w:left w:val="nil"/>
              <w:bottom w:val="single" w:sz="4" w:space="0" w:color="auto"/>
              <w:right w:val="single" w:sz="4" w:space="0" w:color="auto"/>
            </w:tcBorders>
            <w:shd w:val="clear" w:color="auto" w:fill="auto"/>
            <w:noWrap/>
            <w:vAlign w:val="center"/>
          </w:tcPr>
          <w:p w14:paraId="0F38D2A8" w14:textId="77777777" w:rsidR="00E629F3" w:rsidRDefault="00573FF2">
            <w:pPr>
              <w:spacing w:line="360" w:lineRule="auto"/>
              <w:jc w:val="right"/>
              <w:rPr>
                <w:rFonts w:ascii="KaiTi" w:eastAsia="KaiTi" w:hAnsi="KaiTi"/>
                <w:color w:val="000000"/>
                <w:sz w:val="22"/>
                <w:szCs w:val="22"/>
              </w:rPr>
            </w:pPr>
            <w:r>
              <w:rPr>
                <w:rFonts w:ascii="KaiTi" w:eastAsia="KaiTi" w:hAnsi="KaiTi" w:cs="Arial"/>
                <w:sz w:val="20"/>
                <w:szCs w:val="20"/>
              </w:rPr>
              <w:t>2.12%</w:t>
            </w:r>
          </w:p>
        </w:tc>
        <w:tc>
          <w:tcPr>
            <w:tcW w:w="1134" w:type="dxa"/>
            <w:tcBorders>
              <w:top w:val="nil"/>
              <w:left w:val="nil"/>
              <w:bottom w:val="single" w:sz="4" w:space="0" w:color="auto"/>
              <w:right w:val="single" w:sz="4" w:space="0" w:color="auto"/>
            </w:tcBorders>
            <w:shd w:val="clear" w:color="auto" w:fill="auto"/>
            <w:noWrap/>
            <w:vAlign w:val="center"/>
          </w:tcPr>
          <w:p w14:paraId="11F62A10"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3.22%</w:t>
            </w:r>
          </w:p>
        </w:tc>
        <w:tc>
          <w:tcPr>
            <w:tcW w:w="1134" w:type="dxa"/>
            <w:tcBorders>
              <w:top w:val="nil"/>
              <w:left w:val="nil"/>
              <w:bottom w:val="single" w:sz="4" w:space="0" w:color="auto"/>
              <w:right w:val="single" w:sz="4" w:space="0" w:color="auto"/>
            </w:tcBorders>
            <w:shd w:val="clear" w:color="auto" w:fill="auto"/>
            <w:noWrap/>
            <w:vAlign w:val="center"/>
          </w:tcPr>
          <w:p w14:paraId="2BB84FA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4.00%</w:t>
            </w:r>
          </w:p>
        </w:tc>
        <w:tc>
          <w:tcPr>
            <w:tcW w:w="1134" w:type="dxa"/>
            <w:tcBorders>
              <w:top w:val="nil"/>
              <w:left w:val="nil"/>
              <w:bottom w:val="single" w:sz="4" w:space="0" w:color="auto"/>
              <w:right w:val="single" w:sz="4" w:space="0" w:color="auto"/>
            </w:tcBorders>
            <w:shd w:val="clear" w:color="auto" w:fill="auto"/>
            <w:noWrap/>
            <w:vAlign w:val="center"/>
          </w:tcPr>
          <w:p w14:paraId="58D56B9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10.90%</w:t>
            </w:r>
          </w:p>
        </w:tc>
        <w:tc>
          <w:tcPr>
            <w:tcW w:w="1134" w:type="dxa"/>
            <w:tcBorders>
              <w:top w:val="nil"/>
              <w:left w:val="nil"/>
              <w:bottom w:val="single" w:sz="4" w:space="0" w:color="auto"/>
              <w:right w:val="single" w:sz="4" w:space="0" w:color="auto"/>
            </w:tcBorders>
            <w:shd w:val="clear" w:color="auto" w:fill="auto"/>
            <w:noWrap/>
            <w:vAlign w:val="center"/>
          </w:tcPr>
          <w:p w14:paraId="0E8DBEE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-3.20%</w:t>
            </w:r>
          </w:p>
        </w:tc>
        <w:tc>
          <w:tcPr>
            <w:tcW w:w="993" w:type="dxa"/>
            <w:tcBorders>
              <w:top w:val="nil"/>
              <w:left w:val="nil"/>
              <w:bottom w:val="single" w:sz="4" w:space="0" w:color="auto"/>
              <w:right w:val="single" w:sz="4" w:space="0" w:color="auto"/>
            </w:tcBorders>
            <w:shd w:val="clear" w:color="000000" w:fill="FFFF00"/>
            <w:noWrap/>
            <w:vAlign w:val="center"/>
          </w:tcPr>
          <w:p w14:paraId="6EE2449D" w14:textId="77777777" w:rsidR="00E629F3" w:rsidRDefault="00E629F3">
            <w:pPr>
              <w:spacing w:line="360" w:lineRule="auto"/>
              <w:jc w:val="right"/>
              <w:rPr>
                <w:rFonts w:ascii="KaiTi" w:eastAsia="KaiTi" w:hAnsi="KaiTi" w:cs="Arial"/>
                <w:sz w:val="20"/>
                <w:szCs w:val="20"/>
              </w:rPr>
            </w:pPr>
          </w:p>
        </w:tc>
        <w:tc>
          <w:tcPr>
            <w:tcW w:w="1481" w:type="dxa"/>
            <w:tcBorders>
              <w:top w:val="nil"/>
              <w:left w:val="nil"/>
              <w:bottom w:val="nil"/>
              <w:right w:val="nil"/>
            </w:tcBorders>
            <w:shd w:val="clear" w:color="auto" w:fill="auto"/>
            <w:noWrap/>
            <w:vAlign w:val="center"/>
          </w:tcPr>
          <w:p w14:paraId="796F35EA" w14:textId="77777777" w:rsidR="00E629F3" w:rsidRDefault="00573FF2">
            <w:pPr>
              <w:spacing w:line="360" w:lineRule="auto"/>
              <w:rPr>
                <w:rFonts w:ascii="KaiTi" w:eastAsia="KaiTi" w:hAnsi="KaiTi" w:cs="Arial"/>
                <w:color w:val="4472C4" w:themeColor="accent1"/>
                <w:sz w:val="22"/>
                <w:szCs w:val="22"/>
              </w:rPr>
            </w:pPr>
            <w:r>
              <w:rPr>
                <w:rFonts w:ascii="KaiTi" w:eastAsia="KaiTi" w:hAnsi="KaiTi" w:cs="Arial" w:hint="eastAsia"/>
                <w:color w:val="4472C4" w:themeColor="accent1"/>
                <w:sz w:val="22"/>
                <w:szCs w:val="22"/>
              </w:rPr>
              <w:t>下面有公式</w:t>
            </w:r>
          </w:p>
        </w:tc>
      </w:tr>
    </w:tbl>
    <w:p w14:paraId="1AE1BA9C" w14:textId="77777777" w:rsidR="00E629F3" w:rsidRDefault="00573FF2">
      <w:pPr>
        <w:spacing w:line="360" w:lineRule="auto"/>
        <w:rPr>
          <w:rFonts w:ascii="KaiTi" w:eastAsia="KaiTi" w:hAnsi="KaiTi"/>
          <w:b/>
          <w:bCs/>
          <w:color w:val="4472C4" w:themeColor="accent1"/>
        </w:rPr>
      </w:pPr>
      <w:r>
        <w:rPr>
          <w:rFonts w:ascii="KaiTi" w:eastAsia="KaiTi" w:hAnsi="KaiTi" w:hint="eastAsia"/>
          <w:b/>
          <w:bCs/>
          <w:color w:val="4472C4" w:themeColor="accent1"/>
        </w:rPr>
        <w:t>计算公式：①毛利率=（营业收入-营业成本）/营业收入</w:t>
      </w:r>
    </w:p>
    <w:p w14:paraId="60C0AD44" w14:textId="77777777" w:rsidR="00E629F3" w:rsidRDefault="00573FF2">
      <w:pPr>
        <w:spacing w:line="360" w:lineRule="auto"/>
        <w:rPr>
          <w:rFonts w:ascii="KaiTi" w:eastAsia="KaiTi" w:hAnsi="KaiTi"/>
          <w:b/>
          <w:bCs/>
          <w:color w:val="4472C4" w:themeColor="accent1"/>
        </w:rPr>
      </w:pPr>
      <w:r>
        <w:rPr>
          <w:rFonts w:ascii="KaiTi" w:eastAsia="KaiTi" w:hAnsi="KaiTi" w:hint="eastAsia"/>
          <w:b/>
          <w:bCs/>
          <w:color w:val="4472C4" w:themeColor="accent1"/>
        </w:rPr>
        <w:t>②毛利率波动幅度=（本年毛利率-上年毛利率）上年毛利率</w:t>
      </w:r>
    </w:p>
    <w:p w14:paraId="5AC3E530" w14:textId="77777777" w:rsidR="00E629F3" w:rsidRDefault="00573FF2">
      <w:pPr>
        <w:pStyle w:val="01761"/>
      </w:pPr>
      <w:r>
        <w:rPr>
          <w:rFonts w:hint="eastAsia"/>
        </w:rPr>
        <w:t>3.分析各年变化趋势</w:t>
      </w:r>
    </w:p>
    <w:p w14:paraId="283C5A53" w14:textId="77777777" w:rsidR="00E629F3" w:rsidRDefault="00573FF2">
      <w:pPr>
        <w:pStyle w:val="017"/>
        <w:ind w:firstLineChars="150" w:firstLine="360"/>
        <w:rPr>
          <w:b/>
          <w:bCs/>
          <w:color w:val="C45911" w:themeColor="accent2" w:themeShade="BF"/>
        </w:rPr>
      </w:pPr>
      <w:r>
        <w:rPr>
          <w:rFonts w:hint="eastAsia"/>
        </w:rPr>
        <w:t>洋河股份201</w:t>
      </w:r>
      <w:r>
        <w:t>6</w:t>
      </w:r>
      <w:r>
        <w:rPr>
          <w:rFonts w:hint="eastAsia"/>
        </w:rPr>
        <w:t>-2</w:t>
      </w:r>
      <w:r>
        <w:t>020</w:t>
      </w:r>
      <w:r>
        <w:rPr>
          <w:rFonts w:hint="eastAsia"/>
        </w:rPr>
        <w:t>年的毛利率分别为：</w:t>
      </w:r>
      <w:r>
        <w:t>63.90</w:t>
      </w:r>
      <w:r>
        <w:rPr>
          <w:rFonts w:hint="eastAsia"/>
        </w:rPr>
        <w:t>%、</w:t>
      </w:r>
      <w:r>
        <w:t>66.46</w:t>
      </w:r>
      <w:r>
        <w:rPr>
          <w:rFonts w:hint="eastAsia"/>
        </w:rPr>
        <w:t>%、</w:t>
      </w:r>
      <w:r>
        <w:t>73.70</w:t>
      </w:r>
      <w:r>
        <w:rPr>
          <w:rFonts w:hint="eastAsia"/>
        </w:rPr>
        <w:t>%、7</w:t>
      </w:r>
      <w:r>
        <w:t>1.35</w:t>
      </w:r>
      <w:r>
        <w:rPr>
          <w:rFonts w:hint="eastAsia"/>
        </w:rPr>
        <w:t>%、</w:t>
      </w:r>
      <w:r>
        <w:rPr>
          <w:u w:val="single"/>
        </w:rPr>
        <w:t xml:space="preserve">      </w:t>
      </w:r>
      <w:r>
        <w:rPr>
          <w:rFonts w:hint="eastAsia"/>
        </w:rPr>
        <w:t>%，远远</w:t>
      </w:r>
      <w:r>
        <w:rPr>
          <w:rFonts w:hint="eastAsia"/>
          <w:u w:val="single"/>
        </w:rPr>
        <w:t xml:space="preserve"> </w:t>
      </w:r>
      <w:r>
        <w:rPr>
          <w:u w:val="single"/>
        </w:rPr>
        <w:t xml:space="preserve">     </w:t>
      </w:r>
      <w:r>
        <w:rPr>
          <w:rFonts w:hint="eastAsia"/>
          <w:b/>
          <w:bCs/>
          <w:color w:val="C45911" w:themeColor="accent2" w:themeShade="BF"/>
        </w:rPr>
        <w:t>（大于4</w:t>
      </w:r>
      <w:r>
        <w:rPr>
          <w:b/>
          <w:bCs/>
          <w:color w:val="C45911" w:themeColor="accent2" w:themeShade="BF"/>
        </w:rPr>
        <w:t>0</w:t>
      </w:r>
      <w:r>
        <w:rPr>
          <w:rFonts w:hint="eastAsia"/>
          <w:b/>
          <w:bCs/>
          <w:color w:val="C45911" w:themeColor="accent2" w:themeShade="BF"/>
        </w:rPr>
        <w:t>%或小于4</w:t>
      </w:r>
      <w:r>
        <w:rPr>
          <w:b/>
          <w:bCs/>
          <w:color w:val="C45911" w:themeColor="accent2" w:themeShade="BF"/>
        </w:rPr>
        <w:t>0</w:t>
      </w:r>
      <w:r>
        <w:rPr>
          <w:rFonts w:hint="eastAsia"/>
          <w:b/>
          <w:bCs/>
          <w:color w:val="C45911" w:themeColor="accent2" w:themeShade="BF"/>
        </w:rPr>
        <w:t>%）</w:t>
      </w:r>
      <w:r>
        <w:rPr>
          <w:rFonts w:hint="eastAsia"/>
        </w:rPr>
        <w:t>，这说明</w:t>
      </w:r>
      <w:r>
        <w:rPr>
          <w:rFonts w:hint="eastAsia"/>
          <w:u w:val="single"/>
        </w:rPr>
        <w:t xml:space="preserve"> </w:t>
      </w:r>
      <w:r>
        <w:rPr>
          <w:u w:val="single"/>
        </w:rPr>
        <w:t xml:space="preserve">        </w:t>
      </w:r>
      <w:r>
        <w:rPr>
          <w:rFonts w:hint="eastAsia"/>
          <w:b/>
          <w:bCs/>
          <w:color w:val="C45911" w:themeColor="accent2" w:themeShade="BF"/>
        </w:rPr>
        <w:t>（选项：公司的产品竞争力强或者公司的产品竞争力弱）</w:t>
      </w:r>
    </w:p>
    <w:p w14:paraId="2E61ED9B" w14:textId="77777777" w:rsidR="00E629F3" w:rsidRDefault="00573FF2">
      <w:pPr>
        <w:pStyle w:val="01761"/>
      </w:pPr>
      <w:r>
        <w:rPr>
          <w:rFonts w:hint="eastAsia"/>
        </w:rPr>
        <w:t>4</w:t>
      </w:r>
      <w:r>
        <w:t>.</w:t>
      </w:r>
      <w:r>
        <w:rPr>
          <w:rFonts w:hint="eastAsia"/>
        </w:rPr>
        <w:t>根据分析得出结论</w:t>
      </w:r>
    </w:p>
    <w:p w14:paraId="7DE529C6" w14:textId="77777777" w:rsidR="00E629F3" w:rsidRDefault="00573FF2">
      <w:pPr>
        <w:pStyle w:val="017"/>
        <w:ind w:firstLineChars="200" w:firstLine="480"/>
      </w:pPr>
      <w:r>
        <w:rPr>
          <w:rFonts w:hint="eastAsia"/>
        </w:rPr>
        <w:t>洋河股份的产品竞争力</w:t>
      </w:r>
      <w:r>
        <w:rPr>
          <w:rFonts w:hint="eastAsia"/>
          <w:u w:val="single"/>
        </w:rPr>
        <w:t xml:space="preserve"> </w:t>
      </w:r>
      <w:r>
        <w:rPr>
          <w:u w:val="single"/>
        </w:rPr>
        <w:t xml:space="preserve">    </w:t>
      </w:r>
      <w:r>
        <w:rPr>
          <w:rFonts w:hint="eastAsia"/>
          <w:b/>
          <w:bCs/>
          <w:color w:val="C45911" w:themeColor="accent2" w:themeShade="BF"/>
        </w:rPr>
        <w:t>（参照以上营业收入的思维导图得出结论，选项：强或弱）</w:t>
      </w:r>
      <w:r>
        <w:rPr>
          <w:rFonts w:hint="eastAsia"/>
        </w:rPr>
        <w:t>，赚钱轻松，经营风险小。</w:t>
      </w:r>
    </w:p>
    <w:p w14:paraId="5B80824B" w14:textId="77777777" w:rsidR="00E629F3" w:rsidRDefault="00573FF2">
      <w:pPr>
        <w:pStyle w:val="3"/>
        <w:spacing w:line="360" w:lineRule="auto"/>
        <w:rPr>
          <w:rFonts w:ascii="KaiTi" w:eastAsia="KaiTi" w:hAnsi="KaiTi"/>
          <w:szCs w:val="28"/>
        </w:rPr>
      </w:pPr>
      <w:r>
        <w:rPr>
          <w:rFonts w:ascii="KaiTi" w:eastAsia="KaiTi" w:hAnsi="KaiTi" w:hint="eastAsia"/>
          <w:szCs w:val="28"/>
        </w:rPr>
        <w:t>三、</w:t>
      </w:r>
      <w:proofErr w:type="gramStart"/>
      <w:r>
        <w:rPr>
          <w:rFonts w:ascii="KaiTi" w:eastAsia="KaiTi" w:hAnsi="KaiTi" w:hint="eastAsia"/>
          <w:szCs w:val="28"/>
        </w:rPr>
        <w:t>看期间</w:t>
      </w:r>
      <w:proofErr w:type="gramEnd"/>
      <w:r>
        <w:rPr>
          <w:rFonts w:ascii="KaiTi" w:eastAsia="KaiTi" w:hAnsi="KaiTi" w:hint="eastAsia"/>
          <w:szCs w:val="28"/>
        </w:rPr>
        <w:t>费用率（</w:t>
      </w:r>
      <w:r>
        <w:rPr>
          <w:rFonts w:ascii="KaiTi" w:eastAsia="KaiTi" w:hAnsi="KaiTi"/>
          <w:szCs w:val="28"/>
        </w:rPr>
        <w:t>20</w:t>
      </w:r>
      <w:r>
        <w:rPr>
          <w:rFonts w:ascii="KaiTi" w:eastAsia="KaiTi" w:hAnsi="KaiTi" w:hint="eastAsia"/>
          <w:szCs w:val="28"/>
        </w:rPr>
        <w:t>分）</w:t>
      </w:r>
    </w:p>
    <w:p w14:paraId="6C1370B4" w14:textId="77777777" w:rsidR="00E629F3" w:rsidRDefault="00573FF2">
      <w:pPr>
        <w:pStyle w:val="01761"/>
      </w:pPr>
      <w:r>
        <w:rPr>
          <w:rFonts w:hint="eastAsia"/>
        </w:rPr>
        <w:t>1.分析思路</w:t>
      </w:r>
    </w:p>
    <w:p w14:paraId="40D79417" w14:textId="77777777" w:rsidR="00E629F3" w:rsidRDefault="00573FF2">
      <w:pPr>
        <w:spacing w:line="360" w:lineRule="auto"/>
        <w:rPr>
          <w:rFonts w:ascii="KaiTi" w:eastAsia="KaiTi" w:hAnsi="KaiTi"/>
        </w:rPr>
      </w:pPr>
      <w:r>
        <w:rPr>
          <w:rFonts w:ascii="KaiTi" w:eastAsia="KaiTi" w:hAnsi="KaiTi"/>
          <w:noProof/>
        </w:rPr>
        <w:drawing>
          <wp:inline distT="0" distB="0" distL="0" distR="0" wp14:anchorId="7E9CF965" wp14:editId="67188A68">
            <wp:extent cx="5539105" cy="2861945"/>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577343" cy="2882231"/>
                    </a:xfrm>
                    <a:prstGeom prst="rect">
                      <a:avLst/>
                    </a:prstGeom>
                    <a:noFill/>
                    <a:ln>
                      <a:noFill/>
                    </a:ln>
                  </pic:spPr>
                </pic:pic>
              </a:graphicData>
            </a:graphic>
          </wp:inline>
        </w:drawing>
      </w:r>
    </w:p>
    <w:p w14:paraId="29590302" w14:textId="77777777" w:rsidR="00E629F3" w:rsidRDefault="00573FF2">
      <w:pPr>
        <w:pStyle w:val="01761"/>
      </w:pPr>
      <w:r>
        <w:rPr>
          <w:rFonts w:hint="eastAsia"/>
        </w:rPr>
        <w:t>2.数据收集汇总：营业收入、销售费用、管理费用、研发费用、财务费用，并计算费用率，费用率与毛利率的比率</w:t>
      </w:r>
    </w:p>
    <w:p w14:paraId="56D53699" w14:textId="77777777" w:rsidR="00E629F3" w:rsidRDefault="00573FF2">
      <w:pPr>
        <w:pStyle w:val="017"/>
        <w:ind w:firstLineChars="200" w:firstLine="480"/>
      </w:pPr>
      <w:r>
        <w:rPr>
          <w:rFonts w:hint="eastAsia"/>
        </w:rPr>
        <w:t>提示：2018年，财政部关于一般企业财务报表格式的新要求，研发费用从管理费用里单设科目，所以从“三费”变为</w:t>
      </w:r>
      <w:proofErr w:type="gramStart"/>
      <w:r>
        <w:rPr>
          <w:rFonts w:hint="eastAsia"/>
        </w:rPr>
        <w:t>“</w:t>
      </w:r>
      <w:proofErr w:type="gramEnd"/>
      <w:r>
        <w:rPr>
          <w:rFonts w:hint="eastAsia"/>
        </w:rPr>
        <w:t>四费“。企业按新财务报表格式对2018年的上年同期数进行了调整，因此2018年报告的期初数比2017年报告的期末数多了个研发费用，这个研发费用是从管理费用里边抽出来单列的。</w:t>
      </w:r>
    </w:p>
    <w:p w14:paraId="4C9C6160" w14:textId="77777777" w:rsidR="00E629F3" w:rsidRDefault="00573FF2">
      <w:pPr>
        <w:pStyle w:val="017"/>
      </w:pPr>
      <w:r>
        <w:rPr>
          <w:rFonts w:hint="eastAsia"/>
        </w:rPr>
        <w:t>另外</w:t>
      </w:r>
      <w:r>
        <w:t>当我们计算“</w:t>
      </w:r>
      <w:r>
        <w:rPr>
          <w:rFonts w:hint="eastAsia"/>
        </w:rPr>
        <w:t>四</w:t>
      </w:r>
      <w:r>
        <w:t>费”时，出于保守考虑，如果“财务费用”是正数，就把“财务费用”计算在内</w:t>
      </w:r>
      <w:r>
        <w:rPr>
          <w:rFonts w:hint="eastAsia"/>
        </w:rPr>
        <w:t>；</w:t>
      </w:r>
      <w:r>
        <w:t>如果“财务费用”是负数，就不把“财务费用”计算在内</w:t>
      </w:r>
      <w:r>
        <w:rPr>
          <w:rFonts w:hint="eastAsia"/>
        </w:rPr>
        <w:t>。洋河股份近五年的财务费用都是负数，所以我们不将其包含在费用合计里。</w:t>
      </w:r>
    </w:p>
    <w:p w14:paraId="265078E4" w14:textId="77777777" w:rsidR="00E629F3" w:rsidRDefault="00573FF2">
      <w:pPr>
        <w:spacing w:line="360" w:lineRule="auto"/>
        <w:rPr>
          <w:rFonts w:ascii="KaiTi" w:eastAsia="KaiTi" w:hAnsi="KaiTi"/>
          <w:b/>
          <w:bCs/>
        </w:rPr>
      </w:pPr>
      <w:r>
        <w:rPr>
          <w:rFonts w:ascii="KaiTi" w:eastAsia="KaiTi" w:hAnsi="KaiTi"/>
        </w:rPr>
        <w:t xml:space="preserve">                                                      </w:t>
      </w:r>
      <w:r>
        <w:rPr>
          <w:rFonts w:ascii="KaiTi" w:eastAsia="KaiTi" w:hAnsi="KaiTi" w:hint="eastAsia"/>
          <w:b/>
          <w:bCs/>
        </w:rPr>
        <w:t>单位：亿元</w:t>
      </w:r>
    </w:p>
    <w:tbl>
      <w:tblPr>
        <w:tblW w:w="9309" w:type="dxa"/>
        <w:tblLayout w:type="fixed"/>
        <w:tblLook w:val="04A0" w:firstRow="1" w:lastRow="0" w:firstColumn="1" w:lastColumn="0" w:noHBand="0" w:noVBand="1"/>
      </w:tblPr>
      <w:tblGrid>
        <w:gridCol w:w="1555"/>
        <w:gridCol w:w="1134"/>
        <w:gridCol w:w="1134"/>
        <w:gridCol w:w="1134"/>
        <w:gridCol w:w="1275"/>
        <w:gridCol w:w="1276"/>
        <w:gridCol w:w="1452"/>
        <w:gridCol w:w="349"/>
      </w:tblGrid>
      <w:tr w:rsidR="00E629F3" w14:paraId="726835EB" w14:textId="77777777">
        <w:trPr>
          <w:gridAfter w:val="1"/>
          <w:wAfter w:w="349" w:type="dxa"/>
          <w:trHeight w:val="454"/>
        </w:trPr>
        <w:tc>
          <w:tcPr>
            <w:tcW w:w="1555" w:type="dxa"/>
            <w:tcBorders>
              <w:top w:val="single" w:sz="4" w:space="0" w:color="auto"/>
              <w:left w:val="single" w:sz="4" w:space="0" w:color="auto"/>
              <w:bottom w:val="single" w:sz="4" w:space="0" w:color="auto"/>
              <w:right w:val="single" w:sz="4" w:space="0" w:color="auto"/>
            </w:tcBorders>
            <w:shd w:val="clear" w:color="auto" w:fill="2E74B5" w:themeFill="accent5" w:themeFillShade="BF"/>
            <w:vAlign w:val="center"/>
          </w:tcPr>
          <w:p w14:paraId="783A9492" w14:textId="77777777" w:rsidR="00E629F3" w:rsidRDefault="00573FF2">
            <w:pPr>
              <w:spacing w:line="360" w:lineRule="auto"/>
              <w:jc w:val="center"/>
              <w:rPr>
                <w:rFonts w:ascii="KaiTi" w:eastAsia="KaiTi" w:hAnsi="KaiTi"/>
                <w:b/>
                <w:bCs/>
                <w:color w:val="FFFFFF"/>
                <w:sz w:val="21"/>
                <w:szCs w:val="21"/>
              </w:rPr>
            </w:pPr>
            <w:r>
              <w:rPr>
                <w:rFonts w:ascii="KaiTi" w:eastAsia="KaiTi" w:hAnsi="KaiTi" w:hint="eastAsia"/>
                <w:b/>
                <w:bCs/>
                <w:color w:val="FFFFFF"/>
                <w:sz w:val="21"/>
                <w:szCs w:val="21"/>
              </w:rPr>
              <w:t>期间费用率</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7A62ABC2" w14:textId="77777777" w:rsidR="00E629F3" w:rsidRDefault="00573FF2">
            <w:pPr>
              <w:spacing w:line="360" w:lineRule="auto"/>
              <w:jc w:val="center"/>
              <w:rPr>
                <w:rFonts w:ascii="KaiTi" w:eastAsia="KaiTi" w:hAnsi="KaiTi"/>
                <w:b/>
                <w:bCs/>
                <w:color w:val="FFFFFF"/>
                <w:sz w:val="21"/>
                <w:szCs w:val="21"/>
              </w:rPr>
            </w:pPr>
            <w:r>
              <w:rPr>
                <w:rFonts w:ascii="KaiTi" w:eastAsia="KaiTi" w:hAnsi="KaiTi" w:hint="eastAsia"/>
                <w:b/>
                <w:bCs/>
                <w:color w:val="FFFFFF"/>
                <w:sz w:val="21"/>
                <w:szCs w:val="21"/>
              </w:rPr>
              <w:t>2016</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36642218" w14:textId="77777777" w:rsidR="00E629F3" w:rsidRDefault="00573FF2">
            <w:pPr>
              <w:spacing w:line="360" w:lineRule="auto"/>
              <w:jc w:val="center"/>
              <w:rPr>
                <w:rFonts w:ascii="KaiTi" w:eastAsia="KaiTi" w:hAnsi="KaiTi"/>
                <w:b/>
                <w:bCs/>
                <w:color w:val="FFFFFF"/>
                <w:sz w:val="21"/>
                <w:szCs w:val="21"/>
              </w:rPr>
            </w:pPr>
            <w:r>
              <w:rPr>
                <w:rFonts w:ascii="KaiTi" w:eastAsia="KaiTi" w:hAnsi="KaiTi" w:hint="eastAsia"/>
                <w:b/>
                <w:bCs/>
                <w:color w:val="FFFFFF"/>
                <w:sz w:val="21"/>
                <w:szCs w:val="21"/>
              </w:rPr>
              <w:t>2017</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3A7CCCDC" w14:textId="77777777" w:rsidR="00E629F3" w:rsidRDefault="00573FF2">
            <w:pPr>
              <w:spacing w:line="360" w:lineRule="auto"/>
              <w:jc w:val="center"/>
              <w:rPr>
                <w:rFonts w:ascii="KaiTi" w:eastAsia="KaiTi" w:hAnsi="KaiTi"/>
                <w:b/>
                <w:bCs/>
                <w:color w:val="FFFFFF"/>
                <w:sz w:val="21"/>
                <w:szCs w:val="21"/>
              </w:rPr>
            </w:pPr>
            <w:r>
              <w:rPr>
                <w:rFonts w:ascii="KaiTi" w:eastAsia="KaiTi" w:hAnsi="KaiTi" w:hint="eastAsia"/>
                <w:b/>
                <w:bCs/>
                <w:color w:val="FFFFFF"/>
                <w:sz w:val="21"/>
                <w:szCs w:val="21"/>
              </w:rPr>
              <w:t>2</w:t>
            </w:r>
            <w:r>
              <w:rPr>
                <w:rFonts w:ascii="KaiTi" w:eastAsia="KaiTi" w:hAnsi="KaiTi"/>
                <w:b/>
                <w:bCs/>
                <w:color w:val="FFFFFF"/>
                <w:sz w:val="21"/>
                <w:szCs w:val="21"/>
              </w:rPr>
              <w:t>018</w:t>
            </w:r>
          </w:p>
        </w:tc>
        <w:tc>
          <w:tcPr>
            <w:tcW w:w="1275"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60CBDB1A" w14:textId="77777777" w:rsidR="00E629F3" w:rsidRDefault="00573FF2">
            <w:pPr>
              <w:spacing w:line="360" w:lineRule="auto"/>
              <w:jc w:val="center"/>
              <w:rPr>
                <w:rFonts w:ascii="KaiTi" w:eastAsia="KaiTi" w:hAnsi="KaiTi"/>
                <w:b/>
                <w:bCs/>
                <w:color w:val="FFFFFF"/>
                <w:sz w:val="21"/>
                <w:szCs w:val="21"/>
              </w:rPr>
            </w:pPr>
            <w:r>
              <w:rPr>
                <w:rFonts w:ascii="KaiTi" w:eastAsia="KaiTi" w:hAnsi="KaiTi" w:hint="eastAsia"/>
                <w:b/>
                <w:bCs/>
                <w:color w:val="FFFFFF"/>
                <w:sz w:val="21"/>
                <w:szCs w:val="21"/>
              </w:rPr>
              <w:t>2</w:t>
            </w:r>
            <w:r>
              <w:rPr>
                <w:rFonts w:ascii="KaiTi" w:eastAsia="KaiTi" w:hAnsi="KaiTi"/>
                <w:b/>
                <w:bCs/>
                <w:color w:val="FFFFFF"/>
                <w:sz w:val="21"/>
                <w:szCs w:val="21"/>
              </w:rPr>
              <w:t>019</w:t>
            </w:r>
          </w:p>
        </w:tc>
        <w:tc>
          <w:tcPr>
            <w:tcW w:w="1276"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7A163B8" w14:textId="77777777" w:rsidR="00E629F3" w:rsidRDefault="00573FF2">
            <w:pPr>
              <w:spacing w:line="360" w:lineRule="auto"/>
              <w:jc w:val="center"/>
              <w:rPr>
                <w:rFonts w:ascii="KaiTi" w:eastAsia="KaiTi" w:hAnsi="KaiTi"/>
                <w:b/>
                <w:bCs/>
                <w:color w:val="FFFFFF"/>
                <w:sz w:val="21"/>
                <w:szCs w:val="21"/>
              </w:rPr>
            </w:pPr>
            <w:r>
              <w:rPr>
                <w:rFonts w:ascii="KaiTi" w:eastAsia="KaiTi" w:hAnsi="KaiTi" w:hint="eastAsia"/>
                <w:b/>
                <w:bCs/>
                <w:color w:val="FFFFFF"/>
                <w:sz w:val="21"/>
                <w:szCs w:val="21"/>
              </w:rPr>
              <w:t>2</w:t>
            </w:r>
            <w:r>
              <w:rPr>
                <w:rFonts w:ascii="KaiTi" w:eastAsia="KaiTi" w:hAnsi="KaiTi"/>
                <w:b/>
                <w:bCs/>
                <w:color w:val="FFFFFF"/>
                <w:sz w:val="21"/>
                <w:szCs w:val="21"/>
              </w:rPr>
              <w:t>020</w:t>
            </w:r>
          </w:p>
        </w:tc>
        <w:tc>
          <w:tcPr>
            <w:tcW w:w="1452" w:type="dxa"/>
            <w:tcBorders>
              <w:top w:val="nil"/>
              <w:left w:val="nil"/>
              <w:bottom w:val="nil"/>
              <w:right w:val="nil"/>
            </w:tcBorders>
            <w:shd w:val="clear" w:color="auto" w:fill="auto"/>
            <w:noWrap/>
            <w:vAlign w:val="center"/>
          </w:tcPr>
          <w:p w14:paraId="557B3334" w14:textId="77777777" w:rsidR="00E629F3" w:rsidRDefault="00E629F3">
            <w:pPr>
              <w:spacing w:line="360" w:lineRule="auto"/>
              <w:jc w:val="center"/>
              <w:rPr>
                <w:rFonts w:ascii="KaiTi" w:eastAsia="KaiTi" w:hAnsi="KaiTi"/>
                <w:b/>
                <w:bCs/>
                <w:color w:val="FFFFFF"/>
                <w:sz w:val="20"/>
                <w:szCs w:val="20"/>
              </w:rPr>
            </w:pPr>
          </w:p>
        </w:tc>
      </w:tr>
      <w:tr w:rsidR="00E629F3" w14:paraId="143F3074"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22E96505" w14:textId="77777777" w:rsidR="00E629F3" w:rsidRDefault="00573FF2">
            <w:pPr>
              <w:jc w:val="center"/>
              <w:rPr>
                <w:rFonts w:ascii="KaiTi" w:eastAsia="KaiTi" w:hAnsi="KaiTi"/>
                <w:sz w:val="21"/>
                <w:szCs w:val="21"/>
              </w:rPr>
            </w:pPr>
            <w:r>
              <w:rPr>
                <w:rFonts w:ascii="KaiTi" w:eastAsia="KaiTi" w:hAnsi="KaiTi" w:hint="eastAsia"/>
                <w:sz w:val="21"/>
                <w:szCs w:val="21"/>
              </w:rPr>
              <w:t>①营业收入</w:t>
            </w:r>
          </w:p>
        </w:tc>
        <w:tc>
          <w:tcPr>
            <w:tcW w:w="1134" w:type="dxa"/>
            <w:tcBorders>
              <w:top w:val="nil"/>
              <w:left w:val="nil"/>
              <w:bottom w:val="single" w:sz="4" w:space="0" w:color="auto"/>
              <w:right w:val="single" w:sz="4" w:space="0" w:color="auto"/>
            </w:tcBorders>
            <w:shd w:val="clear" w:color="auto" w:fill="auto"/>
            <w:noWrap/>
            <w:vAlign w:val="bottom"/>
          </w:tcPr>
          <w:p w14:paraId="6ED532FA"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171.83 </w:t>
            </w:r>
          </w:p>
        </w:tc>
        <w:tc>
          <w:tcPr>
            <w:tcW w:w="1134" w:type="dxa"/>
            <w:tcBorders>
              <w:top w:val="nil"/>
              <w:left w:val="nil"/>
              <w:bottom w:val="single" w:sz="4" w:space="0" w:color="auto"/>
              <w:right w:val="single" w:sz="4" w:space="0" w:color="auto"/>
            </w:tcBorders>
            <w:shd w:val="clear" w:color="auto" w:fill="auto"/>
            <w:noWrap/>
            <w:vAlign w:val="bottom"/>
          </w:tcPr>
          <w:p w14:paraId="04118993"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199.18 </w:t>
            </w:r>
          </w:p>
        </w:tc>
        <w:tc>
          <w:tcPr>
            <w:tcW w:w="1134" w:type="dxa"/>
            <w:tcBorders>
              <w:top w:val="nil"/>
              <w:left w:val="nil"/>
              <w:bottom w:val="single" w:sz="4" w:space="0" w:color="auto"/>
              <w:right w:val="single" w:sz="4" w:space="0" w:color="auto"/>
            </w:tcBorders>
            <w:shd w:val="clear" w:color="auto" w:fill="auto"/>
            <w:noWrap/>
            <w:vAlign w:val="bottom"/>
          </w:tcPr>
          <w:p w14:paraId="2FD77D7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241.60 </w:t>
            </w:r>
          </w:p>
        </w:tc>
        <w:tc>
          <w:tcPr>
            <w:tcW w:w="1275" w:type="dxa"/>
            <w:tcBorders>
              <w:top w:val="nil"/>
              <w:left w:val="nil"/>
              <w:bottom w:val="single" w:sz="4" w:space="0" w:color="auto"/>
              <w:right w:val="single" w:sz="4" w:space="0" w:color="auto"/>
            </w:tcBorders>
            <w:shd w:val="clear" w:color="auto" w:fill="auto"/>
            <w:noWrap/>
            <w:vAlign w:val="bottom"/>
          </w:tcPr>
          <w:p w14:paraId="78F5B08C"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231.26 </w:t>
            </w:r>
          </w:p>
        </w:tc>
        <w:tc>
          <w:tcPr>
            <w:tcW w:w="1276" w:type="dxa"/>
            <w:tcBorders>
              <w:top w:val="nil"/>
              <w:left w:val="nil"/>
              <w:bottom w:val="single" w:sz="4" w:space="0" w:color="auto"/>
              <w:right w:val="single" w:sz="4" w:space="0" w:color="auto"/>
            </w:tcBorders>
            <w:shd w:val="clear" w:color="000000" w:fill="FFFF00"/>
            <w:noWrap/>
            <w:vAlign w:val="bottom"/>
          </w:tcPr>
          <w:p w14:paraId="0482D509" w14:textId="77777777" w:rsidR="00E629F3" w:rsidRDefault="00E629F3">
            <w:pPr>
              <w:spacing w:line="360" w:lineRule="auto"/>
              <w:jc w:val="right"/>
              <w:rPr>
                <w:rFonts w:ascii="KaiTi" w:eastAsia="KaiTi" w:hAnsi="KaiTi" w:cs="Arial"/>
                <w:sz w:val="20"/>
                <w:szCs w:val="20"/>
              </w:rPr>
            </w:pPr>
          </w:p>
        </w:tc>
        <w:tc>
          <w:tcPr>
            <w:tcW w:w="1801" w:type="dxa"/>
            <w:gridSpan w:val="2"/>
            <w:tcBorders>
              <w:top w:val="nil"/>
              <w:left w:val="nil"/>
              <w:bottom w:val="nil"/>
              <w:right w:val="nil"/>
            </w:tcBorders>
            <w:shd w:val="clear" w:color="auto" w:fill="auto"/>
            <w:noWrap/>
            <w:vAlign w:val="center"/>
          </w:tcPr>
          <w:p w14:paraId="2A337C95" w14:textId="77777777" w:rsidR="00E629F3" w:rsidRDefault="00573FF2">
            <w:pPr>
              <w:spacing w:line="360" w:lineRule="auto"/>
              <w:rPr>
                <w:rFonts w:ascii="KaiTi" w:eastAsia="KaiTi" w:hAnsi="KaiTi"/>
                <w:color w:val="2F75B5"/>
              </w:rPr>
            </w:pPr>
            <w:r>
              <w:rPr>
                <w:rFonts w:ascii="KaiTi" w:eastAsia="KaiTi" w:hAnsi="KaiTi" w:hint="eastAsia"/>
                <w:color w:val="2F75B5"/>
              </w:rPr>
              <w:t>第一步已查</w:t>
            </w:r>
          </w:p>
        </w:tc>
      </w:tr>
      <w:tr w:rsidR="00E629F3" w14:paraId="1BDF38D0"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5732A130" w14:textId="77777777" w:rsidR="00E629F3" w:rsidRDefault="00573FF2">
            <w:pPr>
              <w:jc w:val="center"/>
              <w:rPr>
                <w:rFonts w:ascii="KaiTi" w:eastAsia="KaiTi" w:hAnsi="KaiTi"/>
                <w:sz w:val="21"/>
                <w:szCs w:val="21"/>
              </w:rPr>
            </w:pPr>
            <w:r>
              <w:rPr>
                <w:rFonts w:ascii="KaiTi" w:eastAsia="KaiTi" w:hAnsi="KaiTi" w:hint="eastAsia"/>
                <w:sz w:val="21"/>
                <w:szCs w:val="21"/>
              </w:rPr>
              <w:t>销售费用</w:t>
            </w:r>
          </w:p>
        </w:tc>
        <w:tc>
          <w:tcPr>
            <w:tcW w:w="1134" w:type="dxa"/>
            <w:tcBorders>
              <w:top w:val="nil"/>
              <w:left w:val="nil"/>
              <w:bottom w:val="single" w:sz="4" w:space="0" w:color="auto"/>
              <w:right w:val="single" w:sz="4" w:space="0" w:color="auto"/>
            </w:tcBorders>
            <w:shd w:val="clear" w:color="auto" w:fill="auto"/>
            <w:noWrap/>
            <w:vAlign w:val="bottom"/>
          </w:tcPr>
          <w:p w14:paraId="4C5EA07A"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18.69 </w:t>
            </w:r>
          </w:p>
        </w:tc>
        <w:tc>
          <w:tcPr>
            <w:tcW w:w="1134" w:type="dxa"/>
            <w:tcBorders>
              <w:top w:val="nil"/>
              <w:left w:val="nil"/>
              <w:bottom w:val="single" w:sz="4" w:space="0" w:color="auto"/>
              <w:right w:val="single" w:sz="4" w:space="0" w:color="auto"/>
            </w:tcBorders>
            <w:shd w:val="clear" w:color="auto" w:fill="auto"/>
            <w:noWrap/>
            <w:vAlign w:val="bottom"/>
          </w:tcPr>
          <w:p w14:paraId="653F53B1"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23.87 </w:t>
            </w:r>
          </w:p>
        </w:tc>
        <w:tc>
          <w:tcPr>
            <w:tcW w:w="1134" w:type="dxa"/>
            <w:tcBorders>
              <w:top w:val="nil"/>
              <w:left w:val="nil"/>
              <w:bottom w:val="single" w:sz="4" w:space="0" w:color="auto"/>
              <w:right w:val="single" w:sz="4" w:space="0" w:color="auto"/>
            </w:tcBorders>
            <w:shd w:val="clear" w:color="auto" w:fill="auto"/>
            <w:noWrap/>
            <w:vAlign w:val="bottom"/>
          </w:tcPr>
          <w:p w14:paraId="497A924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25.61 </w:t>
            </w:r>
          </w:p>
        </w:tc>
        <w:tc>
          <w:tcPr>
            <w:tcW w:w="1275" w:type="dxa"/>
            <w:tcBorders>
              <w:top w:val="nil"/>
              <w:left w:val="nil"/>
              <w:bottom w:val="single" w:sz="4" w:space="0" w:color="auto"/>
              <w:right w:val="single" w:sz="4" w:space="0" w:color="auto"/>
            </w:tcBorders>
            <w:shd w:val="clear" w:color="auto" w:fill="auto"/>
            <w:noWrap/>
            <w:vAlign w:val="bottom"/>
          </w:tcPr>
          <w:p w14:paraId="7E4B8E7A"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26.92 </w:t>
            </w:r>
          </w:p>
        </w:tc>
        <w:tc>
          <w:tcPr>
            <w:tcW w:w="1276" w:type="dxa"/>
            <w:tcBorders>
              <w:top w:val="nil"/>
              <w:left w:val="nil"/>
              <w:bottom w:val="single" w:sz="4" w:space="0" w:color="auto"/>
              <w:right w:val="single" w:sz="4" w:space="0" w:color="auto"/>
            </w:tcBorders>
            <w:shd w:val="clear" w:color="auto" w:fill="auto"/>
            <w:noWrap/>
            <w:vAlign w:val="bottom"/>
          </w:tcPr>
          <w:p w14:paraId="33A5DDD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26.04</w:t>
            </w:r>
          </w:p>
        </w:tc>
        <w:tc>
          <w:tcPr>
            <w:tcW w:w="1801" w:type="dxa"/>
            <w:gridSpan w:val="2"/>
            <w:tcBorders>
              <w:top w:val="nil"/>
              <w:left w:val="nil"/>
              <w:bottom w:val="nil"/>
              <w:right w:val="nil"/>
            </w:tcBorders>
            <w:shd w:val="clear" w:color="auto" w:fill="auto"/>
            <w:noWrap/>
            <w:vAlign w:val="center"/>
          </w:tcPr>
          <w:p w14:paraId="7D3CADA9" w14:textId="77777777" w:rsidR="00E629F3" w:rsidRDefault="00E629F3">
            <w:pPr>
              <w:spacing w:line="360" w:lineRule="auto"/>
              <w:jc w:val="right"/>
              <w:rPr>
                <w:rFonts w:ascii="KaiTi" w:eastAsia="KaiTi" w:hAnsi="KaiTi" w:cs="Arial"/>
                <w:sz w:val="20"/>
                <w:szCs w:val="20"/>
              </w:rPr>
            </w:pPr>
          </w:p>
        </w:tc>
      </w:tr>
      <w:tr w:rsidR="00E629F3" w14:paraId="6B1E6AE8"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5D934652" w14:textId="77777777" w:rsidR="00E629F3" w:rsidRDefault="00573FF2">
            <w:pPr>
              <w:jc w:val="center"/>
              <w:rPr>
                <w:rFonts w:ascii="KaiTi" w:eastAsia="KaiTi" w:hAnsi="KaiTi"/>
                <w:sz w:val="21"/>
                <w:szCs w:val="21"/>
              </w:rPr>
            </w:pPr>
            <w:r>
              <w:rPr>
                <w:rFonts w:ascii="KaiTi" w:eastAsia="KaiTi" w:hAnsi="KaiTi" w:hint="eastAsia"/>
                <w:sz w:val="21"/>
                <w:szCs w:val="21"/>
              </w:rPr>
              <w:t>管理费用</w:t>
            </w:r>
          </w:p>
        </w:tc>
        <w:tc>
          <w:tcPr>
            <w:tcW w:w="1134" w:type="dxa"/>
            <w:tcBorders>
              <w:top w:val="nil"/>
              <w:left w:val="nil"/>
              <w:bottom w:val="single" w:sz="4" w:space="0" w:color="auto"/>
              <w:right w:val="single" w:sz="4" w:space="0" w:color="auto"/>
            </w:tcBorders>
            <w:shd w:val="clear" w:color="auto" w:fill="auto"/>
            <w:noWrap/>
            <w:vAlign w:val="bottom"/>
          </w:tcPr>
          <w:p w14:paraId="75FDB1E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15.82 </w:t>
            </w:r>
          </w:p>
        </w:tc>
        <w:tc>
          <w:tcPr>
            <w:tcW w:w="1134" w:type="dxa"/>
            <w:tcBorders>
              <w:top w:val="nil"/>
              <w:left w:val="nil"/>
              <w:bottom w:val="single" w:sz="4" w:space="0" w:color="auto"/>
              <w:right w:val="single" w:sz="4" w:space="0" w:color="auto"/>
            </w:tcBorders>
            <w:shd w:val="clear" w:color="auto" w:fill="auto"/>
            <w:noWrap/>
            <w:vAlign w:val="bottom"/>
          </w:tcPr>
          <w:p w14:paraId="209F876C"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15.32 </w:t>
            </w:r>
          </w:p>
        </w:tc>
        <w:tc>
          <w:tcPr>
            <w:tcW w:w="1134" w:type="dxa"/>
            <w:tcBorders>
              <w:top w:val="nil"/>
              <w:left w:val="nil"/>
              <w:bottom w:val="single" w:sz="4" w:space="0" w:color="auto"/>
              <w:right w:val="single" w:sz="4" w:space="0" w:color="auto"/>
            </w:tcBorders>
            <w:shd w:val="clear" w:color="auto" w:fill="auto"/>
            <w:noWrap/>
            <w:vAlign w:val="bottom"/>
          </w:tcPr>
          <w:p w14:paraId="231B083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17.04 </w:t>
            </w:r>
          </w:p>
        </w:tc>
        <w:tc>
          <w:tcPr>
            <w:tcW w:w="1275" w:type="dxa"/>
            <w:tcBorders>
              <w:top w:val="nil"/>
              <w:left w:val="nil"/>
              <w:bottom w:val="single" w:sz="4" w:space="0" w:color="auto"/>
              <w:right w:val="single" w:sz="4" w:space="0" w:color="auto"/>
            </w:tcBorders>
            <w:shd w:val="clear" w:color="auto" w:fill="auto"/>
            <w:noWrap/>
            <w:vAlign w:val="bottom"/>
          </w:tcPr>
          <w:p w14:paraId="5F17C302"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18.56 </w:t>
            </w:r>
          </w:p>
        </w:tc>
        <w:tc>
          <w:tcPr>
            <w:tcW w:w="1276" w:type="dxa"/>
            <w:tcBorders>
              <w:top w:val="nil"/>
              <w:left w:val="nil"/>
              <w:bottom w:val="single" w:sz="4" w:space="0" w:color="auto"/>
              <w:right w:val="single" w:sz="4" w:space="0" w:color="auto"/>
            </w:tcBorders>
            <w:shd w:val="clear" w:color="auto" w:fill="auto"/>
            <w:noWrap/>
            <w:vAlign w:val="bottom"/>
          </w:tcPr>
          <w:p w14:paraId="2DA0FC12"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17.29</w:t>
            </w:r>
          </w:p>
        </w:tc>
        <w:tc>
          <w:tcPr>
            <w:tcW w:w="1801" w:type="dxa"/>
            <w:gridSpan w:val="2"/>
            <w:tcBorders>
              <w:top w:val="nil"/>
              <w:left w:val="nil"/>
              <w:bottom w:val="nil"/>
              <w:right w:val="nil"/>
            </w:tcBorders>
            <w:shd w:val="clear" w:color="auto" w:fill="auto"/>
            <w:noWrap/>
            <w:vAlign w:val="center"/>
          </w:tcPr>
          <w:p w14:paraId="13F2F7F0" w14:textId="77777777" w:rsidR="00E629F3" w:rsidRDefault="00E629F3">
            <w:pPr>
              <w:spacing w:line="360" w:lineRule="auto"/>
              <w:jc w:val="right"/>
              <w:rPr>
                <w:rFonts w:ascii="KaiTi" w:eastAsia="KaiTi" w:hAnsi="KaiTi" w:cs="Arial"/>
                <w:sz w:val="20"/>
                <w:szCs w:val="20"/>
              </w:rPr>
            </w:pPr>
          </w:p>
        </w:tc>
      </w:tr>
      <w:tr w:rsidR="00E629F3" w14:paraId="0970FA31"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08F83361" w14:textId="77777777" w:rsidR="00E629F3" w:rsidRDefault="00573FF2">
            <w:pPr>
              <w:jc w:val="center"/>
              <w:rPr>
                <w:rFonts w:ascii="KaiTi" w:eastAsia="KaiTi" w:hAnsi="KaiTi"/>
                <w:sz w:val="21"/>
                <w:szCs w:val="21"/>
              </w:rPr>
            </w:pPr>
            <w:r>
              <w:rPr>
                <w:rFonts w:ascii="KaiTi" w:eastAsia="KaiTi" w:hAnsi="KaiTi" w:hint="eastAsia"/>
                <w:sz w:val="21"/>
                <w:szCs w:val="21"/>
              </w:rPr>
              <w:t>研发费用</w:t>
            </w:r>
          </w:p>
        </w:tc>
        <w:tc>
          <w:tcPr>
            <w:tcW w:w="1134" w:type="dxa"/>
            <w:tcBorders>
              <w:top w:val="nil"/>
              <w:left w:val="nil"/>
              <w:bottom w:val="single" w:sz="4" w:space="0" w:color="auto"/>
              <w:right w:val="single" w:sz="4" w:space="0" w:color="auto"/>
            </w:tcBorders>
            <w:shd w:val="clear" w:color="auto" w:fill="auto"/>
            <w:noWrap/>
            <w:vAlign w:val="bottom"/>
          </w:tcPr>
          <w:p w14:paraId="34D7D5B3"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   </w:t>
            </w:r>
          </w:p>
        </w:tc>
        <w:tc>
          <w:tcPr>
            <w:tcW w:w="1134" w:type="dxa"/>
            <w:tcBorders>
              <w:top w:val="nil"/>
              <w:left w:val="nil"/>
              <w:bottom w:val="single" w:sz="4" w:space="0" w:color="auto"/>
              <w:right w:val="single" w:sz="4" w:space="0" w:color="auto"/>
            </w:tcBorders>
            <w:shd w:val="clear" w:color="auto" w:fill="auto"/>
            <w:noWrap/>
            <w:vAlign w:val="bottom"/>
          </w:tcPr>
          <w:p w14:paraId="572DF61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   </w:t>
            </w:r>
          </w:p>
        </w:tc>
        <w:tc>
          <w:tcPr>
            <w:tcW w:w="1134" w:type="dxa"/>
            <w:tcBorders>
              <w:top w:val="nil"/>
              <w:left w:val="nil"/>
              <w:bottom w:val="single" w:sz="4" w:space="0" w:color="auto"/>
              <w:right w:val="single" w:sz="4" w:space="0" w:color="auto"/>
            </w:tcBorders>
            <w:shd w:val="clear" w:color="auto" w:fill="auto"/>
            <w:noWrap/>
            <w:vAlign w:val="bottom"/>
          </w:tcPr>
          <w:p w14:paraId="19479852"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0.28 </w:t>
            </w:r>
          </w:p>
        </w:tc>
        <w:tc>
          <w:tcPr>
            <w:tcW w:w="1275" w:type="dxa"/>
            <w:tcBorders>
              <w:top w:val="nil"/>
              <w:left w:val="nil"/>
              <w:bottom w:val="single" w:sz="4" w:space="0" w:color="auto"/>
              <w:right w:val="single" w:sz="4" w:space="0" w:color="auto"/>
            </w:tcBorders>
            <w:shd w:val="clear" w:color="auto" w:fill="auto"/>
            <w:noWrap/>
            <w:vAlign w:val="bottom"/>
          </w:tcPr>
          <w:p w14:paraId="6AAB36D6"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1.60 </w:t>
            </w:r>
          </w:p>
        </w:tc>
        <w:tc>
          <w:tcPr>
            <w:tcW w:w="1276" w:type="dxa"/>
            <w:tcBorders>
              <w:top w:val="nil"/>
              <w:left w:val="nil"/>
              <w:bottom w:val="single" w:sz="4" w:space="0" w:color="auto"/>
              <w:right w:val="single" w:sz="4" w:space="0" w:color="auto"/>
            </w:tcBorders>
            <w:shd w:val="clear" w:color="auto" w:fill="auto"/>
            <w:noWrap/>
            <w:vAlign w:val="bottom"/>
          </w:tcPr>
          <w:p w14:paraId="4563A0A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2.60</w:t>
            </w:r>
            <w:r>
              <w:rPr>
                <w:rFonts w:ascii="KaiTi" w:eastAsia="KaiTi" w:hAnsi="KaiTi" w:cs="Arial"/>
                <w:sz w:val="20"/>
                <w:szCs w:val="20"/>
              </w:rPr>
              <w:tab/>
            </w:r>
          </w:p>
        </w:tc>
        <w:tc>
          <w:tcPr>
            <w:tcW w:w="1801" w:type="dxa"/>
            <w:gridSpan w:val="2"/>
            <w:tcBorders>
              <w:top w:val="nil"/>
              <w:left w:val="nil"/>
              <w:bottom w:val="nil"/>
              <w:right w:val="nil"/>
            </w:tcBorders>
            <w:shd w:val="clear" w:color="auto" w:fill="auto"/>
            <w:noWrap/>
            <w:vAlign w:val="center"/>
          </w:tcPr>
          <w:p w14:paraId="1A1742F9" w14:textId="77777777" w:rsidR="00E629F3" w:rsidRDefault="00E629F3">
            <w:pPr>
              <w:spacing w:line="360" w:lineRule="auto"/>
              <w:jc w:val="right"/>
              <w:rPr>
                <w:rFonts w:ascii="KaiTi" w:eastAsia="KaiTi" w:hAnsi="KaiTi" w:cs="Arial"/>
                <w:sz w:val="20"/>
                <w:szCs w:val="20"/>
              </w:rPr>
            </w:pPr>
          </w:p>
        </w:tc>
      </w:tr>
      <w:tr w:rsidR="00E629F3" w14:paraId="2B4E3DD8"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4E3AD1F6" w14:textId="77777777" w:rsidR="00E629F3" w:rsidRDefault="00573FF2">
            <w:pPr>
              <w:jc w:val="center"/>
              <w:rPr>
                <w:rFonts w:ascii="KaiTi" w:eastAsia="KaiTi" w:hAnsi="KaiTi"/>
                <w:sz w:val="21"/>
                <w:szCs w:val="21"/>
              </w:rPr>
            </w:pPr>
            <w:r>
              <w:rPr>
                <w:rFonts w:ascii="KaiTi" w:eastAsia="KaiTi" w:hAnsi="KaiTi" w:hint="eastAsia"/>
                <w:sz w:val="21"/>
                <w:szCs w:val="21"/>
              </w:rPr>
              <w:t>财务费用</w:t>
            </w:r>
          </w:p>
        </w:tc>
        <w:tc>
          <w:tcPr>
            <w:tcW w:w="1134" w:type="dxa"/>
            <w:tcBorders>
              <w:top w:val="nil"/>
              <w:left w:val="nil"/>
              <w:bottom w:val="single" w:sz="4" w:space="0" w:color="auto"/>
              <w:right w:val="single" w:sz="4" w:space="0" w:color="auto"/>
            </w:tcBorders>
            <w:shd w:val="clear" w:color="auto" w:fill="auto"/>
            <w:noWrap/>
            <w:vAlign w:val="bottom"/>
          </w:tcPr>
          <w:p w14:paraId="4195B1F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-0.09 </w:t>
            </w:r>
          </w:p>
        </w:tc>
        <w:tc>
          <w:tcPr>
            <w:tcW w:w="1134" w:type="dxa"/>
            <w:tcBorders>
              <w:top w:val="nil"/>
              <w:left w:val="nil"/>
              <w:bottom w:val="single" w:sz="4" w:space="0" w:color="auto"/>
              <w:right w:val="single" w:sz="4" w:space="0" w:color="auto"/>
            </w:tcBorders>
            <w:shd w:val="clear" w:color="auto" w:fill="auto"/>
            <w:noWrap/>
            <w:vAlign w:val="bottom"/>
          </w:tcPr>
          <w:p w14:paraId="26DA3F22"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-0.34 </w:t>
            </w:r>
          </w:p>
        </w:tc>
        <w:tc>
          <w:tcPr>
            <w:tcW w:w="1134" w:type="dxa"/>
            <w:tcBorders>
              <w:top w:val="nil"/>
              <w:left w:val="nil"/>
              <w:bottom w:val="single" w:sz="4" w:space="0" w:color="auto"/>
              <w:right w:val="single" w:sz="4" w:space="0" w:color="auto"/>
            </w:tcBorders>
            <w:shd w:val="clear" w:color="auto" w:fill="auto"/>
            <w:noWrap/>
            <w:vAlign w:val="bottom"/>
          </w:tcPr>
          <w:p w14:paraId="1DB4B75F"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-0.65 </w:t>
            </w:r>
          </w:p>
        </w:tc>
        <w:tc>
          <w:tcPr>
            <w:tcW w:w="1275" w:type="dxa"/>
            <w:tcBorders>
              <w:top w:val="nil"/>
              <w:left w:val="nil"/>
              <w:bottom w:val="single" w:sz="4" w:space="0" w:color="auto"/>
              <w:right w:val="single" w:sz="4" w:space="0" w:color="auto"/>
            </w:tcBorders>
            <w:shd w:val="clear" w:color="auto" w:fill="auto"/>
            <w:noWrap/>
            <w:vAlign w:val="bottom"/>
          </w:tcPr>
          <w:p w14:paraId="38EB7DF2"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-0.78 </w:t>
            </w:r>
          </w:p>
        </w:tc>
        <w:tc>
          <w:tcPr>
            <w:tcW w:w="1276" w:type="dxa"/>
            <w:tcBorders>
              <w:top w:val="nil"/>
              <w:left w:val="nil"/>
              <w:bottom w:val="single" w:sz="4" w:space="0" w:color="auto"/>
              <w:right w:val="single" w:sz="4" w:space="0" w:color="auto"/>
            </w:tcBorders>
            <w:shd w:val="clear" w:color="000000" w:fill="FFFF00"/>
            <w:noWrap/>
            <w:vAlign w:val="bottom"/>
          </w:tcPr>
          <w:p w14:paraId="3D4B7CDD" w14:textId="77777777" w:rsidR="00E629F3" w:rsidRDefault="00E629F3">
            <w:pPr>
              <w:spacing w:line="360" w:lineRule="auto"/>
              <w:jc w:val="right"/>
              <w:rPr>
                <w:rFonts w:ascii="KaiTi" w:eastAsia="KaiTi" w:hAnsi="KaiTi" w:cs="Arial"/>
                <w:sz w:val="20"/>
                <w:szCs w:val="20"/>
              </w:rPr>
            </w:pPr>
          </w:p>
        </w:tc>
        <w:tc>
          <w:tcPr>
            <w:tcW w:w="1801" w:type="dxa"/>
            <w:gridSpan w:val="2"/>
            <w:tcBorders>
              <w:top w:val="nil"/>
              <w:left w:val="nil"/>
              <w:bottom w:val="nil"/>
              <w:right w:val="nil"/>
            </w:tcBorders>
            <w:shd w:val="clear" w:color="auto" w:fill="auto"/>
            <w:noWrap/>
            <w:vAlign w:val="center"/>
          </w:tcPr>
          <w:p w14:paraId="1401FCDC" w14:textId="77777777" w:rsidR="00E629F3" w:rsidRDefault="00573FF2">
            <w:pPr>
              <w:spacing w:line="360" w:lineRule="auto"/>
              <w:rPr>
                <w:rFonts w:ascii="KaiTi" w:eastAsia="KaiTi" w:hAnsi="KaiTi"/>
                <w:color w:val="2F75B5"/>
              </w:rPr>
            </w:pPr>
            <w:r>
              <w:rPr>
                <w:rFonts w:ascii="KaiTi" w:eastAsia="KaiTi" w:hAnsi="KaiTi" w:hint="eastAsia"/>
                <w:color w:val="2F75B5"/>
              </w:rPr>
              <w:t>解析3</w:t>
            </w:r>
          </w:p>
        </w:tc>
      </w:tr>
      <w:tr w:rsidR="00E629F3" w14:paraId="43ABF876"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73A74A9A" w14:textId="77777777" w:rsidR="00E629F3" w:rsidRDefault="00573FF2">
            <w:pPr>
              <w:jc w:val="center"/>
              <w:rPr>
                <w:rFonts w:ascii="KaiTi" w:eastAsia="KaiTi" w:hAnsi="KaiTi"/>
                <w:sz w:val="21"/>
                <w:szCs w:val="21"/>
              </w:rPr>
            </w:pPr>
            <w:r>
              <w:rPr>
                <w:rFonts w:ascii="KaiTi" w:eastAsia="KaiTi" w:hAnsi="KaiTi" w:hint="eastAsia"/>
                <w:sz w:val="21"/>
                <w:szCs w:val="21"/>
              </w:rPr>
              <w:t>②费用合计</w:t>
            </w:r>
          </w:p>
        </w:tc>
        <w:tc>
          <w:tcPr>
            <w:tcW w:w="1134" w:type="dxa"/>
            <w:tcBorders>
              <w:top w:val="nil"/>
              <w:left w:val="nil"/>
              <w:bottom w:val="single" w:sz="4" w:space="0" w:color="auto"/>
              <w:right w:val="single" w:sz="4" w:space="0" w:color="auto"/>
            </w:tcBorders>
            <w:shd w:val="clear" w:color="auto" w:fill="auto"/>
            <w:noWrap/>
            <w:vAlign w:val="bottom"/>
          </w:tcPr>
          <w:p w14:paraId="73E5EC8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34.51 </w:t>
            </w:r>
          </w:p>
        </w:tc>
        <w:tc>
          <w:tcPr>
            <w:tcW w:w="1134" w:type="dxa"/>
            <w:tcBorders>
              <w:top w:val="nil"/>
              <w:left w:val="nil"/>
              <w:bottom w:val="single" w:sz="4" w:space="0" w:color="auto"/>
              <w:right w:val="single" w:sz="4" w:space="0" w:color="auto"/>
            </w:tcBorders>
            <w:shd w:val="clear" w:color="auto" w:fill="auto"/>
            <w:noWrap/>
            <w:vAlign w:val="bottom"/>
          </w:tcPr>
          <w:p w14:paraId="56B0F21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39.20 </w:t>
            </w:r>
          </w:p>
        </w:tc>
        <w:tc>
          <w:tcPr>
            <w:tcW w:w="1134" w:type="dxa"/>
            <w:tcBorders>
              <w:top w:val="nil"/>
              <w:left w:val="nil"/>
              <w:bottom w:val="single" w:sz="4" w:space="0" w:color="auto"/>
              <w:right w:val="single" w:sz="4" w:space="0" w:color="auto"/>
            </w:tcBorders>
            <w:shd w:val="clear" w:color="auto" w:fill="auto"/>
            <w:noWrap/>
            <w:vAlign w:val="bottom"/>
          </w:tcPr>
          <w:p w14:paraId="5D44CCA6"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42.93 </w:t>
            </w:r>
          </w:p>
        </w:tc>
        <w:tc>
          <w:tcPr>
            <w:tcW w:w="1275" w:type="dxa"/>
            <w:tcBorders>
              <w:top w:val="nil"/>
              <w:left w:val="nil"/>
              <w:bottom w:val="single" w:sz="4" w:space="0" w:color="auto"/>
              <w:right w:val="single" w:sz="4" w:space="0" w:color="auto"/>
            </w:tcBorders>
            <w:shd w:val="clear" w:color="auto" w:fill="auto"/>
            <w:noWrap/>
            <w:vAlign w:val="bottom"/>
          </w:tcPr>
          <w:p w14:paraId="336BEA27"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 xml:space="preserve"> 47.08 </w:t>
            </w:r>
          </w:p>
        </w:tc>
        <w:tc>
          <w:tcPr>
            <w:tcW w:w="1276" w:type="dxa"/>
            <w:tcBorders>
              <w:top w:val="nil"/>
              <w:left w:val="nil"/>
              <w:bottom w:val="single" w:sz="4" w:space="0" w:color="auto"/>
              <w:right w:val="single" w:sz="4" w:space="0" w:color="auto"/>
            </w:tcBorders>
            <w:shd w:val="clear" w:color="000000" w:fill="FFFF00"/>
            <w:noWrap/>
            <w:vAlign w:val="bottom"/>
          </w:tcPr>
          <w:p w14:paraId="4E029895" w14:textId="77777777" w:rsidR="00E629F3" w:rsidRDefault="00E629F3">
            <w:pPr>
              <w:spacing w:line="360" w:lineRule="auto"/>
              <w:jc w:val="right"/>
              <w:rPr>
                <w:rFonts w:ascii="KaiTi" w:eastAsia="KaiTi" w:hAnsi="KaiTi" w:cs="Arial"/>
                <w:sz w:val="20"/>
                <w:szCs w:val="20"/>
              </w:rPr>
            </w:pPr>
          </w:p>
        </w:tc>
        <w:tc>
          <w:tcPr>
            <w:tcW w:w="1801" w:type="dxa"/>
            <w:gridSpan w:val="2"/>
            <w:tcBorders>
              <w:top w:val="nil"/>
              <w:left w:val="nil"/>
              <w:bottom w:val="nil"/>
              <w:right w:val="nil"/>
            </w:tcBorders>
            <w:shd w:val="clear" w:color="auto" w:fill="auto"/>
            <w:noWrap/>
            <w:vAlign w:val="center"/>
          </w:tcPr>
          <w:p w14:paraId="54A471BB" w14:textId="77777777" w:rsidR="00E629F3" w:rsidRDefault="00573FF2">
            <w:pPr>
              <w:spacing w:line="360" w:lineRule="auto"/>
              <w:rPr>
                <w:rFonts w:ascii="KaiTi" w:eastAsia="KaiTi" w:hAnsi="KaiTi"/>
                <w:color w:val="2F75B5"/>
              </w:rPr>
            </w:pPr>
            <w:r>
              <w:rPr>
                <w:rFonts w:ascii="KaiTi" w:eastAsia="KaiTi" w:hAnsi="KaiTi" w:hint="eastAsia"/>
                <w:color w:val="2F75B5"/>
              </w:rPr>
              <w:t>下面有公式</w:t>
            </w:r>
          </w:p>
        </w:tc>
      </w:tr>
      <w:tr w:rsidR="00E629F3" w14:paraId="33B0159D"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3767A56D" w14:textId="77777777" w:rsidR="00E629F3" w:rsidRDefault="00573FF2">
            <w:pPr>
              <w:jc w:val="center"/>
              <w:rPr>
                <w:rFonts w:ascii="KaiTi" w:eastAsia="KaiTi" w:hAnsi="KaiTi"/>
                <w:color w:val="000000"/>
                <w:sz w:val="21"/>
                <w:szCs w:val="21"/>
              </w:rPr>
            </w:pPr>
            <w:r>
              <w:rPr>
                <w:rFonts w:ascii="KaiTi" w:eastAsia="KaiTi" w:hAnsi="KaiTi" w:hint="eastAsia"/>
                <w:color w:val="000000"/>
                <w:sz w:val="21"/>
                <w:szCs w:val="21"/>
              </w:rPr>
              <w:t>毛利率</w:t>
            </w:r>
          </w:p>
        </w:tc>
        <w:tc>
          <w:tcPr>
            <w:tcW w:w="1134" w:type="dxa"/>
            <w:tcBorders>
              <w:top w:val="nil"/>
              <w:left w:val="nil"/>
              <w:bottom w:val="single" w:sz="4" w:space="0" w:color="auto"/>
              <w:right w:val="single" w:sz="4" w:space="0" w:color="auto"/>
            </w:tcBorders>
            <w:shd w:val="clear" w:color="auto" w:fill="auto"/>
            <w:noWrap/>
            <w:vAlign w:val="bottom"/>
          </w:tcPr>
          <w:p w14:paraId="1E422948"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63.90%</w:t>
            </w:r>
          </w:p>
        </w:tc>
        <w:tc>
          <w:tcPr>
            <w:tcW w:w="1134" w:type="dxa"/>
            <w:tcBorders>
              <w:top w:val="nil"/>
              <w:left w:val="nil"/>
              <w:bottom w:val="single" w:sz="4" w:space="0" w:color="auto"/>
              <w:right w:val="single" w:sz="4" w:space="0" w:color="auto"/>
            </w:tcBorders>
            <w:shd w:val="clear" w:color="auto" w:fill="auto"/>
            <w:noWrap/>
            <w:vAlign w:val="bottom"/>
          </w:tcPr>
          <w:p w14:paraId="6B366B1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66.46%</w:t>
            </w:r>
          </w:p>
        </w:tc>
        <w:tc>
          <w:tcPr>
            <w:tcW w:w="1134" w:type="dxa"/>
            <w:tcBorders>
              <w:top w:val="nil"/>
              <w:left w:val="nil"/>
              <w:bottom w:val="single" w:sz="4" w:space="0" w:color="auto"/>
              <w:right w:val="single" w:sz="4" w:space="0" w:color="auto"/>
            </w:tcBorders>
            <w:shd w:val="clear" w:color="auto" w:fill="auto"/>
            <w:noWrap/>
            <w:vAlign w:val="bottom"/>
          </w:tcPr>
          <w:p w14:paraId="21B783E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73.70%</w:t>
            </w:r>
          </w:p>
        </w:tc>
        <w:tc>
          <w:tcPr>
            <w:tcW w:w="1275" w:type="dxa"/>
            <w:tcBorders>
              <w:top w:val="nil"/>
              <w:left w:val="nil"/>
              <w:bottom w:val="single" w:sz="4" w:space="0" w:color="auto"/>
              <w:right w:val="single" w:sz="4" w:space="0" w:color="auto"/>
            </w:tcBorders>
            <w:shd w:val="clear" w:color="auto" w:fill="auto"/>
            <w:noWrap/>
            <w:vAlign w:val="bottom"/>
          </w:tcPr>
          <w:p w14:paraId="184C55C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71.35%</w:t>
            </w:r>
          </w:p>
        </w:tc>
        <w:tc>
          <w:tcPr>
            <w:tcW w:w="1276" w:type="dxa"/>
            <w:tcBorders>
              <w:top w:val="nil"/>
              <w:left w:val="nil"/>
              <w:bottom w:val="single" w:sz="4" w:space="0" w:color="auto"/>
              <w:right w:val="single" w:sz="4" w:space="0" w:color="auto"/>
            </w:tcBorders>
            <w:shd w:val="clear" w:color="000000" w:fill="FFFF00"/>
            <w:noWrap/>
            <w:vAlign w:val="bottom"/>
          </w:tcPr>
          <w:p w14:paraId="4383FF8C" w14:textId="77777777" w:rsidR="00E629F3" w:rsidRDefault="00E629F3">
            <w:pPr>
              <w:spacing w:line="360" w:lineRule="auto"/>
              <w:jc w:val="right"/>
              <w:rPr>
                <w:rFonts w:ascii="KaiTi" w:eastAsia="KaiTi" w:hAnsi="KaiTi" w:cs="Arial"/>
                <w:sz w:val="20"/>
                <w:szCs w:val="20"/>
              </w:rPr>
            </w:pPr>
          </w:p>
        </w:tc>
        <w:tc>
          <w:tcPr>
            <w:tcW w:w="1801" w:type="dxa"/>
            <w:gridSpan w:val="2"/>
            <w:tcBorders>
              <w:top w:val="nil"/>
              <w:left w:val="nil"/>
              <w:bottom w:val="nil"/>
              <w:right w:val="nil"/>
            </w:tcBorders>
            <w:shd w:val="clear" w:color="auto" w:fill="auto"/>
            <w:noWrap/>
            <w:vAlign w:val="center"/>
          </w:tcPr>
          <w:p w14:paraId="39EF7D8B" w14:textId="77777777" w:rsidR="00E629F3" w:rsidRDefault="00573FF2">
            <w:pPr>
              <w:spacing w:line="360" w:lineRule="auto"/>
              <w:rPr>
                <w:rFonts w:ascii="KaiTi" w:eastAsia="KaiTi" w:hAnsi="KaiTi"/>
                <w:color w:val="2F75B5"/>
              </w:rPr>
            </w:pPr>
            <w:r>
              <w:rPr>
                <w:rFonts w:ascii="KaiTi" w:eastAsia="KaiTi" w:hAnsi="KaiTi" w:hint="eastAsia"/>
                <w:color w:val="2F75B5"/>
              </w:rPr>
              <w:t>上一步已计算</w:t>
            </w:r>
          </w:p>
        </w:tc>
      </w:tr>
      <w:tr w:rsidR="00E629F3" w14:paraId="5A075C29"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0539F2E4" w14:textId="77777777" w:rsidR="00E629F3" w:rsidRDefault="00573FF2">
            <w:pPr>
              <w:jc w:val="center"/>
              <w:rPr>
                <w:rFonts w:ascii="KaiTi" w:eastAsia="KaiTi" w:hAnsi="KaiTi"/>
                <w:sz w:val="21"/>
                <w:szCs w:val="21"/>
              </w:rPr>
            </w:pPr>
            <w:r>
              <w:rPr>
                <w:rFonts w:ascii="KaiTi" w:eastAsia="KaiTi" w:hAnsi="KaiTi" w:hint="eastAsia"/>
                <w:sz w:val="21"/>
                <w:szCs w:val="21"/>
              </w:rPr>
              <w:t>期间费用率=②/①</w:t>
            </w:r>
          </w:p>
        </w:tc>
        <w:tc>
          <w:tcPr>
            <w:tcW w:w="1134" w:type="dxa"/>
            <w:tcBorders>
              <w:top w:val="nil"/>
              <w:left w:val="nil"/>
              <w:bottom w:val="single" w:sz="4" w:space="0" w:color="auto"/>
              <w:right w:val="single" w:sz="4" w:space="0" w:color="auto"/>
            </w:tcBorders>
            <w:shd w:val="clear" w:color="auto" w:fill="auto"/>
            <w:noWrap/>
            <w:vAlign w:val="bottom"/>
          </w:tcPr>
          <w:p w14:paraId="1B27D9EA"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20.09%</w:t>
            </w:r>
          </w:p>
        </w:tc>
        <w:tc>
          <w:tcPr>
            <w:tcW w:w="1134" w:type="dxa"/>
            <w:tcBorders>
              <w:top w:val="nil"/>
              <w:left w:val="nil"/>
              <w:bottom w:val="single" w:sz="4" w:space="0" w:color="auto"/>
              <w:right w:val="single" w:sz="4" w:space="0" w:color="auto"/>
            </w:tcBorders>
            <w:shd w:val="clear" w:color="auto" w:fill="auto"/>
            <w:noWrap/>
            <w:vAlign w:val="bottom"/>
          </w:tcPr>
          <w:p w14:paraId="62DFAB9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19.68%</w:t>
            </w:r>
          </w:p>
        </w:tc>
        <w:tc>
          <w:tcPr>
            <w:tcW w:w="1134" w:type="dxa"/>
            <w:tcBorders>
              <w:top w:val="nil"/>
              <w:left w:val="nil"/>
              <w:bottom w:val="single" w:sz="4" w:space="0" w:color="auto"/>
              <w:right w:val="single" w:sz="4" w:space="0" w:color="auto"/>
            </w:tcBorders>
            <w:shd w:val="clear" w:color="auto" w:fill="auto"/>
            <w:noWrap/>
            <w:vAlign w:val="bottom"/>
          </w:tcPr>
          <w:p w14:paraId="39C79C6C"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17.77%</w:t>
            </w:r>
          </w:p>
        </w:tc>
        <w:tc>
          <w:tcPr>
            <w:tcW w:w="1275" w:type="dxa"/>
            <w:tcBorders>
              <w:top w:val="nil"/>
              <w:left w:val="nil"/>
              <w:bottom w:val="single" w:sz="4" w:space="0" w:color="auto"/>
              <w:right w:val="single" w:sz="4" w:space="0" w:color="auto"/>
            </w:tcBorders>
            <w:shd w:val="clear" w:color="auto" w:fill="auto"/>
            <w:noWrap/>
            <w:vAlign w:val="bottom"/>
          </w:tcPr>
          <w:p w14:paraId="39C8B4C6"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20.36%</w:t>
            </w:r>
          </w:p>
        </w:tc>
        <w:tc>
          <w:tcPr>
            <w:tcW w:w="1276" w:type="dxa"/>
            <w:tcBorders>
              <w:top w:val="nil"/>
              <w:left w:val="nil"/>
              <w:bottom w:val="single" w:sz="4" w:space="0" w:color="auto"/>
              <w:right w:val="single" w:sz="4" w:space="0" w:color="auto"/>
            </w:tcBorders>
            <w:shd w:val="clear" w:color="000000" w:fill="FFFF00"/>
            <w:noWrap/>
            <w:vAlign w:val="bottom"/>
          </w:tcPr>
          <w:p w14:paraId="63CBEC17" w14:textId="77777777" w:rsidR="00E629F3" w:rsidRDefault="00E629F3">
            <w:pPr>
              <w:spacing w:line="360" w:lineRule="auto"/>
              <w:jc w:val="right"/>
              <w:rPr>
                <w:rFonts w:ascii="KaiTi" w:eastAsia="KaiTi" w:hAnsi="KaiTi" w:cs="Arial"/>
                <w:sz w:val="20"/>
                <w:szCs w:val="20"/>
              </w:rPr>
            </w:pPr>
          </w:p>
        </w:tc>
        <w:tc>
          <w:tcPr>
            <w:tcW w:w="1801" w:type="dxa"/>
            <w:gridSpan w:val="2"/>
            <w:tcBorders>
              <w:top w:val="nil"/>
              <w:left w:val="nil"/>
              <w:bottom w:val="nil"/>
              <w:right w:val="nil"/>
            </w:tcBorders>
            <w:shd w:val="clear" w:color="auto" w:fill="auto"/>
            <w:noWrap/>
            <w:vAlign w:val="center"/>
          </w:tcPr>
          <w:p w14:paraId="212D183B" w14:textId="77777777" w:rsidR="00E629F3" w:rsidRDefault="00573FF2">
            <w:pPr>
              <w:spacing w:line="360" w:lineRule="auto"/>
              <w:rPr>
                <w:rFonts w:ascii="KaiTi" w:eastAsia="KaiTi" w:hAnsi="KaiTi"/>
                <w:color w:val="2F75B5"/>
              </w:rPr>
            </w:pPr>
            <w:r>
              <w:rPr>
                <w:rFonts w:ascii="KaiTi" w:eastAsia="KaiTi" w:hAnsi="KaiTi" w:hint="eastAsia"/>
                <w:color w:val="2F75B5"/>
              </w:rPr>
              <w:t>下面有公式</w:t>
            </w:r>
          </w:p>
        </w:tc>
      </w:tr>
      <w:tr w:rsidR="00E629F3" w14:paraId="27A53C97" w14:textId="77777777">
        <w:trPr>
          <w:trHeight w:val="454"/>
        </w:trPr>
        <w:tc>
          <w:tcPr>
            <w:tcW w:w="1555" w:type="dxa"/>
            <w:tcBorders>
              <w:top w:val="nil"/>
              <w:left w:val="single" w:sz="4" w:space="0" w:color="auto"/>
              <w:bottom w:val="single" w:sz="4" w:space="0" w:color="auto"/>
              <w:right w:val="single" w:sz="4" w:space="0" w:color="auto"/>
            </w:tcBorders>
            <w:shd w:val="clear" w:color="auto" w:fill="auto"/>
            <w:vAlign w:val="center"/>
          </w:tcPr>
          <w:p w14:paraId="67676ABB" w14:textId="77777777" w:rsidR="00E629F3" w:rsidRDefault="00573FF2">
            <w:pPr>
              <w:jc w:val="center"/>
              <w:rPr>
                <w:rFonts w:ascii="KaiTi" w:eastAsia="KaiTi" w:hAnsi="KaiTi"/>
                <w:color w:val="000000"/>
                <w:sz w:val="21"/>
                <w:szCs w:val="21"/>
              </w:rPr>
            </w:pPr>
            <w:r>
              <w:rPr>
                <w:rFonts w:ascii="KaiTi" w:eastAsia="KaiTi" w:hAnsi="KaiTi" w:hint="eastAsia"/>
                <w:color w:val="000000"/>
                <w:sz w:val="21"/>
                <w:szCs w:val="21"/>
              </w:rPr>
              <w:t>期间费用率/毛利率</w:t>
            </w:r>
          </w:p>
        </w:tc>
        <w:tc>
          <w:tcPr>
            <w:tcW w:w="1134" w:type="dxa"/>
            <w:tcBorders>
              <w:top w:val="nil"/>
              <w:left w:val="nil"/>
              <w:bottom w:val="single" w:sz="4" w:space="0" w:color="auto"/>
              <w:right w:val="single" w:sz="4" w:space="0" w:color="auto"/>
            </w:tcBorders>
            <w:shd w:val="clear" w:color="auto" w:fill="auto"/>
            <w:noWrap/>
            <w:vAlign w:val="bottom"/>
          </w:tcPr>
          <w:p w14:paraId="05767FF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31.43%</w:t>
            </w:r>
          </w:p>
        </w:tc>
        <w:tc>
          <w:tcPr>
            <w:tcW w:w="1134" w:type="dxa"/>
            <w:tcBorders>
              <w:top w:val="nil"/>
              <w:left w:val="nil"/>
              <w:bottom w:val="single" w:sz="4" w:space="0" w:color="auto"/>
              <w:right w:val="single" w:sz="4" w:space="0" w:color="auto"/>
            </w:tcBorders>
            <w:shd w:val="clear" w:color="auto" w:fill="auto"/>
            <w:noWrap/>
            <w:vAlign w:val="bottom"/>
          </w:tcPr>
          <w:p w14:paraId="2E18267C"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29.61%</w:t>
            </w:r>
          </w:p>
        </w:tc>
        <w:tc>
          <w:tcPr>
            <w:tcW w:w="1134" w:type="dxa"/>
            <w:tcBorders>
              <w:top w:val="nil"/>
              <w:left w:val="nil"/>
              <w:bottom w:val="single" w:sz="4" w:space="0" w:color="auto"/>
              <w:right w:val="single" w:sz="4" w:space="0" w:color="auto"/>
            </w:tcBorders>
            <w:shd w:val="clear" w:color="auto" w:fill="auto"/>
            <w:noWrap/>
            <w:vAlign w:val="bottom"/>
          </w:tcPr>
          <w:p w14:paraId="6F893145"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24.11%</w:t>
            </w:r>
          </w:p>
        </w:tc>
        <w:tc>
          <w:tcPr>
            <w:tcW w:w="1275" w:type="dxa"/>
            <w:tcBorders>
              <w:top w:val="nil"/>
              <w:left w:val="nil"/>
              <w:bottom w:val="single" w:sz="4" w:space="0" w:color="auto"/>
              <w:right w:val="single" w:sz="4" w:space="0" w:color="auto"/>
            </w:tcBorders>
            <w:shd w:val="clear" w:color="auto" w:fill="auto"/>
            <w:noWrap/>
            <w:vAlign w:val="bottom"/>
          </w:tcPr>
          <w:p w14:paraId="7D34162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28.53%</w:t>
            </w:r>
          </w:p>
        </w:tc>
        <w:tc>
          <w:tcPr>
            <w:tcW w:w="1276" w:type="dxa"/>
            <w:tcBorders>
              <w:top w:val="nil"/>
              <w:left w:val="nil"/>
              <w:bottom w:val="single" w:sz="4" w:space="0" w:color="auto"/>
              <w:right w:val="single" w:sz="4" w:space="0" w:color="auto"/>
            </w:tcBorders>
            <w:shd w:val="clear" w:color="000000" w:fill="FFFF00"/>
            <w:noWrap/>
            <w:vAlign w:val="bottom"/>
          </w:tcPr>
          <w:p w14:paraId="5243D520" w14:textId="77777777" w:rsidR="00E629F3" w:rsidRDefault="00E629F3">
            <w:pPr>
              <w:spacing w:line="360" w:lineRule="auto"/>
              <w:jc w:val="right"/>
              <w:rPr>
                <w:rFonts w:ascii="KaiTi" w:eastAsia="KaiTi" w:hAnsi="KaiTi" w:cs="Arial"/>
                <w:sz w:val="20"/>
                <w:szCs w:val="20"/>
              </w:rPr>
            </w:pPr>
          </w:p>
        </w:tc>
        <w:tc>
          <w:tcPr>
            <w:tcW w:w="1801" w:type="dxa"/>
            <w:gridSpan w:val="2"/>
            <w:tcBorders>
              <w:top w:val="nil"/>
              <w:left w:val="nil"/>
              <w:bottom w:val="nil"/>
              <w:right w:val="nil"/>
            </w:tcBorders>
            <w:shd w:val="clear" w:color="auto" w:fill="auto"/>
            <w:noWrap/>
            <w:vAlign w:val="center"/>
          </w:tcPr>
          <w:p w14:paraId="0F54148E" w14:textId="77777777" w:rsidR="00E629F3" w:rsidRDefault="00E629F3">
            <w:pPr>
              <w:spacing w:line="360" w:lineRule="auto"/>
              <w:rPr>
                <w:rFonts w:ascii="KaiTi" w:eastAsia="KaiTi" w:hAnsi="KaiTi"/>
                <w:color w:val="2F75B5"/>
              </w:rPr>
            </w:pPr>
          </w:p>
        </w:tc>
      </w:tr>
    </w:tbl>
    <w:p w14:paraId="09123EC1" w14:textId="77777777" w:rsidR="00E629F3" w:rsidRDefault="00573FF2">
      <w:pPr>
        <w:spacing w:line="360" w:lineRule="auto"/>
        <w:rPr>
          <w:rFonts w:ascii="KaiTi" w:eastAsia="KaiTi" w:hAnsi="KaiTi"/>
          <w:b/>
          <w:bCs/>
          <w:color w:val="4472C4" w:themeColor="accent1"/>
        </w:rPr>
      </w:pPr>
      <w:r>
        <w:rPr>
          <w:rFonts w:ascii="KaiTi" w:eastAsia="KaiTi" w:hAnsi="KaiTi" w:hint="eastAsia"/>
          <w:b/>
          <w:bCs/>
          <w:color w:val="4472C4" w:themeColor="accent1"/>
        </w:rPr>
        <w:t xml:space="preserve">计算公式：①费用合计=销售费用+管理费用+研发费用+财务费用（财务费用是负数时，谨慎起见，不用加） </w:t>
      </w:r>
    </w:p>
    <w:p w14:paraId="1BFE3A0C" w14:textId="77777777" w:rsidR="00E629F3" w:rsidRDefault="00573FF2">
      <w:pPr>
        <w:spacing w:line="360" w:lineRule="auto"/>
        <w:rPr>
          <w:rFonts w:ascii="KaiTi" w:eastAsia="KaiTi" w:hAnsi="KaiTi"/>
          <w:b/>
          <w:bCs/>
          <w:color w:val="4472C4" w:themeColor="accent1"/>
        </w:rPr>
      </w:pPr>
      <w:r>
        <w:rPr>
          <w:rFonts w:ascii="KaiTi" w:eastAsia="KaiTi" w:hAnsi="KaiTi" w:hint="eastAsia"/>
          <w:b/>
          <w:bCs/>
          <w:color w:val="4472C4" w:themeColor="accent1"/>
        </w:rPr>
        <w:t>②期间费用率=费用合计/营业收入</w:t>
      </w:r>
      <w:r>
        <w:rPr>
          <w:rFonts w:ascii="KaiTi" w:eastAsia="KaiTi" w:hAnsi="KaiTi"/>
          <w:b/>
          <w:bCs/>
          <w:color w:val="4472C4" w:themeColor="accent1"/>
        </w:rPr>
        <w:t xml:space="preserve"> </w:t>
      </w:r>
    </w:p>
    <w:p w14:paraId="0305A03A" w14:textId="77777777" w:rsidR="00E629F3" w:rsidRDefault="00573FF2">
      <w:pPr>
        <w:pStyle w:val="01761"/>
      </w:pPr>
      <w:r>
        <w:rPr>
          <w:rFonts w:hint="eastAsia"/>
        </w:rPr>
        <w:t>3.分析各年变化趋势</w:t>
      </w:r>
    </w:p>
    <w:p w14:paraId="09E07796" w14:textId="77777777" w:rsidR="00E629F3" w:rsidRDefault="00573FF2">
      <w:pPr>
        <w:pStyle w:val="017"/>
        <w:ind w:firstLineChars="200" w:firstLine="480"/>
      </w:pPr>
      <w:r>
        <w:rPr>
          <w:rFonts w:hint="eastAsia"/>
        </w:rPr>
        <w:t>通过计算我们可以看到，洋河股份201</w:t>
      </w:r>
      <w:r>
        <w:t>6</w:t>
      </w:r>
      <w:r>
        <w:rPr>
          <w:rFonts w:hint="eastAsia"/>
        </w:rPr>
        <w:t>-20</w:t>
      </w:r>
      <w:r>
        <w:t>20</w:t>
      </w:r>
      <w:r>
        <w:rPr>
          <w:rFonts w:hint="eastAsia"/>
        </w:rPr>
        <w:t>年的期间费用率占毛利率的比值分别为</w:t>
      </w:r>
      <w:r>
        <w:t>31.43</w:t>
      </w:r>
      <w:r>
        <w:rPr>
          <w:rFonts w:hint="eastAsia"/>
        </w:rPr>
        <w:t>%、</w:t>
      </w:r>
      <w:r>
        <w:t>29.61</w:t>
      </w:r>
      <w:r>
        <w:rPr>
          <w:rFonts w:hint="eastAsia"/>
        </w:rPr>
        <w:t>%、</w:t>
      </w:r>
      <w:r>
        <w:t>24.11</w:t>
      </w:r>
      <w:r>
        <w:rPr>
          <w:rFonts w:hint="eastAsia"/>
        </w:rPr>
        <w:t>%、2</w:t>
      </w:r>
      <w:r>
        <w:t>8.53</w:t>
      </w:r>
      <w:r>
        <w:rPr>
          <w:rFonts w:hint="eastAsia"/>
        </w:rPr>
        <w:t>%、</w:t>
      </w:r>
      <w:r>
        <w:rPr>
          <w:u w:val="single"/>
        </w:rPr>
        <w:t xml:space="preserve">    </w:t>
      </w:r>
      <w:r>
        <w:t xml:space="preserve"> </w:t>
      </w:r>
      <w:r>
        <w:rPr>
          <w:rFonts w:hint="eastAsia"/>
        </w:rPr>
        <w:t>%，均</w:t>
      </w:r>
      <w:r>
        <w:rPr>
          <w:u w:val="single"/>
        </w:rPr>
        <w:t xml:space="preserve">     </w:t>
      </w:r>
      <w:r>
        <w:rPr>
          <w:rFonts w:hint="eastAsia"/>
          <w:b/>
          <w:bCs/>
          <w:color w:val="C45911" w:themeColor="accent2" w:themeShade="BF"/>
        </w:rPr>
        <w:t>（选项：大于4</w:t>
      </w:r>
      <w:r>
        <w:rPr>
          <w:b/>
          <w:bCs/>
          <w:color w:val="C45911" w:themeColor="accent2" w:themeShade="BF"/>
        </w:rPr>
        <w:t>0</w:t>
      </w:r>
      <w:r>
        <w:rPr>
          <w:rFonts w:hint="eastAsia"/>
          <w:b/>
          <w:bCs/>
          <w:color w:val="C45911" w:themeColor="accent2" w:themeShade="BF"/>
        </w:rPr>
        <w:t>%或小于4</w:t>
      </w:r>
      <w:r>
        <w:rPr>
          <w:b/>
          <w:bCs/>
          <w:color w:val="C45911" w:themeColor="accent2" w:themeShade="BF"/>
        </w:rPr>
        <w:t>0</w:t>
      </w:r>
      <w:r>
        <w:rPr>
          <w:rFonts w:hint="eastAsia"/>
          <w:b/>
          <w:bCs/>
          <w:color w:val="C45911" w:themeColor="accent2" w:themeShade="BF"/>
        </w:rPr>
        <w:t>%）</w:t>
      </w:r>
      <w:r>
        <w:rPr>
          <w:rFonts w:hint="eastAsia"/>
        </w:rPr>
        <w:t>，说明洋河股份的成本控制能力</w:t>
      </w:r>
      <w:r>
        <w:rPr>
          <w:rFonts w:hint="eastAsia"/>
          <w:u w:val="single"/>
        </w:rPr>
        <w:t xml:space="preserve"> </w:t>
      </w:r>
      <w:r>
        <w:rPr>
          <w:u w:val="single"/>
        </w:rPr>
        <w:t xml:space="preserve">    </w:t>
      </w:r>
      <w:r>
        <w:rPr>
          <w:rFonts w:hint="eastAsia"/>
          <w:b/>
          <w:bCs/>
          <w:color w:val="C45911" w:themeColor="accent2" w:themeShade="BF"/>
        </w:rPr>
        <w:t>（参照以上期间费用率的思维导图得出结论，选项：较强或较弱）</w:t>
      </w:r>
      <w:r>
        <w:rPr>
          <w:rFonts w:hint="eastAsia"/>
        </w:rPr>
        <w:t>，能</w:t>
      </w:r>
      <w:r>
        <w:rPr>
          <w:rFonts w:hint="eastAsia"/>
          <w:u w:val="single"/>
        </w:rPr>
        <w:t xml:space="preserve"> </w:t>
      </w:r>
      <w:r>
        <w:rPr>
          <w:u w:val="single"/>
        </w:rPr>
        <w:t xml:space="preserve">    </w:t>
      </w:r>
      <w:r>
        <w:rPr>
          <w:rFonts w:hint="eastAsia"/>
          <w:color w:val="C45911" w:themeColor="accent2" w:themeShade="BF"/>
        </w:rPr>
        <w:t>（选</w:t>
      </w:r>
      <w:r>
        <w:rPr>
          <w:rFonts w:hint="eastAsia"/>
          <w:b/>
          <w:bCs/>
          <w:color w:val="C45911" w:themeColor="accent2" w:themeShade="BF"/>
        </w:rPr>
        <w:t>项更多或者更少</w:t>
      </w:r>
      <w:r>
        <w:rPr>
          <w:rFonts w:hint="eastAsia"/>
          <w:color w:val="C45911" w:themeColor="accent2" w:themeShade="BF"/>
        </w:rPr>
        <w:t>）</w:t>
      </w:r>
      <w:r>
        <w:rPr>
          <w:rFonts w:hint="eastAsia"/>
        </w:rPr>
        <w:t>的保留企业的毛利润。</w:t>
      </w:r>
    </w:p>
    <w:p w14:paraId="035876E9" w14:textId="77777777" w:rsidR="00E629F3" w:rsidRDefault="00E629F3">
      <w:pPr>
        <w:pStyle w:val="017"/>
      </w:pPr>
    </w:p>
    <w:p w14:paraId="73D682B4" w14:textId="77777777" w:rsidR="00E629F3" w:rsidRDefault="00573FF2">
      <w:pPr>
        <w:pStyle w:val="01761"/>
      </w:pPr>
      <w:r>
        <w:rPr>
          <w:rFonts w:hint="eastAsia"/>
        </w:rPr>
        <w:t>4.根据分析得出结论</w:t>
      </w:r>
    </w:p>
    <w:p w14:paraId="07611B93" w14:textId="77777777" w:rsidR="00E629F3" w:rsidRDefault="00573FF2">
      <w:pPr>
        <w:pStyle w:val="017"/>
        <w:ind w:firstLineChars="200" w:firstLine="480"/>
      </w:pPr>
      <w:r>
        <w:rPr>
          <w:rFonts w:hint="eastAsia"/>
        </w:rPr>
        <w:t>洋河股份的成本控制能力</w:t>
      </w:r>
      <w:r>
        <w:rPr>
          <w:rFonts w:hint="eastAsia"/>
          <w:u w:val="single"/>
        </w:rPr>
        <w:t xml:space="preserve"> </w:t>
      </w:r>
      <w:r>
        <w:rPr>
          <w:u w:val="single"/>
        </w:rPr>
        <w:t xml:space="preserve">             </w:t>
      </w:r>
      <w:r>
        <w:rPr>
          <w:rFonts w:hint="eastAsia"/>
          <w:b/>
          <w:bCs/>
          <w:color w:val="C45911" w:themeColor="accent2" w:themeShade="BF"/>
        </w:rPr>
        <w:t>（参照以上期间费用率的思维导图得出结论，选项：较强或较弱）</w:t>
      </w:r>
      <w:r>
        <w:rPr>
          <w:rFonts w:hint="eastAsia"/>
        </w:rPr>
        <w:t>，能</w:t>
      </w:r>
      <w:r>
        <w:rPr>
          <w:rFonts w:hint="eastAsia"/>
          <w:u w:val="single"/>
        </w:rPr>
        <w:t xml:space="preserve"> </w:t>
      </w:r>
      <w:r>
        <w:rPr>
          <w:u w:val="single"/>
        </w:rPr>
        <w:t xml:space="preserve">         </w:t>
      </w:r>
      <w:r>
        <w:rPr>
          <w:rFonts w:hint="eastAsia"/>
          <w:b/>
          <w:bCs/>
          <w:color w:val="C45911" w:themeColor="accent2" w:themeShade="BF"/>
        </w:rPr>
        <w:t>（选项：更多或者更少）</w:t>
      </w:r>
      <w:r>
        <w:rPr>
          <w:rFonts w:hint="eastAsia"/>
        </w:rPr>
        <w:t>的保留企业的毛利润。</w:t>
      </w:r>
    </w:p>
    <w:p w14:paraId="336B7D71" w14:textId="77777777" w:rsidR="00E629F3" w:rsidRDefault="00573FF2">
      <w:pPr>
        <w:pStyle w:val="3"/>
        <w:spacing w:line="360" w:lineRule="auto"/>
        <w:ind w:firstLine="643"/>
        <w:rPr>
          <w:rFonts w:ascii="KaiTi" w:eastAsia="KaiTi" w:hAnsi="KaiTi"/>
          <w:szCs w:val="28"/>
        </w:rPr>
      </w:pPr>
      <w:r>
        <w:rPr>
          <w:rFonts w:ascii="KaiTi" w:eastAsia="KaiTi" w:hAnsi="KaiTi" w:hint="eastAsia"/>
          <w:szCs w:val="28"/>
        </w:rPr>
        <w:t>四、看销售费用率（</w:t>
      </w:r>
      <w:r>
        <w:rPr>
          <w:rFonts w:ascii="KaiTi" w:eastAsia="KaiTi" w:hAnsi="KaiTi"/>
          <w:szCs w:val="28"/>
        </w:rPr>
        <w:t>10</w:t>
      </w:r>
      <w:r>
        <w:rPr>
          <w:rFonts w:ascii="KaiTi" w:eastAsia="KaiTi" w:hAnsi="KaiTi" w:hint="eastAsia"/>
          <w:szCs w:val="28"/>
        </w:rPr>
        <w:t>分）</w:t>
      </w:r>
    </w:p>
    <w:p w14:paraId="3DB823E1" w14:textId="77777777" w:rsidR="00E629F3" w:rsidRDefault="00573FF2">
      <w:pPr>
        <w:pStyle w:val="01761"/>
      </w:pPr>
      <w:r>
        <w:rPr>
          <w:rFonts w:hint="eastAsia"/>
        </w:rPr>
        <w:t>1.分析思路</w:t>
      </w:r>
      <w:r>
        <w:rPr>
          <w:noProof/>
        </w:rPr>
        <w:drawing>
          <wp:inline distT="0" distB="0" distL="0" distR="0" wp14:anchorId="33829538" wp14:editId="33A34C3A">
            <wp:extent cx="5788025" cy="2170430"/>
            <wp:effectExtent l="0" t="0" r="317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45659" cy="2192321"/>
                    </a:xfrm>
                    <a:prstGeom prst="rect">
                      <a:avLst/>
                    </a:prstGeom>
                    <a:noFill/>
                    <a:ln>
                      <a:noFill/>
                    </a:ln>
                  </pic:spPr>
                </pic:pic>
              </a:graphicData>
            </a:graphic>
          </wp:inline>
        </w:drawing>
      </w:r>
    </w:p>
    <w:p w14:paraId="5C4541AF" w14:textId="77777777" w:rsidR="00E629F3" w:rsidRDefault="00573FF2">
      <w:pPr>
        <w:pStyle w:val="01761"/>
      </w:pPr>
      <w:r>
        <w:rPr>
          <w:rFonts w:hint="eastAsia"/>
        </w:rPr>
        <w:t>2.数据收集汇总：营业收入、销售费用，并计算销售费用率</w:t>
      </w:r>
    </w:p>
    <w:p w14:paraId="67F5B355" w14:textId="77777777" w:rsidR="00E629F3" w:rsidRDefault="00573FF2">
      <w:pPr>
        <w:spacing w:line="360" w:lineRule="auto"/>
        <w:rPr>
          <w:rFonts w:ascii="KaiTi" w:eastAsia="KaiTi" w:hAnsi="KaiTi"/>
          <w:b/>
          <w:bCs/>
        </w:rPr>
      </w:pPr>
      <w:r>
        <w:rPr>
          <w:rFonts w:ascii="KaiTi" w:eastAsia="KaiTi" w:hAnsi="KaiTi"/>
        </w:rPr>
        <w:t xml:space="preserve">                                                      </w:t>
      </w:r>
      <w:r>
        <w:rPr>
          <w:rFonts w:ascii="KaiTi" w:eastAsia="KaiTi" w:hAnsi="KaiTi" w:hint="eastAsia"/>
          <w:b/>
          <w:bCs/>
        </w:rPr>
        <w:t>单位：亿元</w:t>
      </w:r>
    </w:p>
    <w:tbl>
      <w:tblPr>
        <w:tblW w:w="8784" w:type="dxa"/>
        <w:jc w:val="center"/>
        <w:tblLayout w:type="fixed"/>
        <w:tblLook w:val="04A0" w:firstRow="1" w:lastRow="0" w:firstColumn="1" w:lastColumn="0" w:noHBand="0" w:noVBand="1"/>
      </w:tblPr>
      <w:tblGrid>
        <w:gridCol w:w="1704"/>
        <w:gridCol w:w="1080"/>
        <w:gridCol w:w="1080"/>
        <w:gridCol w:w="1080"/>
        <w:gridCol w:w="1080"/>
        <w:gridCol w:w="1206"/>
        <w:gridCol w:w="1554"/>
      </w:tblGrid>
      <w:tr w:rsidR="00E629F3" w14:paraId="7D692933" w14:textId="77777777">
        <w:trPr>
          <w:trHeight w:val="454"/>
          <w:jc w:val="center"/>
        </w:trPr>
        <w:tc>
          <w:tcPr>
            <w:tcW w:w="1704" w:type="dxa"/>
            <w:tcBorders>
              <w:top w:val="single" w:sz="4" w:space="0" w:color="auto"/>
              <w:left w:val="single" w:sz="4" w:space="0" w:color="auto"/>
              <w:bottom w:val="single" w:sz="4" w:space="0" w:color="auto"/>
              <w:right w:val="single" w:sz="4" w:space="0" w:color="auto"/>
            </w:tcBorders>
            <w:shd w:val="clear" w:color="auto" w:fill="2E74B5" w:themeFill="accent5" w:themeFillShade="BF"/>
            <w:vAlign w:val="center"/>
          </w:tcPr>
          <w:p w14:paraId="57EDBF23"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看销售费用率</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6CA73D6"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2016</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2FCAB594"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2017</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EA4CAA2"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018</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62FE507D"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019</w:t>
            </w:r>
          </w:p>
        </w:tc>
        <w:tc>
          <w:tcPr>
            <w:tcW w:w="1206"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162A89F"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020</w:t>
            </w:r>
          </w:p>
        </w:tc>
        <w:tc>
          <w:tcPr>
            <w:tcW w:w="1554" w:type="dxa"/>
            <w:tcBorders>
              <w:top w:val="nil"/>
              <w:left w:val="nil"/>
              <w:bottom w:val="nil"/>
              <w:right w:val="nil"/>
            </w:tcBorders>
            <w:shd w:val="clear" w:color="auto" w:fill="auto"/>
            <w:noWrap/>
            <w:vAlign w:val="center"/>
          </w:tcPr>
          <w:p w14:paraId="50EBB41A" w14:textId="77777777" w:rsidR="00E629F3" w:rsidRDefault="00E629F3">
            <w:pPr>
              <w:spacing w:line="360" w:lineRule="auto"/>
              <w:jc w:val="center"/>
              <w:rPr>
                <w:rFonts w:ascii="KaiTi" w:eastAsia="KaiTi" w:hAnsi="KaiTi"/>
                <w:b/>
                <w:bCs/>
                <w:color w:val="FFFFFF"/>
                <w:sz w:val="20"/>
                <w:szCs w:val="20"/>
              </w:rPr>
            </w:pPr>
          </w:p>
        </w:tc>
      </w:tr>
      <w:tr w:rsidR="00E629F3" w14:paraId="215C87B9" w14:textId="77777777">
        <w:trPr>
          <w:trHeight w:val="454"/>
          <w:jc w:val="center"/>
        </w:trPr>
        <w:tc>
          <w:tcPr>
            <w:tcW w:w="1704" w:type="dxa"/>
            <w:tcBorders>
              <w:top w:val="nil"/>
              <w:left w:val="single" w:sz="4" w:space="0" w:color="auto"/>
              <w:bottom w:val="single" w:sz="4" w:space="0" w:color="auto"/>
              <w:right w:val="single" w:sz="4" w:space="0" w:color="auto"/>
            </w:tcBorders>
            <w:shd w:val="clear" w:color="auto" w:fill="auto"/>
            <w:vAlign w:val="center"/>
          </w:tcPr>
          <w:p w14:paraId="465E8EF9"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①营业收入</w:t>
            </w:r>
          </w:p>
        </w:tc>
        <w:tc>
          <w:tcPr>
            <w:tcW w:w="1080" w:type="dxa"/>
            <w:tcBorders>
              <w:top w:val="nil"/>
              <w:left w:val="nil"/>
              <w:bottom w:val="single" w:sz="4" w:space="0" w:color="auto"/>
              <w:right w:val="single" w:sz="4" w:space="0" w:color="auto"/>
            </w:tcBorders>
            <w:shd w:val="clear" w:color="auto" w:fill="auto"/>
            <w:noWrap/>
            <w:vAlign w:val="center"/>
          </w:tcPr>
          <w:p w14:paraId="349FD3A1"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171.83</w:t>
            </w:r>
          </w:p>
        </w:tc>
        <w:tc>
          <w:tcPr>
            <w:tcW w:w="1080" w:type="dxa"/>
            <w:tcBorders>
              <w:top w:val="nil"/>
              <w:left w:val="nil"/>
              <w:bottom w:val="single" w:sz="4" w:space="0" w:color="auto"/>
              <w:right w:val="single" w:sz="4" w:space="0" w:color="auto"/>
            </w:tcBorders>
            <w:shd w:val="clear" w:color="auto" w:fill="auto"/>
            <w:noWrap/>
            <w:vAlign w:val="center"/>
          </w:tcPr>
          <w:p w14:paraId="728693EA"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199.18</w:t>
            </w:r>
          </w:p>
        </w:tc>
        <w:tc>
          <w:tcPr>
            <w:tcW w:w="1080" w:type="dxa"/>
            <w:tcBorders>
              <w:top w:val="nil"/>
              <w:left w:val="nil"/>
              <w:bottom w:val="single" w:sz="4" w:space="0" w:color="auto"/>
              <w:right w:val="single" w:sz="4" w:space="0" w:color="auto"/>
            </w:tcBorders>
            <w:shd w:val="clear" w:color="auto" w:fill="auto"/>
            <w:noWrap/>
            <w:vAlign w:val="center"/>
          </w:tcPr>
          <w:p w14:paraId="2FE55C57"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241.60</w:t>
            </w:r>
          </w:p>
        </w:tc>
        <w:tc>
          <w:tcPr>
            <w:tcW w:w="1080" w:type="dxa"/>
            <w:tcBorders>
              <w:top w:val="nil"/>
              <w:left w:val="nil"/>
              <w:bottom w:val="single" w:sz="4" w:space="0" w:color="auto"/>
              <w:right w:val="single" w:sz="4" w:space="0" w:color="auto"/>
            </w:tcBorders>
            <w:shd w:val="clear" w:color="auto" w:fill="auto"/>
            <w:noWrap/>
            <w:vAlign w:val="center"/>
          </w:tcPr>
          <w:p w14:paraId="0D14317A"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231.26</w:t>
            </w:r>
          </w:p>
        </w:tc>
        <w:tc>
          <w:tcPr>
            <w:tcW w:w="1206" w:type="dxa"/>
            <w:tcBorders>
              <w:top w:val="nil"/>
              <w:left w:val="nil"/>
              <w:bottom w:val="single" w:sz="4" w:space="0" w:color="auto"/>
              <w:right w:val="single" w:sz="4" w:space="0" w:color="auto"/>
            </w:tcBorders>
            <w:shd w:val="clear" w:color="000000" w:fill="FFFF00"/>
            <w:noWrap/>
            <w:vAlign w:val="center"/>
          </w:tcPr>
          <w:p w14:paraId="5ABACDD1" w14:textId="77777777" w:rsidR="00E629F3" w:rsidRDefault="00E629F3">
            <w:pPr>
              <w:spacing w:line="360" w:lineRule="auto"/>
              <w:jc w:val="right"/>
              <w:rPr>
                <w:rFonts w:ascii="KaiTi" w:eastAsia="KaiTi" w:hAnsi="KaiTi" w:cs="Arial"/>
                <w:sz w:val="20"/>
                <w:szCs w:val="20"/>
              </w:rPr>
            </w:pPr>
          </w:p>
        </w:tc>
        <w:tc>
          <w:tcPr>
            <w:tcW w:w="1554" w:type="dxa"/>
            <w:tcBorders>
              <w:top w:val="nil"/>
              <w:left w:val="nil"/>
              <w:bottom w:val="nil"/>
              <w:right w:val="nil"/>
            </w:tcBorders>
            <w:shd w:val="clear" w:color="auto" w:fill="auto"/>
            <w:noWrap/>
            <w:vAlign w:val="center"/>
          </w:tcPr>
          <w:p w14:paraId="4B76A31E" w14:textId="77777777" w:rsidR="00E629F3" w:rsidRDefault="00573FF2">
            <w:pPr>
              <w:spacing w:line="360" w:lineRule="auto"/>
              <w:rPr>
                <w:rFonts w:ascii="KaiTi" w:eastAsia="KaiTi" w:hAnsi="KaiTi"/>
                <w:color w:val="2F75B5"/>
              </w:rPr>
            </w:pPr>
            <w:r>
              <w:rPr>
                <w:rFonts w:ascii="KaiTi" w:eastAsia="KaiTi" w:hAnsi="KaiTi" w:hint="eastAsia"/>
                <w:color w:val="2F75B5"/>
              </w:rPr>
              <w:t>第一步已查</w:t>
            </w:r>
          </w:p>
        </w:tc>
      </w:tr>
      <w:tr w:rsidR="00E629F3" w14:paraId="403632BB" w14:textId="77777777">
        <w:trPr>
          <w:trHeight w:val="454"/>
          <w:jc w:val="center"/>
        </w:trPr>
        <w:tc>
          <w:tcPr>
            <w:tcW w:w="1704" w:type="dxa"/>
            <w:tcBorders>
              <w:top w:val="nil"/>
              <w:left w:val="single" w:sz="4" w:space="0" w:color="auto"/>
              <w:bottom w:val="single" w:sz="4" w:space="0" w:color="auto"/>
              <w:right w:val="single" w:sz="4" w:space="0" w:color="auto"/>
            </w:tcBorders>
            <w:shd w:val="clear" w:color="auto" w:fill="auto"/>
            <w:vAlign w:val="center"/>
          </w:tcPr>
          <w:p w14:paraId="75CF852B"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②销售费用</w:t>
            </w:r>
          </w:p>
        </w:tc>
        <w:tc>
          <w:tcPr>
            <w:tcW w:w="1080" w:type="dxa"/>
            <w:tcBorders>
              <w:top w:val="nil"/>
              <w:left w:val="nil"/>
              <w:bottom w:val="single" w:sz="4" w:space="0" w:color="auto"/>
              <w:right w:val="single" w:sz="4" w:space="0" w:color="auto"/>
            </w:tcBorders>
            <w:shd w:val="clear" w:color="auto" w:fill="auto"/>
            <w:noWrap/>
            <w:vAlign w:val="center"/>
          </w:tcPr>
          <w:p w14:paraId="3534AEF8"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18.69</w:t>
            </w:r>
          </w:p>
        </w:tc>
        <w:tc>
          <w:tcPr>
            <w:tcW w:w="1080" w:type="dxa"/>
            <w:tcBorders>
              <w:top w:val="nil"/>
              <w:left w:val="nil"/>
              <w:bottom w:val="single" w:sz="4" w:space="0" w:color="auto"/>
              <w:right w:val="single" w:sz="4" w:space="0" w:color="auto"/>
            </w:tcBorders>
            <w:shd w:val="clear" w:color="auto" w:fill="auto"/>
            <w:noWrap/>
            <w:vAlign w:val="center"/>
          </w:tcPr>
          <w:p w14:paraId="41292CBF"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23.87</w:t>
            </w:r>
          </w:p>
        </w:tc>
        <w:tc>
          <w:tcPr>
            <w:tcW w:w="1080" w:type="dxa"/>
            <w:tcBorders>
              <w:top w:val="nil"/>
              <w:left w:val="nil"/>
              <w:bottom w:val="single" w:sz="4" w:space="0" w:color="auto"/>
              <w:right w:val="single" w:sz="4" w:space="0" w:color="auto"/>
            </w:tcBorders>
            <w:shd w:val="clear" w:color="auto" w:fill="auto"/>
            <w:noWrap/>
            <w:vAlign w:val="center"/>
          </w:tcPr>
          <w:p w14:paraId="63A66E41"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25.61</w:t>
            </w:r>
          </w:p>
        </w:tc>
        <w:tc>
          <w:tcPr>
            <w:tcW w:w="1080" w:type="dxa"/>
            <w:tcBorders>
              <w:top w:val="nil"/>
              <w:left w:val="nil"/>
              <w:bottom w:val="single" w:sz="4" w:space="0" w:color="auto"/>
              <w:right w:val="single" w:sz="4" w:space="0" w:color="auto"/>
            </w:tcBorders>
            <w:shd w:val="clear" w:color="auto" w:fill="auto"/>
            <w:noWrap/>
            <w:vAlign w:val="center"/>
          </w:tcPr>
          <w:p w14:paraId="02E0AFC6" w14:textId="77777777" w:rsidR="00E629F3" w:rsidRDefault="00573FF2">
            <w:pPr>
              <w:spacing w:line="360" w:lineRule="auto"/>
              <w:jc w:val="right"/>
              <w:rPr>
                <w:rFonts w:ascii="KaiTi" w:eastAsia="KaiTi" w:hAnsi="KaiTi" w:cs="Arial"/>
                <w:sz w:val="20"/>
                <w:szCs w:val="20"/>
              </w:rPr>
            </w:pPr>
            <w:r>
              <w:rPr>
                <w:rFonts w:ascii="KaiTi" w:eastAsia="KaiTi" w:hAnsi="KaiTi" w:hint="eastAsia"/>
                <w:color w:val="000000"/>
                <w:sz w:val="22"/>
                <w:szCs w:val="22"/>
              </w:rPr>
              <w:t>26.92</w:t>
            </w:r>
          </w:p>
        </w:tc>
        <w:tc>
          <w:tcPr>
            <w:tcW w:w="1206" w:type="dxa"/>
            <w:tcBorders>
              <w:top w:val="nil"/>
              <w:left w:val="nil"/>
              <w:bottom w:val="single" w:sz="4" w:space="0" w:color="auto"/>
              <w:right w:val="single" w:sz="4" w:space="0" w:color="auto"/>
            </w:tcBorders>
            <w:shd w:val="clear" w:color="auto" w:fill="auto"/>
            <w:noWrap/>
            <w:vAlign w:val="center"/>
          </w:tcPr>
          <w:p w14:paraId="00C3F196" w14:textId="77777777" w:rsidR="00E629F3" w:rsidRDefault="00573FF2">
            <w:pPr>
              <w:spacing w:line="360" w:lineRule="auto"/>
              <w:ind w:left="440" w:hangingChars="200" w:hanging="440"/>
              <w:jc w:val="right"/>
              <w:rPr>
                <w:rFonts w:ascii="KaiTi" w:eastAsia="KaiTi" w:hAnsi="KaiTi"/>
                <w:color w:val="000000"/>
                <w:sz w:val="22"/>
                <w:szCs w:val="22"/>
              </w:rPr>
            </w:pPr>
            <w:r>
              <w:rPr>
                <w:rFonts w:ascii="KaiTi" w:eastAsia="KaiTi" w:hAnsi="KaiTi"/>
                <w:color w:val="000000"/>
                <w:sz w:val="22"/>
                <w:szCs w:val="22"/>
              </w:rPr>
              <w:t>26.04</w:t>
            </w:r>
          </w:p>
        </w:tc>
        <w:tc>
          <w:tcPr>
            <w:tcW w:w="1554" w:type="dxa"/>
            <w:tcBorders>
              <w:top w:val="nil"/>
              <w:left w:val="nil"/>
              <w:bottom w:val="nil"/>
              <w:right w:val="nil"/>
            </w:tcBorders>
            <w:shd w:val="clear" w:color="auto" w:fill="auto"/>
            <w:noWrap/>
            <w:vAlign w:val="center"/>
          </w:tcPr>
          <w:p w14:paraId="7817B2E0" w14:textId="77777777" w:rsidR="00E629F3" w:rsidRDefault="00E629F3">
            <w:pPr>
              <w:spacing w:line="360" w:lineRule="auto"/>
              <w:rPr>
                <w:rFonts w:ascii="KaiTi" w:eastAsia="KaiTi" w:hAnsi="KaiTi"/>
                <w:color w:val="000000"/>
                <w:sz w:val="22"/>
                <w:szCs w:val="22"/>
              </w:rPr>
            </w:pPr>
          </w:p>
        </w:tc>
      </w:tr>
      <w:tr w:rsidR="00E629F3" w14:paraId="16161857" w14:textId="77777777">
        <w:trPr>
          <w:trHeight w:val="454"/>
          <w:jc w:val="center"/>
        </w:trPr>
        <w:tc>
          <w:tcPr>
            <w:tcW w:w="1704" w:type="dxa"/>
            <w:tcBorders>
              <w:top w:val="nil"/>
              <w:left w:val="single" w:sz="4" w:space="0" w:color="auto"/>
              <w:bottom w:val="single" w:sz="4" w:space="0" w:color="auto"/>
              <w:right w:val="single" w:sz="4" w:space="0" w:color="auto"/>
            </w:tcBorders>
            <w:shd w:val="clear" w:color="auto" w:fill="auto"/>
            <w:vAlign w:val="center"/>
          </w:tcPr>
          <w:p w14:paraId="7A45043A" w14:textId="77777777" w:rsidR="00E629F3" w:rsidRDefault="00573FF2">
            <w:pPr>
              <w:spacing w:line="360" w:lineRule="auto"/>
              <w:jc w:val="center"/>
              <w:rPr>
                <w:rFonts w:ascii="KaiTi" w:eastAsia="KaiTi" w:hAnsi="KaiTi"/>
                <w:sz w:val="18"/>
                <w:szCs w:val="18"/>
              </w:rPr>
            </w:pPr>
            <w:r>
              <w:rPr>
                <w:rFonts w:ascii="KaiTi" w:eastAsia="KaiTi" w:hAnsi="KaiTi" w:hint="eastAsia"/>
                <w:sz w:val="18"/>
                <w:szCs w:val="18"/>
              </w:rPr>
              <w:t>销售费用率=②/①</w:t>
            </w:r>
          </w:p>
        </w:tc>
        <w:tc>
          <w:tcPr>
            <w:tcW w:w="1080" w:type="dxa"/>
            <w:tcBorders>
              <w:top w:val="nil"/>
              <w:left w:val="nil"/>
              <w:bottom w:val="single" w:sz="4" w:space="0" w:color="auto"/>
              <w:right w:val="single" w:sz="4" w:space="0" w:color="auto"/>
            </w:tcBorders>
            <w:shd w:val="clear" w:color="auto" w:fill="auto"/>
            <w:noWrap/>
            <w:vAlign w:val="center"/>
          </w:tcPr>
          <w:p w14:paraId="44C00C2C"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10.88%</w:t>
            </w:r>
          </w:p>
        </w:tc>
        <w:tc>
          <w:tcPr>
            <w:tcW w:w="1080" w:type="dxa"/>
            <w:tcBorders>
              <w:top w:val="nil"/>
              <w:left w:val="nil"/>
              <w:bottom w:val="single" w:sz="4" w:space="0" w:color="auto"/>
              <w:right w:val="single" w:sz="4" w:space="0" w:color="auto"/>
            </w:tcBorders>
            <w:shd w:val="clear" w:color="auto" w:fill="auto"/>
            <w:noWrap/>
            <w:vAlign w:val="center"/>
          </w:tcPr>
          <w:p w14:paraId="169FCB6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11.99%</w:t>
            </w:r>
          </w:p>
        </w:tc>
        <w:tc>
          <w:tcPr>
            <w:tcW w:w="1080" w:type="dxa"/>
            <w:tcBorders>
              <w:top w:val="nil"/>
              <w:left w:val="nil"/>
              <w:bottom w:val="single" w:sz="4" w:space="0" w:color="auto"/>
              <w:right w:val="single" w:sz="4" w:space="0" w:color="auto"/>
            </w:tcBorders>
            <w:shd w:val="clear" w:color="auto" w:fill="auto"/>
            <w:noWrap/>
            <w:vAlign w:val="center"/>
          </w:tcPr>
          <w:p w14:paraId="0B4BED77"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10.60%</w:t>
            </w:r>
          </w:p>
        </w:tc>
        <w:tc>
          <w:tcPr>
            <w:tcW w:w="1080" w:type="dxa"/>
            <w:tcBorders>
              <w:top w:val="nil"/>
              <w:left w:val="nil"/>
              <w:bottom w:val="single" w:sz="4" w:space="0" w:color="auto"/>
              <w:right w:val="single" w:sz="4" w:space="0" w:color="auto"/>
            </w:tcBorders>
            <w:shd w:val="clear" w:color="auto" w:fill="auto"/>
            <w:noWrap/>
            <w:vAlign w:val="center"/>
          </w:tcPr>
          <w:p w14:paraId="7AE1B20A"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11.64%</w:t>
            </w:r>
          </w:p>
        </w:tc>
        <w:tc>
          <w:tcPr>
            <w:tcW w:w="1206" w:type="dxa"/>
            <w:tcBorders>
              <w:top w:val="nil"/>
              <w:left w:val="nil"/>
              <w:bottom w:val="single" w:sz="4" w:space="0" w:color="auto"/>
              <w:right w:val="single" w:sz="4" w:space="0" w:color="auto"/>
            </w:tcBorders>
            <w:shd w:val="clear" w:color="000000" w:fill="FFFF00"/>
            <w:noWrap/>
            <w:vAlign w:val="center"/>
          </w:tcPr>
          <w:p w14:paraId="3F78123C" w14:textId="77777777" w:rsidR="00E629F3" w:rsidRDefault="00E629F3">
            <w:pPr>
              <w:spacing w:line="360" w:lineRule="auto"/>
              <w:jc w:val="right"/>
              <w:rPr>
                <w:rFonts w:ascii="KaiTi" w:eastAsia="KaiTi" w:hAnsi="KaiTi" w:cs="Arial"/>
                <w:sz w:val="20"/>
                <w:szCs w:val="20"/>
              </w:rPr>
            </w:pPr>
          </w:p>
        </w:tc>
        <w:tc>
          <w:tcPr>
            <w:tcW w:w="1554" w:type="dxa"/>
            <w:tcBorders>
              <w:top w:val="nil"/>
              <w:left w:val="nil"/>
              <w:bottom w:val="nil"/>
              <w:right w:val="nil"/>
            </w:tcBorders>
            <w:shd w:val="clear" w:color="auto" w:fill="auto"/>
            <w:noWrap/>
            <w:vAlign w:val="center"/>
          </w:tcPr>
          <w:p w14:paraId="7C605126" w14:textId="77777777" w:rsidR="00E629F3" w:rsidRDefault="00573FF2">
            <w:pPr>
              <w:spacing w:line="360" w:lineRule="auto"/>
              <w:rPr>
                <w:rFonts w:ascii="KaiTi" w:eastAsia="KaiTi" w:hAnsi="KaiTi"/>
                <w:color w:val="2F75B5"/>
              </w:rPr>
            </w:pPr>
            <w:r>
              <w:rPr>
                <w:rFonts w:ascii="KaiTi" w:eastAsia="KaiTi" w:hAnsi="KaiTi" w:hint="eastAsia"/>
                <w:color w:val="2F75B5"/>
              </w:rPr>
              <w:t>下面有公式</w:t>
            </w:r>
          </w:p>
        </w:tc>
      </w:tr>
    </w:tbl>
    <w:p w14:paraId="68B08D0E" w14:textId="77777777" w:rsidR="00E629F3" w:rsidRDefault="00573FF2">
      <w:pPr>
        <w:spacing w:line="360" w:lineRule="auto"/>
        <w:rPr>
          <w:rFonts w:ascii="KaiTi" w:eastAsia="KaiTi" w:hAnsi="KaiTi"/>
          <w:sz w:val="21"/>
          <w:szCs w:val="18"/>
        </w:rPr>
      </w:pPr>
      <w:r>
        <w:rPr>
          <w:rFonts w:ascii="KaiTi" w:eastAsia="KaiTi" w:hAnsi="KaiTi" w:hint="eastAsia"/>
          <w:sz w:val="21"/>
          <w:szCs w:val="18"/>
        </w:rPr>
        <w:t xml:space="preserve"> </w:t>
      </w:r>
      <w:r>
        <w:rPr>
          <w:rFonts w:ascii="KaiTi" w:eastAsia="KaiTi" w:hAnsi="KaiTi"/>
          <w:sz w:val="21"/>
          <w:szCs w:val="18"/>
        </w:rPr>
        <w:t xml:space="preserve">  </w:t>
      </w:r>
      <w:r>
        <w:rPr>
          <w:rFonts w:ascii="KaiTi" w:eastAsia="KaiTi" w:hAnsi="KaiTi" w:hint="eastAsia"/>
          <w:b/>
          <w:bCs/>
          <w:color w:val="4472C4" w:themeColor="accent1"/>
        </w:rPr>
        <w:t>计算公式：销售费用率=销售费用/</w:t>
      </w:r>
      <w:r>
        <w:rPr>
          <w:rFonts w:ascii="KaiTi" w:eastAsia="KaiTi" w:hAnsi="KaiTi"/>
          <w:b/>
          <w:bCs/>
          <w:color w:val="4472C4" w:themeColor="accent1"/>
        </w:rPr>
        <w:t xml:space="preserve"> </w:t>
      </w:r>
      <w:r>
        <w:rPr>
          <w:rFonts w:ascii="KaiTi" w:eastAsia="KaiTi" w:hAnsi="KaiTi" w:hint="eastAsia"/>
          <w:b/>
          <w:bCs/>
          <w:color w:val="4472C4" w:themeColor="accent1"/>
        </w:rPr>
        <w:t>营业收入</w:t>
      </w:r>
    </w:p>
    <w:p w14:paraId="58204EEA" w14:textId="77777777" w:rsidR="00E629F3" w:rsidRDefault="00573FF2">
      <w:pPr>
        <w:pStyle w:val="01761"/>
      </w:pPr>
      <w:r>
        <w:rPr>
          <w:rFonts w:hint="eastAsia"/>
        </w:rPr>
        <w:t>3.分析各年变化趋势</w:t>
      </w:r>
    </w:p>
    <w:p w14:paraId="6A80585F" w14:textId="77777777" w:rsidR="00E629F3" w:rsidRDefault="00573FF2">
      <w:pPr>
        <w:pStyle w:val="017"/>
        <w:rPr>
          <w:b/>
          <w:bCs/>
          <w:color w:val="C45911" w:themeColor="accent2" w:themeShade="BF"/>
        </w:rPr>
      </w:pPr>
      <w:r>
        <w:rPr>
          <w:rFonts w:hint="eastAsia"/>
        </w:rPr>
        <w:t>通过计算可以得出，洋河股份201</w:t>
      </w:r>
      <w:r>
        <w:t>6</w:t>
      </w:r>
      <w:r>
        <w:rPr>
          <w:rFonts w:hint="eastAsia"/>
        </w:rPr>
        <w:t>-20</w:t>
      </w:r>
      <w:r>
        <w:t>20</w:t>
      </w:r>
      <w:r>
        <w:rPr>
          <w:rFonts w:hint="eastAsia"/>
        </w:rPr>
        <w:t>年的销售费用率在</w:t>
      </w:r>
      <w:r>
        <w:rPr>
          <w:u w:val="single"/>
        </w:rPr>
        <w:t xml:space="preserve">       </w:t>
      </w:r>
      <w:r>
        <w:rPr>
          <w:rFonts w:hint="eastAsia"/>
          <w:b/>
          <w:bCs/>
          <w:color w:val="C45911" w:themeColor="accent2" w:themeShade="BF"/>
        </w:rPr>
        <w:t>（填区间，比如:1%-</w:t>
      </w:r>
      <w:r>
        <w:rPr>
          <w:b/>
          <w:bCs/>
          <w:color w:val="C45911" w:themeColor="accent2" w:themeShade="BF"/>
        </w:rPr>
        <w:t>5%</w:t>
      </w:r>
      <w:r>
        <w:rPr>
          <w:rFonts w:hint="eastAsia"/>
          <w:b/>
          <w:bCs/>
          <w:color w:val="C45911" w:themeColor="accent2" w:themeShade="BF"/>
        </w:rPr>
        <w:t>）</w:t>
      </w:r>
      <w:r>
        <w:rPr>
          <w:rFonts w:hint="eastAsia"/>
        </w:rPr>
        <w:t>之间，</w:t>
      </w:r>
      <w:r>
        <w:rPr>
          <w:rFonts w:hint="eastAsia"/>
          <w:u w:val="single"/>
        </w:rPr>
        <w:t xml:space="preserve"> </w:t>
      </w:r>
      <w:r>
        <w:rPr>
          <w:u w:val="single"/>
        </w:rPr>
        <w:t xml:space="preserve">    </w:t>
      </w:r>
      <w:r>
        <w:rPr>
          <w:rFonts w:hint="eastAsia"/>
          <w:u w:val="single"/>
        </w:rPr>
        <w:t xml:space="preserve"> </w:t>
      </w:r>
      <w:r>
        <w:rPr>
          <w:b/>
          <w:bCs/>
          <w:color w:val="C45911" w:themeColor="accent2" w:themeShade="BF"/>
        </w:rPr>
        <w:t>(</w:t>
      </w:r>
      <w:r>
        <w:rPr>
          <w:rFonts w:hint="eastAsia"/>
          <w:b/>
          <w:bCs/>
          <w:color w:val="C45911" w:themeColor="accent2" w:themeShade="BF"/>
        </w:rPr>
        <w:t>选项：小于1</w:t>
      </w:r>
      <w:r>
        <w:rPr>
          <w:b/>
          <w:bCs/>
          <w:color w:val="C45911" w:themeColor="accent2" w:themeShade="BF"/>
        </w:rPr>
        <w:t>5</w:t>
      </w:r>
      <w:r>
        <w:rPr>
          <w:rFonts w:hint="eastAsia"/>
          <w:b/>
          <w:bCs/>
          <w:color w:val="C45911" w:themeColor="accent2" w:themeShade="BF"/>
        </w:rPr>
        <w:t>%或大于3</w:t>
      </w:r>
      <w:r>
        <w:rPr>
          <w:b/>
          <w:bCs/>
          <w:color w:val="C45911" w:themeColor="accent2" w:themeShade="BF"/>
        </w:rPr>
        <w:t>0</w:t>
      </w:r>
      <w:r>
        <w:rPr>
          <w:rFonts w:hint="eastAsia"/>
          <w:b/>
          <w:bCs/>
          <w:color w:val="C45911" w:themeColor="accent2" w:themeShade="BF"/>
        </w:rPr>
        <w:t>%</w:t>
      </w:r>
      <w:r>
        <w:rPr>
          <w:b/>
          <w:bCs/>
          <w:color w:val="C45911" w:themeColor="accent2" w:themeShade="BF"/>
        </w:rPr>
        <w:t>)</w:t>
      </w:r>
      <w:r>
        <w:rPr>
          <w:rFonts w:hint="eastAsia"/>
        </w:rPr>
        <w:t>，说明</w:t>
      </w:r>
      <w:r>
        <w:rPr>
          <w:rFonts w:hint="eastAsia"/>
          <w:u w:val="single"/>
        </w:rPr>
        <w:t xml:space="preserve"> </w:t>
      </w:r>
      <w:r>
        <w:rPr>
          <w:u w:val="single"/>
        </w:rPr>
        <w:t xml:space="preserve">    </w:t>
      </w:r>
      <w:r>
        <w:rPr>
          <w:rFonts w:hint="eastAsia"/>
          <w:b/>
          <w:bCs/>
          <w:color w:val="C45911" w:themeColor="accent2" w:themeShade="BF"/>
        </w:rPr>
        <w:t>（参照以上期间费用率的思维导图得出结论）</w:t>
      </w:r>
    </w:p>
    <w:p w14:paraId="58CB2DE5" w14:textId="77777777" w:rsidR="00E629F3" w:rsidRDefault="00573FF2">
      <w:pPr>
        <w:pStyle w:val="01761"/>
      </w:pPr>
      <w:r>
        <w:rPr>
          <w:rFonts w:hint="eastAsia"/>
        </w:rPr>
        <w:t>4.根据分析得出结论</w:t>
      </w:r>
    </w:p>
    <w:p w14:paraId="05AC8DED" w14:textId="77777777" w:rsidR="00E629F3" w:rsidRDefault="00573FF2">
      <w:pPr>
        <w:pStyle w:val="017"/>
        <w:ind w:firstLineChars="200" w:firstLine="480"/>
      </w:pPr>
      <w:r>
        <w:rPr>
          <w:rFonts w:hint="eastAsia"/>
        </w:rPr>
        <w:t>洋河股份产品</w:t>
      </w:r>
      <w:r>
        <w:rPr>
          <w:rFonts w:hint="eastAsia"/>
          <w:u w:val="single"/>
        </w:rPr>
        <w:t xml:space="preserve"> </w:t>
      </w:r>
      <w:r>
        <w:rPr>
          <w:u w:val="single"/>
        </w:rPr>
        <w:t xml:space="preserve">    </w:t>
      </w:r>
      <w:r>
        <w:rPr>
          <w:rFonts w:hint="eastAsia"/>
          <w:b/>
          <w:bCs/>
          <w:color w:val="C45911" w:themeColor="accent2" w:themeShade="BF"/>
        </w:rPr>
        <w:t>（参照以上期间费用率的思维导图得出结论，选项：容易销售或者销售难度大）</w:t>
      </w:r>
      <w:r>
        <w:rPr>
          <w:rFonts w:hint="eastAsia"/>
        </w:rPr>
        <w:t>，销售风险相对</w:t>
      </w:r>
      <w:r>
        <w:rPr>
          <w:rFonts w:hint="eastAsia"/>
          <w:u w:val="single"/>
        </w:rPr>
        <w:t xml:space="preserve"> </w:t>
      </w:r>
      <w:r>
        <w:rPr>
          <w:u w:val="single"/>
        </w:rPr>
        <w:t xml:space="preserve">     </w:t>
      </w:r>
      <w:r>
        <w:rPr>
          <w:rFonts w:hint="eastAsia"/>
          <w:b/>
          <w:bCs/>
          <w:color w:val="C45911" w:themeColor="accent2" w:themeShade="BF"/>
        </w:rPr>
        <w:t>（参照以上期间费用率的思维导图得出结论，选项：较大或较小）</w:t>
      </w:r>
      <w:r>
        <w:rPr>
          <w:rFonts w:hint="eastAsia"/>
        </w:rPr>
        <w:t>。</w:t>
      </w:r>
    </w:p>
    <w:p w14:paraId="47CD6782" w14:textId="77777777" w:rsidR="00E629F3" w:rsidRDefault="00573FF2">
      <w:pPr>
        <w:pStyle w:val="3"/>
        <w:spacing w:line="360" w:lineRule="auto"/>
        <w:ind w:firstLine="643"/>
        <w:rPr>
          <w:rFonts w:ascii="KaiTi" w:eastAsia="KaiTi" w:hAnsi="KaiTi"/>
          <w:sz w:val="24"/>
        </w:rPr>
      </w:pPr>
      <w:r>
        <w:rPr>
          <w:rFonts w:ascii="KaiTi" w:eastAsia="KaiTi" w:hAnsi="KaiTi" w:hint="eastAsia"/>
        </w:rPr>
        <w:t>五、看主营利润率</w:t>
      </w:r>
      <w:r>
        <w:rPr>
          <w:rFonts w:ascii="KaiTi" w:eastAsia="KaiTi" w:hAnsi="KaiTi" w:hint="eastAsia"/>
          <w:sz w:val="24"/>
        </w:rPr>
        <w:t>（</w:t>
      </w:r>
      <w:r>
        <w:rPr>
          <w:rFonts w:ascii="KaiTi" w:eastAsia="KaiTi" w:hAnsi="KaiTi"/>
          <w:sz w:val="24"/>
        </w:rPr>
        <w:t>20</w:t>
      </w:r>
      <w:r>
        <w:rPr>
          <w:rFonts w:ascii="KaiTi" w:eastAsia="KaiTi" w:hAnsi="KaiTi" w:hint="eastAsia"/>
          <w:sz w:val="24"/>
        </w:rPr>
        <w:t>分）</w:t>
      </w:r>
    </w:p>
    <w:p w14:paraId="2E08B8B9" w14:textId="77777777" w:rsidR="00E629F3" w:rsidRDefault="00573FF2">
      <w:pPr>
        <w:pStyle w:val="01761"/>
      </w:pPr>
      <w:r>
        <w:rPr>
          <w:rFonts w:hint="eastAsia"/>
        </w:rPr>
        <w:t>1.分析思路</w:t>
      </w:r>
      <w:r>
        <w:rPr>
          <w:noProof/>
        </w:rPr>
        <w:drawing>
          <wp:inline distT="0" distB="0" distL="0" distR="0" wp14:anchorId="1AB02078" wp14:editId="71DA5570">
            <wp:extent cx="5367020" cy="4507865"/>
            <wp:effectExtent l="0" t="0" r="508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00089" cy="4535799"/>
                    </a:xfrm>
                    <a:prstGeom prst="rect">
                      <a:avLst/>
                    </a:prstGeom>
                    <a:noFill/>
                    <a:ln>
                      <a:noFill/>
                    </a:ln>
                  </pic:spPr>
                </pic:pic>
              </a:graphicData>
            </a:graphic>
          </wp:inline>
        </w:drawing>
      </w:r>
    </w:p>
    <w:p w14:paraId="1FA36A86" w14:textId="77777777" w:rsidR="00E629F3" w:rsidRDefault="00573FF2">
      <w:pPr>
        <w:pStyle w:val="01761"/>
      </w:pPr>
      <w:r>
        <w:rPr>
          <w:rFonts w:hint="eastAsia"/>
        </w:rPr>
        <w:t>2.数据收集汇总：营业收入、营业成本、四费、税金及附加、营业利润，并计算主营利润、主营利润率、主营利润/营业利润</w:t>
      </w:r>
    </w:p>
    <w:p w14:paraId="5B3A5DEF" w14:textId="77777777" w:rsidR="00E629F3" w:rsidRDefault="00573FF2">
      <w:pPr>
        <w:spacing w:line="360" w:lineRule="auto"/>
        <w:rPr>
          <w:rFonts w:ascii="KaiTi" w:eastAsia="KaiTi" w:hAnsi="KaiTi"/>
          <w:b/>
          <w:bCs/>
        </w:rPr>
      </w:pPr>
      <w:r>
        <w:rPr>
          <w:rFonts w:ascii="KaiTi" w:eastAsia="KaiTi" w:hAnsi="KaiTi"/>
        </w:rPr>
        <w:t xml:space="preserve">                                                      </w:t>
      </w:r>
      <w:r>
        <w:rPr>
          <w:rFonts w:ascii="KaiTi" w:eastAsia="KaiTi" w:hAnsi="KaiTi" w:hint="eastAsia"/>
          <w:b/>
          <w:bCs/>
        </w:rPr>
        <w:t>单位：亿元</w:t>
      </w:r>
    </w:p>
    <w:tbl>
      <w:tblPr>
        <w:tblW w:w="9067" w:type="dxa"/>
        <w:jc w:val="center"/>
        <w:tblLayout w:type="fixed"/>
        <w:tblLook w:val="04A0" w:firstRow="1" w:lastRow="0" w:firstColumn="1" w:lastColumn="0" w:noHBand="0" w:noVBand="1"/>
      </w:tblPr>
      <w:tblGrid>
        <w:gridCol w:w="2007"/>
        <w:gridCol w:w="1080"/>
        <w:gridCol w:w="1080"/>
        <w:gridCol w:w="1080"/>
        <w:gridCol w:w="1080"/>
        <w:gridCol w:w="1080"/>
        <w:gridCol w:w="1660"/>
      </w:tblGrid>
      <w:tr w:rsidR="00E629F3" w14:paraId="1886F5FE" w14:textId="77777777">
        <w:trPr>
          <w:trHeight w:val="454"/>
          <w:jc w:val="center"/>
        </w:trPr>
        <w:tc>
          <w:tcPr>
            <w:tcW w:w="2007" w:type="dxa"/>
            <w:tcBorders>
              <w:top w:val="single" w:sz="4" w:space="0" w:color="auto"/>
              <w:left w:val="single" w:sz="4" w:space="0" w:color="auto"/>
              <w:bottom w:val="single" w:sz="4" w:space="0" w:color="auto"/>
              <w:right w:val="single" w:sz="4" w:space="0" w:color="auto"/>
            </w:tcBorders>
            <w:shd w:val="clear" w:color="auto" w:fill="2E74B5" w:themeFill="accent5" w:themeFillShade="BF"/>
            <w:vAlign w:val="center"/>
          </w:tcPr>
          <w:p w14:paraId="6932900F"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2"/>
                <w:szCs w:val="22"/>
              </w:rPr>
              <w:t>看主营利润率</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3CD816A"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2016</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DEAA3EA"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2017</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7D9F0AC4"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018</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96CFB56"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019</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44F2EF14"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020</w:t>
            </w:r>
          </w:p>
        </w:tc>
        <w:tc>
          <w:tcPr>
            <w:tcW w:w="1660" w:type="dxa"/>
            <w:tcBorders>
              <w:top w:val="nil"/>
              <w:left w:val="nil"/>
              <w:bottom w:val="nil"/>
              <w:right w:val="nil"/>
            </w:tcBorders>
            <w:shd w:val="clear" w:color="auto" w:fill="auto"/>
            <w:noWrap/>
            <w:vAlign w:val="center"/>
          </w:tcPr>
          <w:p w14:paraId="36CAAE21" w14:textId="77777777" w:rsidR="00E629F3" w:rsidRDefault="00E629F3">
            <w:pPr>
              <w:spacing w:line="360" w:lineRule="auto"/>
              <w:jc w:val="center"/>
              <w:rPr>
                <w:rFonts w:ascii="KaiTi" w:eastAsia="KaiTi" w:hAnsi="KaiTi"/>
                <w:b/>
                <w:bCs/>
                <w:color w:val="FFFFFF"/>
                <w:sz w:val="20"/>
                <w:szCs w:val="20"/>
              </w:rPr>
            </w:pPr>
          </w:p>
        </w:tc>
      </w:tr>
      <w:tr w:rsidR="00E629F3" w14:paraId="09DBF6B3"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0C97C820"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①营业收入</w:t>
            </w:r>
          </w:p>
        </w:tc>
        <w:tc>
          <w:tcPr>
            <w:tcW w:w="1080" w:type="dxa"/>
            <w:tcBorders>
              <w:top w:val="nil"/>
              <w:left w:val="nil"/>
              <w:bottom w:val="single" w:sz="4" w:space="0" w:color="auto"/>
              <w:right w:val="single" w:sz="4" w:space="0" w:color="auto"/>
            </w:tcBorders>
            <w:shd w:val="clear" w:color="auto" w:fill="auto"/>
            <w:noWrap/>
            <w:vAlign w:val="center"/>
          </w:tcPr>
          <w:p w14:paraId="35E5259A"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171.83</w:t>
            </w:r>
          </w:p>
        </w:tc>
        <w:tc>
          <w:tcPr>
            <w:tcW w:w="1080" w:type="dxa"/>
            <w:tcBorders>
              <w:top w:val="nil"/>
              <w:left w:val="nil"/>
              <w:bottom w:val="single" w:sz="4" w:space="0" w:color="auto"/>
              <w:right w:val="single" w:sz="4" w:space="0" w:color="auto"/>
            </w:tcBorders>
            <w:shd w:val="clear" w:color="auto" w:fill="auto"/>
            <w:noWrap/>
            <w:vAlign w:val="center"/>
          </w:tcPr>
          <w:p w14:paraId="32E064B4"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199.18</w:t>
            </w:r>
          </w:p>
        </w:tc>
        <w:tc>
          <w:tcPr>
            <w:tcW w:w="1080" w:type="dxa"/>
            <w:tcBorders>
              <w:top w:val="nil"/>
              <w:left w:val="nil"/>
              <w:bottom w:val="single" w:sz="4" w:space="0" w:color="auto"/>
              <w:right w:val="single" w:sz="4" w:space="0" w:color="auto"/>
            </w:tcBorders>
            <w:shd w:val="clear" w:color="auto" w:fill="auto"/>
            <w:noWrap/>
            <w:vAlign w:val="center"/>
          </w:tcPr>
          <w:p w14:paraId="65842C7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241.60</w:t>
            </w:r>
          </w:p>
        </w:tc>
        <w:tc>
          <w:tcPr>
            <w:tcW w:w="1080" w:type="dxa"/>
            <w:tcBorders>
              <w:top w:val="nil"/>
              <w:left w:val="nil"/>
              <w:bottom w:val="single" w:sz="4" w:space="0" w:color="auto"/>
              <w:right w:val="single" w:sz="4" w:space="0" w:color="auto"/>
            </w:tcBorders>
            <w:shd w:val="clear" w:color="auto" w:fill="auto"/>
            <w:noWrap/>
            <w:vAlign w:val="center"/>
          </w:tcPr>
          <w:p w14:paraId="1AAB0B0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231.26</w:t>
            </w:r>
          </w:p>
        </w:tc>
        <w:tc>
          <w:tcPr>
            <w:tcW w:w="1080" w:type="dxa"/>
            <w:tcBorders>
              <w:top w:val="nil"/>
              <w:left w:val="nil"/>
              <w:bottom w:val="single" w:sz="4" w:space="0" w:color="auto"/>
              <w:right w:val="single" w:sz="4" w:space="0" w:color="auto"/>
            </w:tcBorders>
            <w:shd w:val="clear" w:color="000000" w:fill="FFFF00"/>
            <w:noWrap/>
            <w:vAlign w:val="center"/>
          </w:tcPr>
          <w:p w14:paraId="2ED3DD8C"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10E705F3" w14:textId="77777777" w:rsidR="00E629F3" w:rsidRDefault="00573FF2">
            <w:pPr>
              <w:spacing w:line="360" w:lineRule="auto"/>
              <w:rPr>
                <w:rFonts w:ascii="KaiTi" w:eastAsia="KaiTi" w:hAnsi="KaiTi"/>
                <w:color w:val="2F75B5"/>
              </w:rPr>
            </w:pPr>
            <w:r>
              <w:rPr>
                <w:rFonts w:ascii="KaiTi" w:eastAsia="KaiTi" w:hAnsi="KaiTi" w:hint="eastAsia"/>
                <w:color w:val="2F75B5"/>
              </w:rPr>
              <w:t>第一步已查</w:t>
            </w:r>
          </w:p>
        </w:tc>
      </w:tr>
      <w:tr w:rsidR="00E629F3" w14:paraId="241F26E4"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5693E613"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②营业成本</w:t>
            </w:r>
          </w:p>
        </w:tc>
        <w:tc>
          <w:tcPr>
            <w:tcW w:w="1080" w:type="dxa"/>
            <w:tcBorders>
              <w:top w:val="nil"/>
              <w:left w:val="nil"/>
              <w:bottom w:val="single" w:sz="4" w:space="0" w:color="auto"/>
              <w:right w:val="single" w:sz="4" w:space="0" w:color="auto"/>
            </w:tcBorders>
            <w:shd w:val="clear" w:color="auto" w:fill="auto"/>
            <w:noWrap/>
            <w:vAlign w:val="center"/>
          </w:tcPr>
          <w:p w14:paraId="02EE57D3"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62.03</w:t>
            </w:r>
          </w:p>
        </w:tc>
        <w:tc>
          <w:tcPr>
            <w:tcW w:w="1080" w:type="dxa"/>
            <w:tcBorders>
              <w:top w:val="nil"/>
              <w:left w:val="nil"/>
              <w:bottom w:val="single" w:sz="4" w:space="0" w:color="auto"/>
              <w:right w:val="single" w:sz="4" w:space="0" w:color="auto"/>
            </w:tcBorders>
            <w:shd w:val="clear" w:color="auto" w:fill="auto"/>
            <w:noWrap/>
            <w:vAlign w:val="center"/>
          </w:tcPr>
          <w:p w14:paraId="0CABE2D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66.81</w:t>
            </w:r>
          </w:p>
        </w:tc>
        <w:tc>
          <w:tcPr>
            <w:tcW w:w="1080" w:type="dxa"/>
            <w:tcBorders>
              <w:top w:val="nil"/>
              <w:left w:val="nil"/>
              <w:bottom w:val="single" w:sz="4" w:space="0" w:color="auto"/>
              <w:right w:val="single" w:sz="4" w:space="0" w:color="auto"/>
            </w:tcBorders>
            <w:shd w:val="clear" w:color="auto" w:fill="auto"/>
            <w:noWrap/>
            <w:vAlign w:val="center"/>
          </w:tcPr>
          <w:p w14:paraId="392B0E61"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63.53</w:t>
            </w:r>
          </w:p>
        </w:tc>
        <w:tc>
          <w:tcPr>
            <w:tcW w:w="1080" w:type="dxa"/>
            <w:tcBorders>
              <w:top w:val="nil"/>
              <w:left w:val="nil"/>
              <w:bottom w:val="single" w:sz="4" w:space="0" w:color="auto"/>
              <w:right w:val="single" w:sz="4" w:space="0" w:color="auto"/>
            </w:tcBorders>
            <w:shd w:val="clear" w:color="auto" w:fill="auto"/>
            <w:noWrap/>
            <w:vAlign w:val="center"/>
          </w:tcPr>
          <w:p w14:paraId="43D384C2"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66.26</w:t>
            </w:r>
          </w:p>
        </w:tc>
        <w:tc>
          <w:tcPr>
            <w:tcW w:w="1080" w:type="dxa"/>
            <w:tcBorders>
              <w:top w:val="nil"/>
              <w:left w:val="nil"/>
              <w:bottom w:val="single" w:sz="4" w:space="0" w:color="auto"/>
              <w:right w:val="single" w:sz="4" w:space="0" w:color="auto"/>
            </w:tcBorders>
            <w:shd w:val="clear" w:color="000000" w:fill="FFFF00"/>
            <w:noWrap/>
            <w:vAlign w:val="center"/>
          </w:tcPr>
          <w:p w14:paraId="2498D5C1"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164D0756" w14:textId="77777777" w:rsidR="00E629F3" w:rsidRDefault="00573FF2">
            <w:pPr>
              <w:spacing w:line="360" w:lineRule="auto"/>
              <w:rPr>
                <w:rFonts w:ascii="KaiTi" w:eastAsia="KaiTi" w:hAnsi="KaiTi"/>
                <w:color w:val="2F75B5"/>
              </w:rPr>
            </w:pPr>
            <w:r>
              <w:rPr>
                <w:rFonts w:ascii="KaiTi" w:eastAsia="KaiTi" w:hAnsi="KaiTi" w:hint="eastAsia"/>
                <w:color w:val="2F75B5"/>
              </w:rPr>
              <w:t>第二步已查</w:t>
            </w:r>
          </w:p>
        </w:tc>
      </w:tr>
      <w:tr w:rsidR="00E629F3" w14:paraId="7C142931"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5A23B897"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销售费用</w:t>
            </w:r>
          </w:p>
        </w:tc>
        <w:tc>
          <w:tcPr>
            <w:tcW w:w="1080" w:type="dxa"/>
            <w:tcBorders>
              <w:top w:val="nil"/>
              <w:left w:val="nil"/>
              <w:bottom w:val="single" w:sz="4" w:space="0" w:color="auto"/>
              <w:right w:val="single" w:sz="4" w:space="0" w:color="auto"/>
            </w:tcBorders>
            <w:shd w:val="clear" w:color="auto" w:fill="auto"/>
            <w:noWrap/>
            <w:vAlign w:val="center"/>
          </w:tcPr>
          <w:p w14:paraId="276D68C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18.69</w:t>
            </w:r>
          </w:p>
        </w:tc>
        <w:tc>
          <w:tcPr>
            <w:tcW w:w="1080" w:type="dxa"/>
            <w:tcBorders>
              <w:top w:val="nil"/>
              <w:left w:val="nil"/>
              <w:bottom w:val="single" w:sz="4" w:space="0" w:color="auto"/>
              <w:right w:val="single" w:sz="4" w:space="0" w:color="auto"/>
            </w:tcBorders>
            <w:shd w:val="clear" w:color="auto" w:fill="auto"/>
            <w:noWrap/>
            <w:vAlign w:val="center"/>
          </w:tcPr>
          <w:p w14:paraId="2B5A4230"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23.87</w:t>
            </w:r>
          </w:p>
        </w:tc>
        <w:tc>
          <w:tcPr>
            <w:tcW w:w="1080" w:type="dxa"/>
            <w:tcBorders>
              <w:top w:val="nil"/>
              <w:left w:val="nil"/>
              <w:bottom w:val="single" w:sz="4" w:space="0" w:color="auto"/>
              <w:right w:val="single" w:sz="4" w:space="0" w:color="auto"/>
            </w:tcBorders>
            <w:shd w:val="clear" w:color="auto" w:fill="auto"/>
            <w:noWrap/>
            <w:vAlign w:val="center"/>
          </w:tcPr>
          <w:p w14:paraId="40A9EA61"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25.61</w:t>
            </w:r>
          </w:p>
        </w:tc>
        <w:tc>
          <w:tcPr>
            <w:tcW w:w="1080" w:type="dxa"/>
            <w:tcBorders>
              <w:top w:val="nil"/>
              <w:left w:val="nil"/>
              <w:bottom w:val="single" w:sz="4" w:space="0" w:color="auto"/>
              <w:right w:val="single" w:sz="4" w:space="0" w:color="auto"/>
            </w:tcBorders>
            <w:shd w:val="clear" w:color="auto" w:fill="auto"/>
            <w:noWrap/>
            <w:vAlign w:val="center"/>
          </w:tcPr>
          <w:p w14:paraId="519154E4"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26.92</w:t>
            </w:r>
          </w:p>
        </w:tc>
        <w:tc>
          <w:tcPr>
            <w:tcW w:w="1080" w:type="dxa"/>
            <w:tcBorders>
              <w:top w:val="nil"/>
              <w:left w:val="nil"/>
              <w:bottom w:val="single" w:sz="4" w:space="0" w:color="auto"/>
              <w:right w:val="single" w:sz="4" w:space="0" w:color="auto"/>
            </w:tcBorders>
            <w:shd w:val="clear" w:color="000000" w:fill="FFFFFF"/>
            <w:noWrap/>
            <w:vAlign w:val="center"/>
          </w:tcPr>
          <w:p w14:paraId="4F729DDF" w14:textId="77777777" w:rsidR="00E629F3" w:rsidRDefault="00573FF2">
            <w:pPr>
              <w:spacing w:line="360" w:lineRule="auto"/>
              <w:jc w:val="right"/>
              <w:rPr>
                <w:rFonts w:ascii="KaiTi" w:eastAsia="KaiTi" w:hAnsi="KaiTi" w:cs="Arial"/>
                <w:color w:val="FF0000"/>
                <w:sz w:val="20"/>
                <w:szCs w:val="20"/>
              </w:rPr>
            </w:pPr>
            <w:r>
              <w:rPr>
                <w:rFonts w:ascii="KaiTi" w:eastAsia="KaiTi" w:hAnsi="KaiTi" w:cs="Arial"/>
                <w:sz w:val="20"/>
                <w:szCs w:val="20"/>
              </w:rPr>
              <w:t>26.04</w:t>
            </w:r>
          </w:p>
        </w:tc>
        <w:tc>
          <w:tcPr>
            <w:tcW w:w="1660" w:type="dxa"/>
            <w:tcBorders>
              <w:top w:val="nil"/>
              <w:left w:val="nil"/>
              <w:bottom w:val="nil"/>
              <w:right w:val="nil"/>
            </w:tcBorders>
            <w:shd w:val="clear" w:color="auto" w:fill="auto"/>
            <w:noWrap/>
            <w:vAlign w:val="center"/>
          </w:tcPr>
          <w:p w14:paraId="7B1F5531" w14:textId="77777777" w:rsidR="00E629F3" w:rsidRDefault="00E629F3">
            <w:pPr>
              <w:spacing w:line="360" w:lineRule="auto"/>
              <w:jc w:val="right"/>
              <w:rPr>
                <w:rFonts w:ascii="KaiTi" w:eastAsia="KaiTi" w:hAnsi="KaiTi" w:cs="Arial"/>
                <w:sz w:val="20"/>
                <w:szCs w:val="20"/>
              </w:rPr>
            </w:pPr>
          </w:p>
        </w:tc>
      </w:tr>
      <w:tr w:rsidR="00E629F3" w14:paraId="5DBAAEBC"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2C7D2853"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管理费用</w:t>
            </w:r>
          </w:p>
        </w:tc>
        <w:tc>
          <w:tcPr>
            <w:tcW w:w="1080" w:type="dxa"/>
            <w:tcBorders>
              <w:top w:val="nil"/>
              <w:left w:val="nil"/>
              <w:bottom w:val="single" w:sz="4" w:space="0" w:color="auto"/>
              <w:right w:val="single" w:sz="4" w:space="0" w:color="auto"/>
            </w:tcBorders>
            <w:shd w:val="clear" w:color="auto" w:fill="auto"/>
            <w:noWrap/>
            <w:vAlign w:val="center"/>
          </w:tcPr>
          <w:p w14:paraId="5880C4C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15.82</w:t>
            </w:r>
          </w:p>
        </w:tc>
        <w:tc>
          <w:tcPr>
            <w:tcW w:w="1080" w:type="dxa"/>
            <w:tcBorders>
              <w:top w:val="nil"/>
              <w:left w:val="nil"/>
              <w:bottom w:val="single" w:sz="4" w:space="0" w:color="auto"/>
              <w:right w:val="single" w:sz="4" w:space="0" w:color="auto"/>
            </w:tcBorders>
            <w:shd w:val="clear" w:color="auto" w:fill="auto"/>
            <w:noWrap/>
            <w:vAlign w:val="center"/>
          </w:tcPr>
          <w:p w14:paraId="5F0AE5B4"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15.32</w:t>
            </w:r>
          </w:p>
        </w:tc>
        <w:tc>
          <w:tcPr>
            <w:tcW w:w="1080" w:type="dxa"/>
            <w:tcBorders>
              <w:top w:val="nil"/>
              <w:left w:val="nil"/>
              <w:bottom w:val="single" w:sz="4" w:space="0" w:color="auto"/>
              <w:right w:val="single" w:sz="4" w:space="0" w:color="auto"/>
            </w:tcBorders>
            <w:shd w:val="clear" w:color="auto" w:fill="auto"/>
            <w:noWrap/>
            <w:vAlign w:val="center"/>
          </w:tcPr>
          <w:p w14:paraId="401B268C"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17.04</w:t>
            </w:r>
          </w:p>
        </w:tc>
        <w:tc>
          <w:tcPr>
            <w:tcW w:w="1080" w:type="dxa"/>
            <w:tcBorders>
              <w:top w:val="nil"/>
              <w:left w:val="nil"/>
              <w:bottom w:val="single" w:sz="4" w:space="0" w:color="auto"/>
              <w:right w:val="single" w:sz="4" w:space="0" w:color="auto"/>
            </w:tcBorders>
            <w:shd w:val="clear" w:color="auto" w:fill="auto"/>
            <w:noWrap/>
            <w:vAlign w:val="center"/>
          </w:tcPr>
          <w:p w14:paraId="6CA2A1DF"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18.56</w:t>
            </w:r>
          </w:p>
        </w:tc>
        <w:tc>
          <w:tcPr>
            <w:tcW w:w="1080" w:type="dxa"/>
            <w:tcBorders>
              <w:top w:val="nil"/>
              <w:left w:val="nil"/>
              <w:bottom w:val="single" w:sz="4" w:space="0" w:color="auto"/>
              <w:right w:val="single" w:sz="4" w:space="0" w:color="auto"/>
            </w:tcBorders>
            <w:shd w:val="clear" w:color="000000" w:fill="FFFFFF"/>
            <w:noWrap/>
            <w:vAlign w:val="center"/>
          </w:tcPr>
          <w:p w14:paraId="3628E01F" w14:textId="77777777" w:rsidR="00E629F3" w:rsidRDefault="00573FF2">
            <w:pPr>
              <w:spacing w:line="360" w:lineRule="auto"/>
              <w:jc w:val="right"/>
              <w:rPr>
                <w:rFonts w:ascii="KaiTi" w:eastAsia="KaiTi" w:hAnsi="KaiTi" w:cs="Arial"/>
                <w:color w:val="FF0000"/>
                <w:sz w:val="20"/>
                <w:szCs w:val="20"/>
              </w:rPr>
            </w:pPr>
            <w:r>
              <w:rPr>
                <w:rFonts w:ascii="KaiTi" w:eastAsia="KaiTi" w:hAnsi="KaiTi" w:cs="Arial"/>
                <w:sz w:val="20"/>
                <w:szCs w:val="20"/>
              </w:rPr>
              <w:t>17.29</w:t>
            </w:r>
          </w:p>
        </w:tc>
        <w:tc>
          <w:tcPr>
            <w:tcW w:w="1660" w:type="dxa"/>
            <w:tcBorders>
              <w:top w:val="nil"/>
              <w:left w:val="nil"/>
              <w:bottom w:val="nil"/>
              <w:right w:val="nil"/>
            </w:tcBorders>
            <w:shd w:val="clear" w:color="auto" w:fill="auto"/>
            <w:noWrap/>
            <w:vAlign w:val="center"/>
          </w:tcPr>
          <w:p w14:paraId="592AE5B1" w14:textId="77777777" w:rsidR="00E629F3" w:rsidRDefault="00E629F3">
            <w:pPr>
              <w:spacing w:line="360" w:lineRule="auto"/>
              <w:jc w:val="right"/>
              <w:rPr>
                <w:rFonts w:ascii="KaiTi" w:eastAsia="KaiTi" w:hAnsi="KaiTi" w:cs="Arial"/>
                <w:sz w:val="20"/>
                <w:szCs w:val="20"/>
              </w:rPr>
            </w:pPr>
          </w:p>
        </w:tc>
      </w:tr>
      <w:tr w:rsidR="00E629F3" w14:paraId="33B0FE35"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5DCE50AA"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研发费用</w:t>
            </w:r>
          </w:p>
        </w:tc>
        <w:tc>
          <w:tcPr>
            <w:tcW w:w="1080" w:type="dxa"/>
            <w:tcBorders>
              <w:top w:val="nil"/>
              <w:left w:val="nil"/>
              <w:bottom w:val="single" w:sz="4" w:space="0" w:color="auto"/>
              <w:right w:val="single" w:sz="4" w:space="0" w:color="auto"/>
            </w:tcBorders>
            <w:shd w:val="clear" w:color="auto" w:fill="auto"/>
            <w:noWrap/>
            <w:vAlign w:val="center"/>
          </w:tcPr>
          <w:p w14:paraId="4EF978F3"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w:t>
            </w:r>
          </w:p>
        </w:tc>
        <w:tc>
          <w:tcPr>
            <w:tcW w:w="1080" w:type="dxa"/>
            <w:tcBorders>
              <w:top w:val="nil"/>
              <w:left w:val="nil"/>
              <w:bottom w:val="single" w:sz="4" w:space="0" w:color="auto"/>
              <w:right w:val="single" w:sz="4" w:space="0" w:color="auto"/>
            </w:tcBorders>
            <w:shd w:val="clear" w:color="auto" w:fill="auto"/>
            <w:noWrap/>
            <w:vAlign w:val="center"/>
          </w:tcPr>
          <w:p w14:paraId="53A1F165"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w:t>
            </w:r>
          </w:p>
        </w:tc>
        <w:tc>
          <w:tcPr>
            <w:tcW w:w="1080" w:type="dxa"/>
            <w:tcBorders>
              <w:top w:val="nil"/>
              <w:left w:val="nil"/>
              <w:bottom w:val="single" w:sz="4" w:space="0" w:color="auto"/>
              <w:right w:val="single" w:sz="4" w:space="0" w:color="auto"/>
            </w:tcBorders>
            <w:shd w:val="clear" w:color="auto" w:fill="auto"/>
            <w:noWrap/>
            <w:vAlign w:val="center"/>
          </w:tcPr>
          <w:p w14:paraId="06B697D8"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0.28</w:t>
            </w:r>
          </w:p>
        </w:tc>
        <w:tc>
          <w:tcPr>
            <w:tcW w:w="1080" w:type="dxa"/>
            <w:tcBorders>
              <w:top w:val="nil"/>
              <w:left w:val="nil"/>
              <w:bottom w:val="single" w:sz="4" w:space="0" w:color="auto"/>
              <w:right w:val="single" w:sz="4" w:space="0" w:color="auto"/>
            </w:tcBorders>
            <w:shd w:val="clear" w:color="auto" w:fill="auto"/>
            <w:noWrap/>
            <w:vAlign w:val="center"/>
          </w:tcPr>
          <w:p w14:paraId="25EBFF61"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1.60</w:t>
            </w:r>
          </w:p>
        </w:tc>
        <w:tc>
          <w:tcPr>
            <w:tcW w:w="1080" w:type="dxa"/>
            <w:tcBorders>
              <w:top w:val="nil"/>
              <w:left w:val="nil"/>
              <w:bottom w:val="single" w:sz="4" w:space="0" w:color="auto"/>
              <w:right w:val="single" w:sz="4" w:space="0" w:color="auto"/>
            </w:tcBorders>
            <w:shd w:val="clear" w:color="000000" w:fill="FFFFFF"/>
            <w:noWrap/>
            <w:vAlign w:val="center"/>
          </w:tcPr>
          <w:p w14:paraId="69B0F1C5" w14:textId="77777777" w:rsidR="00E629F3" w:rsidRDefault="00573FF2">
            <w:pPr>
              <w:spacing w:line="360" w:lineRule="auto"/>
              <w:jc w:val="right"/>
              <w:rPr>
                <w:rFonts w:ascii="KaiTi" w:eastAsia="KaiTi" w:hAnsi="KaiTi" w:cs="Arial"/>
                <w:color w:val="FF0000"/>
                <w:sz w:val="20"/>
                <w:szCs w:val="20"/>
              </w:rPr>
            </w:pPr>
            <w:r>
              <w:rPr>
                <w:rFonts w:ascii="KaiTi" w:eastAsia="KaiTi" w:hAnsi="KaiTi" w:cs="Arial"/>
                <w:sz w:val="20"/>
                <w:szCs w:val="20"/>
              </w:rPr>
              <w:t>2.60</w:t>
            </w:r>
          </w:p>
        </w:tc>
        <w:tc>
          <w:tcPr>
            <w:tcW w:w="1660" w:type="dxa"/>
            <w:tcBorders>
              <w:top w:val="nil"/>
              <w:left w:val="nil"/>
              <w:bottom w:val="nil"/>
              <w:right w:val="nil"/>
            </w:tcBorders>
            <w:shd w:val="clear" w:color="auto" w:fill="auto"/>
            <w:noWrap/>
            <w:vAlign w:val="center"/>
          </w:tcPr>
          <w:p w14:paraId="443801FC" w14:textId="77777777" w:rsidR="00E629F3" w:rsidRDefault="00E629F3">
            <w:pPr>
              <w:spacing w:line="360" w:lineRule="auto"/>
              <w:jc w:val="right"/>
              <w:rPr>
                <w:rFonts w:ascii="KaiTi" w:eastAsia="KaiTi" w:hAnsi="KaiTi" w:cs="Arial"/>
                <w:sz w:val="20"/>
                <w:szCs w:val="20"/>
              </w:rPr>
            </w:pPr>
          </w:p>
        </w:tc>
      </w:tr>
      <w:tr w:rsidR="00E629F3" w14:paraId="27888C61"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2815130B"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财务费用</w:t>
            </w:r>
          </w:p>
        </w:tc>
        <w:tc>
          <w:tcPr>
            <w:tcW w:w="1080" w:type="dxa"/>
            <w:tcBorders>
              <w:top w:val="nil"/>
              <w:left w:val="nil"/>
              <w:bottom w:val="single" w:sz="4" w:space="0" w:color="auto"/>
              <w:right w:val="single" w:sz="4" w:space="0" w:color="auto"/>
            </w:tcBorders>
            <w:shd w:val="clear" w:color="auto" w:fill="auto"/>
            <w:noWrap/>
            <w:vAlign w:val="center"/>
          </w:tcPr>
          <w:p w14:paraId="4B885407"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-0.09</w:t>
            </w:r>
          </w:p>
        </w:tc>
        <w:tc>
          <w:tcPr>
            <w:tcW w:w="1080" w:type="dxa"/>
            <w:tcBorders>
              <w:top w:val="nil"/>
              <w:left w:val="nil"/>
              <w:bottom w:val="single" w:sz="4" w:space="0" w:color="auto"/>
              <w:right w:val="single" w:sz="4" w:space="0" w:color="auto"/>
            </w:tcBorders>
            <w:shd w:val="clear" w:color="auto" w:fill="auto"/>
            <w:noWrap/>
            <w:vAlign w:val="center"/>
          </w:tcPr>
          <w:p w14:paraId="480C71E0"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-0.34</w:t>
            </w:r>
          </w:p>
        </w:tc>
        <w:tc>
          <w:tcPr>
            <w:tcW w:w="1080" w:type="dxa"/>
            <w:tcBorders>
              <w:top w:val="nil"/>
              <w:left w:val="nil"/>
              <w:bottom w:val="single" w:sz="4" w:space="0" w:color="auto"/>
              <w:right w:val="single" w:sz="4" w:space="0" w:color="auto"/>
            </w:tcBorders>
            <w:shd w:val="clear" w:color="auto" w:fill="auto"/>
            <w:noWrap/>
            <w:vAlign w:val="center"/>
          </w:tcPr>
          <w:p w14:paraId="20797658"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-0.65</w:t>
            </w:r>
          </w:p>
        </w:tc>
        <w:tc>
          <w:tcPr>
            <w:tcW w:w="1080" w:type="dxa"/>
            <w:tcBorders>
              <w:top w:val="nil"/>
              <w:left w:val="nil"/>
              <w:bottom w:val="single" w:sz="4" w:space="0" w:color="auto"/>
              <w:right w:val="single" w:sz="4" w:space="0" w:color="auto"/>
            </w:tcBorders>
            <w:shd w:val="clear" w:color="auto" w:fill="auto"/>
            <w:noWrap/>
            <w:vAlign w:val="center"/>
          </w:tcPr>
          <w:p w14:paraId="6EBDCAE2"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-0.78</w:t>
            </w:r>
          </w:p>
        </w:tc>
        <w:tc>
          <w:tcPr>
            <w:tcW w:w="1080" w:type="dxa"/>
            <w:tcBorders>
              <w:top w:val="nil"/>
              <w:left w:val="nil"/>
              <w:bottom w:val="single" w:sz="4" w:space="0" w:color="auto"/>
              <w:right w:val="single" w:sz="4" w:space="0" w:color="auto"/>
            </w:tcBorders>
            <w:shd w:val="clear" w:color="000000" w:fill="FFFF00"/>
            <w:noWrap/>
            <w:vAlign w:val="center"/>
          </w:tcPr>
          <w:p w14:paraId="021D33CC"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3558B79B" w14:textId="77777777" w:rsidR="00E629F3" w:rsidRDefault="00573FF2">
            <w:pPr>
              <w:spacing w:line="360" w:lineRule="auto"/>
              <w:rPr>
                <w:rFonts w:ascii="KaiTi" w:eastAsia="KaiTi" w:hAnsi="KaiTi"/>
                <w:color w:val="2F75B5"/>
              </w:rPr>
            </w:pPr>
            <w:r>
              <w:rPr>
                <w:rFonts w:ascii="KaiTi" w:eastAsia="KaiTi" w:hAnsi="KaiTi" w:hint="eastAsia"/>
                <w:color w:val="2F75B5"/>
              </w:rPr>
              <w:t>第三步已查</w:t>
            </w:r>
          </w:p>
        </w:tc>
      </w:tr>
      <w:tr w:rsidR="00E629F3" w14:paraId="604A0432"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3C7E3244"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③期间费用合计</w:t>
            </w:r>
          </w:p>
        </w:tc>
        <w:tc>
          <w:tcPr>
            <w:tcW w:w="1080" w:type="dxa"/>
            <w:tcBorders>
              <w:top w:val="nil"/>
              <w:left w:val="nil"/>
              <w:bottom w:val="single" w:sz="4" w:space="0" w:color="auto"/>
              <w:right w:val="single" w:sz="4" w:space="0" w:color="auto"/>
            </w:tcBorders>
            <w:shd w:val="clear" w:color="000000" w:fill="FFFFFF"/>
            <w:noWrap/>
            <w:vAlign w:val="center"/>
          </w:tcPr>
          <w:p w14:paraId="505B2A0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34.51</w:t>
            </w:r>
          </w:p>
        </w:tc>
        <w:tc>
          <w:tcPr>
            <w:tcW w:w="1080" w:type="dxa"/>
            <w:tcBorders>
              <w:top w:val="nil"/>
              <w:left w:val="nil"/>
              <w:bottom w:val="single" w:sz="4" w:space="0" w:color="auto"/>
              <w:right w:val="single" w:sz="4" w:space="0" w:color="auto"/>
            </w:tcBorders>
            <w:shd w:val="clear" w:color="000000" w:fill="FFFFFF"/>
            <w:noWrap/>
            <w:vAlign w:val="center"/>
          </w:tcPr>
          <w:p w14:paraId="54691C46"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39.20</w:t>
            </w:r>
          </w:p>
        </w:tc>
        <w:tc>
          <w:tcPr>
            <w:tcW w:w="1080" w:type="dxa"/>
            <w:tcBorders>
              <w:top w:val="nil"/>
              <w:left w:val="nil"/>
              <w:bottom w:val="single" w:sz="4" w:space="0" w:color="auto"/>
              <w:right w:val="single" w:sz="4" w:space="0" w:color="auto"/>
            </w:tcBorders>
            <w:shd w:val="clear" w:color="000000" w:fill="FFFFFF"/>
            <w:noWrap/>
            <w:vAlign w:val="center"/>
          </w:tcPr>
          <w:p w14:paraId="5F6E8451"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42.93</w:t>
            </w:r>
          </w:p>
        </w:tc>
        <w:tc>
          <w:tcPr>
            <w:tcW w:w="1080" w:type="dxa"/>
            <w:tcBorders>
              <w:top w:val="nil"/>
              <w:left w:val="nil"/>
              <w:bottom w:val="single" w:sz="4" w:space="0" w:color="auto"/>
              <w:right w:val="single" w:sz="4" w:space="0" w:color="auto"/>
            </w:tcBorders>
            <w:shd w:val="clear" w:color="000000" w:fill="FFFFFF"/>
            <w:noWrap/>
            <w:vAlign w:val="center"/>
          </w:tcPr>
          <w:p w14:paraId="2DD6FDE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47.08</w:t>
            </w:r>
          </w:p>
        </w:tc>
        <w:tc>
          <w:tcPr>
            <w:tcW w:w="1080" w:type="dxa"/>
            <w:tcBorders>
              <w:top w:val="nil"/>
              <w:left w:val="nil"/>
              <w:bottom w:val="single" w:sz="4" w:space="0" w:color="auto"/>
              <w:right w:val="single" w:sz="4" w:space="0" w:color="auto"/>
            </w:tcBorders>
            <w:shd w:val="clear" w:color="000000" w:fill="FFFF00"/>
            <w:noWrap/>
            <w:vAlign w:val="center"/>
          </w:tcPr>
          <w:p w14:paraId="2BD85985"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25EF16CA" w14:textId="77777777" w:rsidR="00E629F3" w:rsidRDefault="00573FF2">
            <w:pPr>
              <w:spacing w:line="360" w:lineRule="auto"/>
              <w:rPr>
                <w:rFonts w:ascii="KaiTi" w:eastAsia="KaiTi" w:hAnsi="KaiTi"/>
                <w:color w:val="2F75B5"/>
              </w:rPr>
            </w:pPr>
            <w:r>
              <w:rPr>
                <w:rFonts w:ascii="KaiTi" w:eastAsia="KaiTi" w:hAnsi="KaiTi" w:hint="eastAsia"/>
                <w:color w:val="2F75B5"/>
              </w:rPr>
              <w:t>第三步已计算</w:t>
            </w:r>
          </w:p>
        </w:tc>
      </w:tr>
      <w:tr w:rsidR="00E629F3" w14:paraId="4BEC6CCC"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128FD094"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④税金及附加</w:t>
            </w:r>
          </w:p>
        </w:tc>
        <w:tc>
          <w:tcPr>
            <w:tcW w:w="1080" w:type="dxa"/>
            <w:tcBorders>
              <w:top w:val="nil"/>
              <w:left w:val="nil"/>
              <w:bottom w:val="single" w:sz="4" w:space="0" w:color="auto"/>
              <w:right w:val="single" w:sz="4" w:space="0" w:color="auto"/>
            </w:tcBorders>
            <w:shd w:val="clear" w:color="auto" w:fill="auto"/>
            <w:noWrap/>
            <w:vAlign w:val="center"/>
          </w:tcPr>
          <w:p w14:paraId="32416C26"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3.10</w:t>
            </w:r>
          </w:p>
        </w:tc>
        <w:tc>
          <w:tcPr>
            <w:tcW w:w="1080" w:type="dxa"/>
            <w:tcBorders>
              <w:top w:val="nil"/>
              <w:left w:val="nil"/>
              <w:bottom w:val="single" w:sz="4" w:space="0" w:color="auto"/>
              <w:right w:val="single" w:sz="4" w:space="0" w:color="auto"/>
            </w:tcBorders>
            <w:shd w:val="clear" w:color="auto" w:fill="auto"/>
            <w:noWrap/>
            <w:vAlign w:val="center"/>
          </w:tcPr>
          <w:p w14:paraId="12DEB1F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11.52</w:t>
            </w:r>
          </w:p>
        </w:tc>
        <w:tc>
          <w:tcPr>
            <w:tcW w:w="1080" w:type="dxa"/>
            <w:tcBorders>
              <w:top w:val="nil"/>
              <w:left w:val="nil"/>
              <w:bottom w:val="single" w:sz="4" w:space="0" w:color="auto"/>
              <w:right w:val="single" w:sz="4" w:space="0" w:color="auto"/>
            </w:tcBorders>
            <w:shd w:val="clear" w:color="auto" w:fill="auto"/>
            <w:noWrap/>
            <w:vAlign w:val="center"/>
          </w:tcPr>
          <w:p w14:paraId="045F1BF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37.70</w:t>
            </w:r>
          </w:p>
        </w:tc>
        <w:tc>
          <w:tcPr>
            <w:tcW w:w="1080" w:type="dxa"/>
            <w:tcBorders>
              <w:top w:val="nil"/>
              <w:left w:val="nil"/>
              <w:bottom w:val="single" w:sz="4" w:space="0" w:color="auto"/>
              <w:right w:val="single" w:sz="4" w:space="0" w:color="auto"/>
            </w:tcBorders>
            <w:shd w:val="clear" w:color="auto" w:fill="auto"/>
            <w:noWrap/>
            <w:vAlign w:val="center"/>
          </w:tcPr>
          <w:p w14:paraId="4FC19406"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32.01</w:t>
            </w:r>
          </w:p>
        </w:tc>
        <w:tc>
          <w:tcPr>
            <w:tcW w:w="1080" w:type="dxa"/>
            <w:tcBorders>
              <w:top w:val="nil"/>
              <w:left w:val="nil"/>
              <w:bottom w:val="single" w:sz="4" w:space="0" w:color="auto"/>
              <w:right w:val="single" w:sz="4" w:space="0" w:color="auto"/>
            </w:tcBorders>
            <w:shd w:val="clear" w:color="000000" w:fill="FFFF00"/>
            <w:noWrap/>
            <w:vAlign w:val="center"/>
          </w:tcPr>
          <w:p w14:paraId="50587F39"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6E158DC3" w14:textId="77777777" w:rsidR="00E629F3" w:rsidRDefault="00573FF2">
            <w:pPr>
              <w:spacing w:line="360" w:lineRule="auto"/>
              <w:rPr>
                <w:rFonts w:ascii="KaiTi" w:eastAsia="KaiTi" w:hAnsi="KaiTi"/>
                <w:color w:val="2F75B5"/>
              </w:rPr>
            </w:pPr>
            <w:r>
              <w:rPr>
                <w:rFonts w:ascii="KaiTi" w:eastAsia="KaiTi" w:hAnsi="KaiTi" w:hint="eastAsia"/>
                <w:color w:val="2F75B5"/>
              </w:rPr>
              <w:t>解析4</w:t>
            </w:r>
          </w:p>
        </w:tc>
      </w:tr>
      <w:tr w:rsidR="00E629F3" w14:paraId="4A739C6B"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4816AACC" w14:textId="77777777" w:rsidR="00E629F3" w:rsidRDefault="00573FF2">
            <w:pPr>
              <w:spacing w:line="360" w:lineRule="auto"/>
              <w:jc w:val="center"/>
              <w:rPr>
                <w:rFonts w:ascii="KaiTi" w:eastAsia="KaiTi" w:hAnsi="KaiTi"/>
                <w:sz w:val="21"/>
                <w:szCs w:val="21"/>
              </w:rPr>
            </w:pPr>
            <w:r>
              <w:rPr>
                <w:rFonts w:ascii="KaiTi" w:eastAsia="KaiTi" w:hAnsi="KaiTi" w:hint="eastAsia"/>
                <w:sz w:val="21"/>
                <w:szCs w:val="21"/>
              </w:rPr>
              <w:t>营业利润</w:t>
            </w:r>
          </w:p>
        </w:tc>
        <w:tc>
          <w:tcPr>
            <w:tcW w:w="1080" w:type="dxa"/>
            <w:tcBorders>
              <w:top w:val="nil"/>
              <w:left w:val="nil"/>
              <w:bottom w:val="single" w:sz="4" w:space="0" w:color="auto"/>
              <w:right w:val="single" w:sz="4" w:space="0" w:color="auto"/>
            </w:tcBorders>
            <w:shd w:val="clear" w:color="auto" w:fill="auto"/>
            <w:noWrap/>
            <w:vAlign w:val="center"/>
          </w:tcPr>
          <w:p w14:paraId="28A32209"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77.27</w:t>
            </w:r>
          </w:p>
        </w:tc>
        <w:tc>
          <w:tcPr>
            <w:tcW w:w="1080" w:type="dxa"/>
            <w:tcBorders>
              <w:top w:val="nil"/>
              <w:left w:val="nil"/>
              <w:bottom w:val="single" w:sz="4" w:space="0" w:color="auto"/>
              <w:right w:val="single" w:sz="4" w:space="0" w:color="auto"/>
            </w:tcBorders>
            <w:shd w:val="clear" w:color="auto" w:fill="auto"/>
            <w:noWrap/>
            <w:vAlign w:val="center"/>
          </w:tcPr>
          <w:p w14:paraId="155D8984"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88.36</w:t>
            </w:r>
          </w:p>
        </w:tc>
        <w:tc>
          <w:tcPr>
            <w:tcW w:w="1080" w:type="dxa"/>
            <w:tcBorders>
              <w:top w:val="nil"/>
              <w:left w:val="nil"/>
              <w:bottom w:val="single" w:sz="4" w:space="0" w:color="auto"/>
              <w:right w:val="single" w:sz="4" w:space="0" w:color="auto"/>
            </w:tcBorders>
            <w:shd w:val="clear" w:color="auto" w:fill="auto"/>
            <w:noWrap/>
            <w:vAlign w:val="center"/>
          </w:tcPr>
          <w:p w14:paraId="4071430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108.14</w:t>
            </w:r>
          </w:p>
        </w:tc>
        <w:tc>
          <w:tcPr>
            <w:tcW w:w="1080" w:type="dxa"/>
            <w:tcBorders>
              <w:top w:val="nil"/>
              <w:left w:val="nil"/>
              <w:bottom w:val="single" w:sz="4" w:space="0" w:color="auto"/>
              <w:right w:val="single" w:sz="4" w:space="0" w:color="auto"/>
            </w:tcBorders>
            <w:shd w:val="clear" w:color="auto" w:fill="auto"/>
            <w:noWrap/>
            <w:vAlign w:val="center"/>
          </w:tcPr>
          <w:p w14:paraId="5426291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97.62</w:t>
            </w:r>
          </w:p>
        </w:tc>
        <w:tc>
          <w:tcPr>
            <w:tcW w:w="1080" w:type="dxa"/>
            <w:tcBorders>
              <w:top w:val="nil"/>
              <w:left w:val="nil"/>
              <w:bottom w:val="single" w:sz="4" w:space="0" w:color="auto"/>
              <w:right w:val="single" w:sz="4" w:space="0" w:color="auto"/>
            </w:tcBorders>
            <w:shd w:val="clear" w:color="000000" w:fill="FFFF00"/>
            <w:noWrap/>
            <w:vAlign w:val="center"/>
          </w:tcPr>
          <w:p w14:paraId="5703D36A"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48D264D8" w14:textId="77777777" w:rsidR="00E629F3" w:rsidRDefault="00573FF2">
            <w:pPr>
              <w:spacing w:line="360" w:lineRule="auto"/>
              <w:rPr>
                <w:rFonts w:ascii="KaiTi" w:eastAsia="KaiTi" w:hAnsi="KaiTi"/>
                <w:color w:val="2F75B5"/>
              </w:rPr>
            </w:pPr>
            <w:r>
              <w:rPr>
                <w:rFonts w:ascii="KaiTi" w:eastAsia="KaiTi" w:hAnsi="KaiTi" w:hint="eastAsia"/>
                <w:color w:val="2F75B5"/>
              </w:rPr>
              <w:t>解析4</w:t>
            </w:r>
          </w:p>
        </w:tc>
      </w:tr>
      <w:tr w:rsidR="00E629F3" w14:paraId="14358003"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50448891" w14:textId="77777777" w:rsidR="00E629F3" w:rsidRDefault="00573FF2">
            <w:pPr>
              <w:jc w:val="center"/>
              <w:rPr>
                <w:rFonts w:ascii="KaiTi" w:eastAsia="KaiTi" w:hAnsi="KaiTi"/>
                <w:sz w:val="20"/>
                <w:szCs w:val="20"/>
              </w:rPr>
            </w:pPr>
            <w:r>
              <w:rPr>
                <w:rFonts w:ascii="KaiTi" w:eastAsia="KaiTi" w:hAnsi="KaiTi" w:hint="eastAsia"/>
                <w:sz w:val="20"/>
                <w:szCs w:val="20"/>
              </w:rPr>
              <w:t>⑤主营利润=①-②-③-④</w:t>
            </w:r>
          </w:p>
        </w:tc>
        <w:tc>
          <w:tcPr>
            <w:tcW w:w="1080" w:type="dxa"/>
            <w:tcBorders>
              <w:top w:val="nil"/>
              <w:left w:val="nil"/>
              <w:bottom w:val="single" w:sz="4" w:space="0" w:color="auto"/>
              <w:right w:val="single" w:sz="4" w:space="0" w:color="auto"/>
            </w:tcBorders>
            <w:shd w:val="clear" w:color="000000" w:fill="FFFFFF"/>
            <w:noWrap/>
            <w:vAlign w:val="center"/>
          </w:tcPr>
          <w:p w14:paraId="7037F864"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72.19</w:t>
            </w:r>
          </w:p>
        </w:tc>
        <w:tc>
          <w:tcPr>
            <w:tcW w:w="1080" w:type="dxa"/>
            <w:tcBorders>
              <w:top w:val="nil"/>
              <w:left w:val="nil"/>
              <w:bottom w:val="single" w:sz="4" w:space="0" w:color="auto"/>
              <w:right w:val="single" w:sz="4" w:space="0" w:color="auto"/>
            </w:tcBorders>
            <w:shd w:val="clear" w:color="000000" w:fill="FFFFFF"/>
            <w:noWrap/>
            <w:vAlign w:val="center"/>
          </w:tcPr>
          <w:p w14:paraId="2E410CBD"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81.65</w:t>
            </w:r>
          </w:p>
        </w:tc>
        <w:tc>
          <w:tcPr>
            <w:tcW w:w="1080" w:type="dxa"/>
            <w:tcBorders>
              <w:top w:val="nil"/>
              <w:left w:val="nil"/>
              <w:bottom w:val="single" w:sz="4" w:space="0" w:color="auto"/>
              <w:right w:val="single" w:sz="4" w:space="0" w:color="auto"/>
            </w:tcBorders>
            <w:shd w:val="clear" w:color="000000" w:fill="FFFFFF"/>
            <w:noWrap/>
            <w:vAlign w:val="center"/>
          </w:tcPr>
          <w:p w14:paraId="1092849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97.43</w:t>
            </w:r>
          </w:p>
        </w:tc>
        <w:tc>
          <w:tcPr>
            <w:tcW w:w="1080" w:type="dxa"/>
            <w:tcBorders>
              <w:top w:val="nil"/>
              <w:left w:val="nil"/>
              <w:bottom w:val="single" w:sz="4" w:space="0" w:color="auto"/>
              <w:right w:val="single" w:sz="4" w:space="0" w:color="auto"/>
            </w:tcBorders>
            <w:shd w:val="clear" w:color="000000" w:fill="FFFFFF"/>
            <w:noWrap/>
            <w:vAlign w:val="center"/>
          </w:tcPr>
          <w:p w14:paraId="5FF5EEE5"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85.90</w:t>
            </w:r>
          </w:p>
        </w:tc>
        <w:tc>
          <w:tcPr>
            <w:tcW w:w="1080" w:type="dxa"/>
            <w:tcBorders>
              <w:top w:val="single" w:sz="4" w:space="0" w:color="auto"/>
              <w:left w:val="nil"/>
              <w:bottom w:val="single" w:sz="4" w:space="0" w:color="auto"/>
              <w:right w:val="single" w:sz="4" w:space="0" w:color="auto"/>
            </w:tcBorders>
            <w:shd w:val="clear" w:color="000000" w:fill="FFFF00"/>
            <w:noWrap/>
            <w:vAlign w:val="center"/>
          </w:tcPr>
          <w:p w14:paraId="78DAB70E" w14:textId="77777777" w:rsidR="00E629F3" w:rsidRDefault="00E629F3">
            <w:pPr>
              <w:spacing w:line="360" w:lineRule="auto"/>
              <w:jc w:val="right"/>
              <w:rPr>
                <w:rFonts w:ascii="KaiTi" w:eastAsia="KaiTi" w:hAnsi="KaiTi" w:cs="Arial"/>
                <w:sz w:val="20"/>
                <w:szCs w:val="20"/>
                <w:highlight w:val="yellow"/>
              </w:rPr>
            </w:pPr>
          </w:p>
        </w:tc>
        <w:tc>
          <w:tcPr>
            <w:tcW w:w="1660" w:type="dxa"/>
            <w:tcBorders>
              <w:top w:val="nil"/>
              <w:left w:val="nil"/>
              <w:bottom w:val="nil"/>
              <w:right w:val="nil"/>
            </w:tcBorders>
            <w:shd w:val="clear" w:color="auto" w:fill="auto"/>
            <w:noWrap/>
            <w:vAlign w:val="center"/>
          </w:tcPr>
          <w:p w14:paraId="79AD9B8E" w14:textId="77777777" w:rsidR="00E629F3" w:rsidRDefault="00573FF2">
            <w:pPr>
              <w:spacing w:line="360" w:lineRule="auto"/>
              <w:rPr>
                <w:rFonts w:ascii="KaiTi" w:eastAsia="KaiTi" w:hAnsi="KaiTi"/>
                <w:color w:val="2F75B5"/>
              </w:rPr>
            </w:pPr>
            <w:r>
              <w:rPr>
                <w:rFonts w:ascii="KaiTi" w:eastAsia="KaiTi" w:hAnsi="KaiTi" w:hint="eastAsia"/>
                <w:color w:val="2F75B5"/>
              </w:rPr>
              <w:t>下面有公式</w:t>
            </w:r>
          </w:p>
        </w:tc>
      </w:tr>
      <w:tr w:rsidR="00E629F3" w14:paraId="1D644C25"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637CBC71" w14:textId="77777777" w:rsidR="00E629F3" w:rsidRDefault="00573FF2">
            <w:pPr>
              <w:spacing w:line="360" w:lineRule="auto"/>
              <w:jc w:val="center"/>
              <w:rPr>
                <w:rFonts w:ascii="KaiTi" w:eastAsia="KaiTi" w:hAnsi="KaiTi"/>
                <w:sz w:val="20"/>
                <w:szCs w:val="20"/>
              </w:rPr>
            </w:pPr>
            <w:r>
              <w:rPr>
                <w:rFonts w:ascii="KaiTi" w:eastAsia="KaiTi" w:hAnsi="KaiTi" w:hint="eastAsia"/>
                <w:sz w:val="20"/>
                <w:szCs w:val="20"/>
              </w:rPr>
              <w:t>主营利润率=⑤/①</w:t>
            </w:r>
          </w:p>
        </w:tc>
        <w:tc>
          <w:tcPr>
            <w:tcW w:w="1080" w:type="dxa"/>
            <w:tcBorders>
              <w:top w:val="nil"/>
              <w:left w:val="nil"/>
              <w:bottom w:val="single" w:sz="4" w:space="0" w:color="auto"/>
              <w:right w:val="single" w:sz="4" w:space="0" w:color="auto"/>
            </w:tcBorders>
            <w:shd w:val="clear" w:color="000000" w:fill="FFFFFF"/>
            <w:noWrap/>
            <w:vAlign w:val="center"/>
          </w:tcPr>
          <w:p w14:paraId="43563496"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42.01%</w:t>
            </w:r>
          </w:p>
        </w:tc>
        <w:tc>
          <w:tcPr>
            <w:tcW w:w="1080" w:type="dxa"/>
            <w:tcBorders>
              <w:top w:val="nil"/>
              <w:left w:val="nil"/>
              <w:bottom w:val="single" w:sz="4" w:space="0" w:color="auto"/>
              <w:right w:val="single" w:sz="4" w:space="0" w:color="auto"/>
            </w:tcBorders>
            <w:shd w:val="clear" w:color="000000" w:fill="FFFFFF"/>
            <w:noWrap/>
            <w:vAlign w:val="center"/>
          </w:tcPr>
          <w:p w14:paraId="5D2C29C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40.99%</w:t>
            </w:r>
          </w:p>
        </w:tc>
        <w:tc>
          <w:tcPr>
            <w:tcW w:w="1080" w:type="dxa"/>
            <w:tcBorders>
              <w:top w:val="nil"/>
              <w:left w:val="nil"/>
              <w:bottom w:val="single" w:sz="4" w:space="0" w:color="auto"/>
              <w:right w:val="single" w:sz="4" w:space="0" w:color="auto"/>
            </w:tcBorders>
            <w:shd w:val="clear" w:color="000000" w:fill="FFFFFF"/>
            <w:noWrap/>
            <w:vAlign w:val="center"/>
          </w:tcPr>
          <w:p w14:paraId="024C3FA5"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40.33%</w:t>
            </w:r>
          </w:p>
        </w:tc>
        <w:tc>
          <w:tcPr>
            <w:tcW w:w="1080" w:type="dxa"/>
            <w:tcBorders>
              <w:top w:val="nil"/>
              <w:left w:val="nil"/>
              <w:bottom w:val="single" w:sz="4" w:space="0" w:color="auto"/>
              <w:right w:val="single" w:sz="4" w:space="0" w:color="auto"/>
            </w:tcBorders>
            <w:shd w:val="clear" w:color="000000" w:fill="FFFFFF"/>
            <w:noWrap/>
            <w:vAlign w:val="center"/>
          </w:tcPr>
          <w:p w14:paraId="423249D3"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37.15%</w:t>
            </w:r>
          </w:p>
        </w:tc>
        <w:tc>
          <w:tcPr>
            <w:tcW w:w="1080" w:type="dxa"/>
            <w:tcBorders>
              <w:top w:val="nil"/>
              <w:left w:val="nil"/>
              <w:bottom w:val="single" w:sz="4" w:space="0" w:color="auto"/>
              <w:right w:val="single" w:sz="4" w:space="0" w:color="auto"/>
            </w:tcBorders>
            <w:shd w:val="clear" w:color="000000" w:fill="FFFF00"/>
            <w:noWrap/>
            <w:vAlign w:val="center"/>
          </w:tcPr>
          <w:p w14:paraId="1E46F5EE"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23556083" w14:textId="77777777" w:rsidR="00E629F3" w:rsidRDefault="00573FF2">
            <w:pPr>
              <w:spacing w:line="360" w:lineRule="auto"/>
              <w:rPr>
                <w:rFonts w:ascii="KaiTi" w:eastAsia="KaiTi" w:hAnsi="KaiTi"/>
                <w:color w:val="2F75B5"/>
              </w:rPr>
            </w:pPr>
            <w:r>
              <w:rPr>
                <w:rFonts w:ascii="KaiTi" w:eastAsia="KaiTi" w:hAnsi="KaiTi" w:hint="eastAsia"/>
                <w:color w:val="2F75B5"/>
              </w:rPr>
              <w:t>下面有公式</w:t>
            </w:r>
          </w:p>
        </w:tc>
      </w:tr>
      <w:tr w:rsidR="00E629F3" w14:paraId="4883F5D9" w14:textId="77777777">
        <w:trPr>
          <w:trHeight w:val="454"/>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2BC9F704" w14:textId="77777777" w:rsidR="00E629F3" w:rsidRDefault="00573FF2">
            <w:pPr>
              <w:spacing w:line="360" w:lineRule="auto"/>
              <w:jc w:val="center"/>
              <w:rPr>
                <w:rFonts w:ascii="KaiTi" w:eastAsia="KaiTi" w:hAnsi="KaiTi"/>
                <w:sz w:val="20"/>
                <w:szCs w:val="20"/>
              </w:rPr>
            </w:pPr>
            <w:r>
              <w:rPr>
                <w:rFonts w:ascii="KaiTi" w:eastAsia="KaiTi" w:hAnsi="KaiTi" w:hint="eastAsia"/>
                <w:sz w:val="20"/>
                <w:szCs w:val="20"/>
              </w:rPr>
              <w:t>主营利润/营业利润</w:t>
            </w:r>
          </w:p>
        </w:tc>
        <w:tc>
          <w:tcPr>
            <w:tcW w:w="1080" w:type="dxa"/>
            <w:tcBorders>
              <w:top w:val="nil"/>
              <w:left w:val="nil"/>
              <w:bottom w:val="single" w:sz="4" w:space="0" w:color="auto"/>
              <w:right w:val="single" w:sz="4" w:space="0" w:color="auto"/>
            </w:tcBorders>
            <w:shd w:val="clear" w:color="000000" w:fill="FFFFFF"/>
            <w:noWrap/>
            <w:vAlign w:val="center"/>
          </w:tcPr>
          <w:p w14:paraId="7E162A8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93.42%</w:t>
            </w:r>
          </w:p>
        </w:tc>
        <w:tc>
          <w:tcPr>
            <w:tcW w:w="1080" w:type="dxa"/>
            <w:tcBorders>
              <w:top w:val="nil"/>
              <w:left w:val="nil"/>
              <w:bottom w:val="single" w:sz="4" w:space="0" w:color="auto"/>
              <w:right w:val="single" w:sz="4" w:space="0" w:color="auto"/>
            </w:tcBorders>
            <w:shd w:val="clear" w:color="000000" w:fill="FFFFFF"/>
            <w:noWrap/>
            <w:vAlign w:val="center"/>
          </w:tcPr>
          <w:p w14:paraId="336B0B63"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92.40%</w:t>
            </w:r>
          </w:p>
        </w:tc>
        <w:tc>
          <w:tcPr>
            <w:tcW w:w="1080" w:type="dxa"/>
            <w:tcBorders>
              <w:top w:val="nil"/>
              <w:left w:val="nil"/>
              <w:bottom w:val="single" w:sz="4" w:space="0" w:color="auto"/>
              <w:right w:val="single" w:sz="4" w:space="0" w:color="auto"/>
            </w:tcBorders>
            <w:shd w:val="clear" w:color="000000" w:fill="FFFFFF"/>
            <w:noWrap/>
            <w:vAlign w:val="center"/>
          </w:tcPr>
          <w:p w14:paraId="2CA0963B"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90.10%</w:t>
            </w:r>
          </w:p>
        </w:tc>
        <w:tc>
          <w:tcPr>
            <w:tcW w:w="1080" w:type="dxa"/>
            <w:tcBorders>
              <w:top w:val="nil"/>
              <w:left w:val="nil"/>
              <w:bottom w:val="single" w:sz="4" w:space="0" w:color="auto"/>
              <w:right w:val="single" w:sz="4" w:space="0" w:color="auto"/>
            </w:tcBorders>
            <w:shd w:val="clear" w:color="000000" w:fill="FFFFFF"/>
            <w:noWrap/>
            <w:vAlign w:val="center"/>
          </w:tcPr>
          <w:p w14:paraId="27B010EE" w14:textId="77777777" w:rsidR="00E629F3" w:rsidRDefault="00573FF2">
            <w:pPr>
              <w:spacing w:line="360" w:lineRule="auto"/>
              <w:jc w:val="right"/>
              <w:rPr>
                <w:rFonts w:ascii="KaiTi" w:eastAsia="KaiTi" w:hAnsi="KaiTi" w:cs="Arial"/>
                <w:sz w:val="20"/>
                <w:szCs w:val="20"/>
              </w:rPr>
            </w:pPr>
            <w:r>
              <w:rPr>
                <w:rFonts w:ascii="KaiTi" w:eastAsia="KaiTi" w:hAnsi="KaiTi" w:cs="Arial"/>
                <w:sz w:val="20"/>
                <w:szCs w:val="20"/>
              </w:rPr>
              <w:t>88.00%</w:t>
            </w:r>
          </w:p>
        </w:tc>
        <w:tc>
          <w:tcPr>
            <w:tcW w:w="1080" w:type="dxa"/>
            <w:tcBorders>
              <w:top w:val="nil"/>
              <w:left w:val="nil"/>
              <w:bottom w:val="single" w:sz="4" w:space="0" w:color="auto"/>
              <w:right w:val="single" w:sz="4" w:space="0" w:color="auto"/>
            </w:tcBorders>
            <w:shd w:val="clear" w:color="000000" w:fill="FFFF00"/>
            <w:noWrap/>
            <w:vAlign w:val="center"/>
          </w:tcPr>
          <w:p w14:paraId="2886367B" w14:textId="77777777" w:rsidR="00E629F3" w:rsidRDefault="00E629F3">
            <w:pPr>
              <w:spacing w:line="360" w:lineRule="auto"/>
              <w:jc w:val="right"/>
              <w:rPr>
                <w:rFonts w:ascii="KaiTi" w:eastAsia="KaiTi" w:hAnsi="KaiTi" w:cs="Arial"/>
                <w:sz w:val="20"/>
                <w:szCs w:val="20"/>
              </w:rPr>
            </w:pPr>
          </w:p>
        </w:tc>
        <w:tc>
          <w:tcPr>
            <w:tcW w:w="1660" w:type="dxa"/>
            <w:tcBorders>
              <w:top w:val="nil"/>
              <w:left w:val="nil"/>
              <w:bottom w:val="nil"/>
              <w:right w:val="nil"/>
            </w:tcBorders>
            <w:shd w:val="clear" w:color="auto" w:fill="auto"/>
            <w:noWrap/>
            <w:vAlign w:val="center"/>
          </w:tcPr>
          <w:p w14:paraId="3FE4D31E" w14:textId="77777777" w:rsidR="00E629F3" w:rsidRDefault="00E629F3">
            <w:pPr>
              <w:spacing w:line="360" w:lineRule="auto"/>
              <w:jc w:val="right"/>
              <w:rPr>
                <w:rFonts w:ascii="KaiTi" w:eastAsia="KaiTi" w:hAnsi="KaiTi" w:cs="Arial"/>
                <w:sz w:val="20"/>
                <w:szCs w:val="20"/>
              </w:rPr>
            </w:pPr>
          </w:p>
        </w:tc>
      </w:tr>
    </w:tbl>
    <w:p w14:paraId="097B5868" w14:textId="77777777" w:rsidR="00E629F3" w:rsidRDefault="00573FF2">
      <w:pPr>
        <w:spacing w:line="360" w:lineRule="auto"/>
        <w:ind w:rightChars="42" w:right="101"/>
        <w:rPr>
          <w:rFonts w:ascii="KaiTi" w:eastAsia="KaiTi" w:hAnsi="KaiTi"/>
          <w:b/>
          <w:bCs/>
          <w:color w:val="4472C4" w:themeColor="accent1"/>
        </w:rPr>
      </w:pPr>
      <w:r>
        <w:rPr>
          <w:rFonts w:ascii="KaiTi" w:eastAsia="KaiTi" w:hAnsi="KaiTi" w:hint="eastAsia"/>
          <w:sz w:val="21"/>
          <w:szCs w:val="18"/>
        </w:rPr>
        <w:t xml:space="preserve"> </w:t>
      </w:r>
      <w:r>
        <w:rPr>
          <w:rFonts w:ascii="KaiTi" w:eastAsia="KaiTi" w:hAnsi="KaiTi" w:hint="eastAsia"/>
          <w:b/>
          <w:bCs/>
          <w:color w:val="4472C4" w:themeColor="accent1"/>
        </w:rPr>
        <w:t>计算公式：①主营利润=营业收入-营业成本-期间费用合计-税金及附加</w:t>
      </w:r>
    </w:p>
    <w:p w14:paraId="5BFB47B3" w14:textId="77777777" w:rsidR="00E629F3" w:rsidRDefault="00573FF2">
      <w:pPr>
        <w:spacing w:line="360" w:lineRule="auto"/>
        <w:ind w:rightChars="42" w:right="101"/>
        <w:rPr>
          <w:rFonts w:ascii="KaiTi" w:eastAsia="KaiTi" w:hAnsi="KaiTi"/>
          <w:sz w:val="21"/>
          <w:szCs w:val="18"/>
        </w:rPr>
      </w:pPr>
      <w:r>
        <w:rPr>
          <w:rFonts w:ascii="KaiTi" w:eastAsia="KaiTi" w:hAnsi="KaiTi" w:hint="eastAsia"/>
          <w:b/>
          <w:bCs/>
          <w:color w:val="4472C4" w:themeColor="accent1"/>
        </w:rPr>
        <w:t>②主营利润率=主营利润/营业收入</w:t>
      </w:r>
      <w:r>
        <w:rPr>
          <w:rFonts w:ascii="KaiTi" w:eastAsia="KaiTi" w:hAnsi="KaiTi" w:hint="eastAsia"/>
          <w:sz w:val="21"/>
          <w:szCs w:val="18"/>
        </w:rPr>
        <w:t xml:space="preserve"> </w:t>
      </w:r>
    </w:p>
    <w:p w14:paraId="51FA8787" w14:textId="77777777" w:rsidR="00E629F3" w:rsidRDefault="00573FF2">
      <w:pPr>
        <w:pStyle w:val="01761"/>
      </w:pPr>
      <w:r>
        <w:rPr>
          <w:rFonts w:hint="eastAsia"/>
        </w:rPr>
        <w:t>3.分析各年变化趋势</w:t>
      </w:r>
    </w:p>
    <w:p w14:paraId="132E164B" w14:textId="77777777" w:rsidR="00E629F3" w:rsidRDefault="00573FF2">
      <w:pPr>
        <w:pStyle w:val="017"/>
        <w:ind w:firstLineChars="200" w:firstLine="480"/>
      </w:pPr>
      <w:r>
        <w:rPr>
          <w:rFonts w:hint="eastAsia"/>
        </w:rPr>
        <w:t>洋河股份201</w:t>
      </w:r>
      <w:r>
        <w:t>6</w:t>
      </w:r>
      <w:r>
        <w:rPr>
          <w:rFonts w:hint="eastAsia"/>
        </w:rPr>
        <w:t>-20</w:t>
      </w:r>
      <w:r>
        <w:t>20</w:t>
      </w:r>
      <w:r>
        <w:rPr>
          <w:rFonts w:hint="eastAsia"/>
        </w:rPr>
        <w:t>年的主营利润率都远</w:t>
      </w:r>
      <w:r>
        <w:rPr>
          <w:rFonts w:hint="eastAsia"/>
          <w:u w:val="single"/>
        </w:rPr>
        <w:t xml:space="preserve"> </w:t>
      </w:r>
      <w:r>
        <w:rPr>
          <w:u w:val="single"/>
        </w:rPr>
        <w:t xml:space="preserve">   </w:t>
      </w:r>
      <w:r>
        <w:rPr>
          <w:rFonts w:hint="eastAsia"/>
          <w:b/>
          <w:bCs/>
          <w:color w:val="C45911" w:themeColor="accent2" w:themeShade="BF"/>
        </w:rPr>
        <w:t>（大于1</w:t>
      </w:r>
      <w:r>
        <w:rPr>
          <w:b/>
          <w:bCs/>
          <w:color w:val="C45911" w:themeColor="accent2" w:themeShade="BF"/>
        </w:rPr>
        <w:t>5</w:t>
      </w:r>
      <w:r>
        <w:rPr>
          <w:rFonts w:hint="eastAsia"/>
          <w:b/>
          <w:bCs/>
          <w:color w:val="C45911" w:themeColor="accent2" w:themeShade="BF"/>
        </w:rPr>
        <w:t>%或小于1</w:t>
      </w:r>
      <w:r>
        <w:rPr>
          <w:b/>
          <w:bCs/>
          <w:color w:val="C45911" w:themeColor="accent2" w:themeShade="BF"/>
        </w:rPr>
        <w:t>5</w:t>
      </w:r>
      <w:r>
        <w:rPr>
          <w:rFonts w:hint="eastAsia"/>
          <w:b/>
          <w:bCs/>
          <w:color w:val="C45911" w:themeColor="accent2" w:themeShade="BF"/>
        </w:rPr>
        <w:t>%）</w:t>
      </w:r>
      <w:r>
        <w:t xml:space="preserve"> </w:t>
      </w:r>
      <w:r>
        <w:rPr>
          <w:rFonts w:hint="eastAsia"/>
        </w:rPr>
        <w:t>，说明公司</w:t>
      </w:r>
      <w:r>
        <w:rPr>
          <w:rFonts w:hint="eastAsia"/>
          <w:u w:val="single"/>
        </w:rPr>
        <w:t xml:space="preserve"> </w:t>
      </w:r>
      <w:r>
        <w:rPr>
          <w:u w:val="single"/>
        </w:rPr>
        <w:t xml:space="preserve">    </w:t>
      </w:r>
      <w:r>
        <w:rPr>
          <w:rFonts w:hint="eastAsia"/>
          <w:b/>
          <w:bCs/>
          <w:color w:val="C45911" w:themeColor="accent2" w:themeShade="BF"/>
        </w:rPr>
        <w:t>（参照以上主营利润率的思维导图得出结论）</w:t>
      </w:r>
      <w:r>
        <w:rPr>
          <w:rFonts w:hint="eastAsia"/>
        </w:rPr>
        <w:t>。</w:t>
      </w:r>
    </w:p>
    <w:p w14:paraId="6A1A0353" w14:textId="77777777" w:rsidR="00E629F3" w:rsidRDefault="00573FF2">
      <w:pPr>
        <w:pStyle w:val="017"/>
        <w:rPr>
          <w:b/>
          <w:bCs/>
          <w:color w:val="C45911" w:themeColor="accent2" w:themeShade="BF"/>
        </w:rPr>
      </w:pPr>
      <w:r>
        <w:rPr>
          <w:rFonts w:hint="eastAsia"/>
        </w:rPr>
        <w:t>2</w:t>
      </w:r>
      <w:r>
        <w:t>016</w:t>
      </w:r>
      <w:r>
        <w:rPr>
          <w:rFonts w:hint="eastAsia"/>
        </w:rPr>
        <w:t>-</w:t>
      </w:r>
      <w:r>
        <w:t>2019</w:t>
      </w:r>
      <w:r>
        <w:rPr>
          <w:rFonts w:hint="eastAsia"/>
        </w:rPr>
        <w:t>年的主营利润占营业利润的比例均在</w:t>
      </w:r>
      <w:r>
        <w:rPr>
          <w:u w:val="single"/>
        </w:rPr>
        <w:t xml:space="preserve">       </w:t>
      </w:r>
      <w:r>
        <w:rPr>
          <w:rFonts w:hint="eastAsia"/>
          <w:b/>
          <w:bCs/>
          <w:color w:val="C45911" w:themeColor="accent2" w:themeShade="BF"/>
        </w:rPr>
        <w:t>（选项：X</w:t>
      </w:r>
      <w:r>
        <w:rPr>
          <w:b/>
          <w:bCs/>
          <w:color w:val="C45911" w:themeColor="accent2" w:themeShade="BF"/>
        </w:rPr>
        <w:t>X%</w:t>
      </w:r>
      <w:r>
        <w:rPr>
          <w:rFonts w:hint="eastAsia"/>
          <w:b/>
          <w:bCs/>
          <w:color w:val="C45911" w:themeColor="accent2" w:themeShade="BF"/>
        </w:rPr>
        <w:t>以上或以下）</w:t>
      </w:r>
      <w:r>
        <w:rPr>
          <w:rFonts w:hint="eastAsia"/>
        </w:rPr>
        <w:t>，并且</w:t>
      </w:r>
      <w:r>
        <w:rPr>
          <w:rFonts w:hint="eastAsia"/>
          <w:u w:val="single"/>
        </w:rPr>
        <w:t xml:space="preserve"> </w:t>
      </w:r>
      <w:r>
        <w:rPr>
          <w:u w:val="single"/>
        </w:rPr>
        <w:t xml:space="preserve">    </w:t>
      </w:r>
      <w:r>
        <w:rPr>
          <w:rFonts w:hint="eastAsia"/>
        </w:rPr>
        <w:t>1</w:t>
      </w:r>
      <w:r>
        <w:t>00</w:t>
      </w:r>
      <w:r>
        <w:rPr>
          <w:rFonts w:hint="eastAsia"/>
        </w:rPr>
        <w:t>%</w:t>
      </w:r>
      <w:r>
        <w:rPr>
          <w:rFonts w:hint="eastAsia"/>
          <w:b/>
          <w:bCs/>
          <w:color w:val="C45911" w:themeColor="accent2" w:themeShade="BF"/>
        </w:rPr>
        <w:t>（选项：高于或低于）</w:t>
      </w:r>
      <w:r>
        <w:rPr>
          <w:rFonts w:hint="eastAsia"/>
        </w:rPr>
        <w:t>，说明</w:t>
      </w:r>
      <w:r>
        <w:rPr>
          <w:rFonts w:hint="eastAsia"/>
          <w:u w:val="single"/>
        </w:rPr>
        <w:t xml:space="preserve"> </w:t>
      </w:r>
      <w:r>
        <w:rPr>
          <w:u w:val="single"/>
        </w:rPr>
        <w:t xml:space="preserve">    </w:t>
      </w:r>
      <w:r>
        <w:rPr>
          <w:rFonts w:hint="eastAsia"/>
          <w:b/>
          <w:bCs/>
          <w:color w:val="C45911" w:themeColor="accent2" w:themeShade="BF"/>
        </w:rPr>
        <w:t>（参照以上主营利润率的思维导图得出结论）</w:t>
      </w:r>
    </w:p>
    <w:p w14:paraId="02FE7D51" w14:textId="77777777" w:rsidR="00E629F3" w:rsidRDefault="00573FF2">
      <w:pPr>
        <w:pStyle w:val="017"/>
      </w:pPr>
      <w:bookmarkStart w:id="4" w:name="_Hlk71412273"/>
      <w:r>
        <w:t>2020</w:t>
      </w:r>
      <w:r>
        <w:rPr>
          <w:rFonts w:hint="eastAsia"/>
        </w:rPr>
        <w:t>年主营利润占营业利润的比例略低于8</w:t>
      </w:r>
      <w:r>
        <w:t>0</w:t>
      </w:r>
      <w:r>
        <w:rPr>
          <w:rFonts w:hint="eastAsia"/>
        </w:rPr>
        <w:t>%，利润质量降低，这一比例受两者之间的科目影响（包含在营业利润中，不包含在主营利润中的科目），这些科目列示在利润表如下位置：</w:t>
      </w:r>
    </w:p>
    <w:p w14:paraId="781A510F" w14:textId="77777777" w:rsidR="00E629F3" w:rsidRDefault="00573FF2">
      <w:pPr>
        <w:pStyle w:val="017"/>
      </w:pPr>
      <w:r>
        <w:rPr>
          <w:noProof/>
        </w:rPr>
        <w:drawing>
          <wp:inline distT="0" distB="0" distL="0" distR="0" wp14:anchorId="600C8C37" wp14:editId="5C6C14C9">
            <wp:extent cx="5274310" cy="37611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4310" cy="3761105"/>
                    </a:xfrm>
                    <a:prstGeom prst="rect">
                      <a:avLst/>
                    </a:prstGeom>
                  </pic:spPr>
                </pic:pic>
              </a:graphicData>
            </a:graphic>
          </wp:inline>
        </w:drawing>
      </w:r>
    </w:p>
    <w:p w14:paraId="24A494FB" w14:textId="77777777" w:rsidR="00E629F3" w:rsidRDefault="00573FF2">
      <w:pPr>
        <w:spacing w:line="360" w:lineRule="auto"/>
        <w:ind w:firstLineChars="200" w:firstLine="480"/>
        <w:rPr>
          <w:rFonts w:ascii="KaiTi" w:eastAsia="KaiTi" w:hAnsi="KaiTi"/>
        </w:rPr>
      </w:pPr>
      <w:r>
        <w:rPr>
          <w:rFonts w:ascii="KaiTi" w:eastAsia="KaiTi" w:hAnsi="KaiTi" w:hint="eastAsia"/>
        </w:rPr>
        <w:t>其中变动最大的科目是</w:t>
      </w:r>
      <w:r>
        <w:rPr>
          <w:rFonts w:ascii="KaiTi" w:eastAsia="KaiTi" w:hAnsi="KaiTi"/>
          <w:u w:val="single"/>
        </w:rPr>
        <w:t xml:space="preserve">              </w:t>
      </w:r>
      <w:r>
        <w:rPr>
          <w:rFonts w:ascii="KaiTi" w:eastAsia="KaiTi" w:hAnsi="KaiTi" w:hint="eastAsia"/>
        </w:rPr>
        <w:t>，较2</w:t>
      </w:r>
      <w:r>
        <w:rPr>
          <w:rFonts w:ascii="KaiTi" w:eastAsia="KaiTi" w:hAnsi="KaiTi"/>
        </w:rPr>
        <w:t>019</w:t>
      </w:r>
      <w:r>
        <w:rPr>
          <w:rFonts w:ascii="KaiTi" w:eastAsia="KaiTi" w:hAnsi="KaiTi" w:hint="eastAsia"/>
        </w:rPr>
        <w:t>年增长了</w:t>
      </w:r>
      <w:r>
        <w:rPr>
          <w:rFonts w:ascii="KaiTi" w:eastAsia="KaiTi" w:hAnsi="KaiTi"/>
          <w:u w:val="single"/>
        </w:rPr>
        <w:t xml:space="preserve">    </w:t>
      </w:r>
      <w:r>
        <w:rPr>
          <w:rFonts w:ascii="KaiTi" w:eastAsia="KaiTi" w:hAnsi="KaiTi" w:hint="eastAsia"/>
        </w:rPr>
        <w:t>亿，增幅高达698.89%，是造成主营利润/营业利润比例下降的主要原因。</w:t>
      </w:r>
    </w:p>
    <w:p w14:paraId="58F41435" w14:textId="77777777" w:rsidR="00E629F3" w:rsidRDefault="00573FF2">
      <w:pPr>
        <w:pStyle w:val="017"/>
      </w:pPr>
      <w:r>
        <w:rPr>
          <w:noProof/>
        </w:rPr>
        <w:drawing>
          <wp:inline distT="0" distB="0" distL="0" distR="0" wp14:anchorId="3966580F" wp14:editId="264D06A6">
            <wp:extent cx="5274310" cy="12357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235710"/>
                    </a:xfrm>
                    <a:prstGeom prst="rect">
                      <a:avLst/>
                    </a:prstGeom>
                    <a:noFill/>
                    <a:ln>
                      <a:noFill/>
                    </a:ln>
                  </pic:spPr>
                </pic:pic>
              </a:graphicData>
            </a:graphic>
          </wp:inline>
        </w:drawing>
      </w:r>
    </w:p>
    <w:p w14:paraId="26B829D8" w14:textId="77777777" w:rsidR="00E629F3" w:rsidRDefault="00573FF2">
      <w:pPr>
        <w:pStyle w:val="017"/>
      </w:pPr>
      <w:r>
        <w:rPr>
          <w:rFonts w:hint="eastAsia"/>
        </w:rPr>
        <w:t>查找公允价值变动收益的注释，可以看到公允价值变动收益来源于交易性金融资产，所以是因为交易性金融资产的市场价值上涨，账面价值也随之上涨，后续情况需要持续关注。</w:t>
      </w:r>
      <w:bookmarkEnd w:id="4"/>
    </w:p>
    <w:p w14:paraId="022A0F3A" w14:textId="77777777" w:rsidR="00E629F3" w:rsidRDefault="00573FF2">
      <w:pPr>
        <w:pStyle w:val="01761"/>
      </w:pPr>
      <w:r>
        <w:rPr>
          <w:rFonts w:hint="eastAsia"/>
        </w:rPr>
        <w:t>4.根据分析得出结论</w:t>
      </w:r>
    </w:p>
    <w:p w14:paraId="2296C9B0" w14:textId="77777777" w:rsidR="00E629F3" w:rsidRDefault="00573FF2">
      <w:pPr>
        <w:pStyle w:val="017"/>
        <w:ind w:firstLineChars="200" w:firstLine="480"/>
      </w:pPr>
      <w:bookmarkStart w:id="5" w:name="_Hlk71576162"/>
      <w:r>
        <w:rPr>
          <w:rFonts w:hint="eastAsia"/>
        </w:rPr>
        <w:t>总体来看</w:t>
      </w:r>
      <w:bookmarkEnd w:id="5"/>
      <w:r>
        <w:rPr>
          <w:rFonts w:hint="eastAsia"/>
        </w:rPr>
        <w:t>洋河股份的利润结构</w:t>
      </w:r>
      <w:r>
        <w:rPr>
          <w:rFonts w:hint="eastAsia"/>
          <w:u w:val="single"/>
        </w:rPr>
        <w:t xml:space="preserve"> </w:t>
      </w:r>
      <w:r>
        <w:rPr>
          <w:u w:val="single"/>
        </w:rPr>
        <w:t xml:space="preserve">    </w:t>
      </w:r>
      <w:r>
        <w:rPr>
          <w:rFonts w:hint="eastAsia"/>
          <w:b/>
          <w:bCs/>
          <w:color w:val="C45911" w:themeColor="accent2" w:themeShade="BF"/>
        </w:rPr>
        <w:t>（选项：较好或较差）</w:t>
      </w:r>
      <w:r>
        <w:rPr>
          <w:rFonts w:hint="eastAsia"/>
        </w:rPr>
        <w:t>，2</w:t>
      </w:r>
      <w:r>
        <w:t>020</w:t>
      </w:r>
      <w:r>
        <w:rPr>
          <w:rFonts w:hint="eastAsia"/>
        </w:rPr>
        <w:t>年之前公司的利润的质量</w:t>
      </w:r>
      <w:r>
        <w:rPr>
          <w:rFonts w:hint="eastAsia"/>
          <w:u w:val="single"/>
        </w:rPr>
        <w:t xml:space="preserve"> </w:t>
      </w:r>
      <w:r>
        <w:rPr>
          <w:u w:val="single"/>
        </w:rPr>
        <w:t xml:space="preserve">    </w:t>
      </w:r>
      <w:r>
        <w:rPr>
          <w:rFonts w:hint="eastAsia"/>
          <w:color w:val="C45911" w:themeColor="accent2" w:themeShade="BF"/>
        </w:rPr>
        <w:t>（</w:t>
      </w:r>
      <w:r>
        <w:rPr>
          <w:rFonts w:hint="eastAsia"/>
          <w:b/>
          <w:bCs/>
          <w:color w:val="C45911" w:themeColor="accent2" w:themeShade="BF"/>
        </w:rPr>
        <w:t>选项：较</w:t>
      </w:r>
      <w:r>
        <w:rPr>
          <w:rFonts w:hint="eastAsia"/>
          <w:color w:val="C45911" w:themeColor="accent2" w:themeShade="BF"/>
        </w:rPr>
        <w:t>高或较</w:t>
      </w:r>
      <w:r>
        <w:rPr>
          <w:rFonts w:hint="eastAsia"/>
          <w:b/>
          <w:bCs/>
          <w:color w:val="C45911" w:themeColor="accent2" w:themeShade="BF"/>
        </w:rPr>
        <w:t>低）</w:t>
      </w:r>
      <w:r>
        <w:rPr>
          <w:rFonts w:hint="eastAsia"/>
        </w:rPr>
        <w:t>，2</w:t>
      </w:r>
      <w:r>
        <w:t>020</w:t>
      </w:r>
      <w:r>
        <w:rPr>
          <w:rFonts w:hint="eastAsia"/>
        </w:rPr>
        <w:t>年因</w:t>
      </w:r>
      <w:r>
        <w:rPr>
          <w:rFonts w:hint="eastAsia"/>
          <w:u w:val="single"/>
        </w:rPr>
        <w:t xml:space="preserve"> </w:t>
      </w:r>
      <w:r>
        <w:rPr>
          <w:u w:val="single"/>
        </w:rPr>
        <w:t xml:space="preserve">    </w:t>
      </w:r>
      <w:r>
        <w:rPr>
          <w:rFonts w:hint="eastAsia"/>
        </w:rPr>
        <w:t>下降，</w:t>
      </w:r>
      <w:r>
        <w:rPr>
          <w:rFonts w:hint="eastAsia"/>
          <w:u w:val="single"/>
        </w:rPr>
        <w:t xml:space="preserve"> </w:t>
      </w:r>
      <w:r>
        <w:rPr>
          <w:u w:val="single"/>
        </w:rPr>
        <w:t xml:space="preserve">   </w:t>
      </w:r>
      <w:r>
        <w:rPr>
          <w:rFonts w:hint="eastAsia"/>
          <w:u w:val="single"/>
        </w:rPr>
        <w:t xml:space="preserve"> </w:t>
      </w:r>
      <w:r>
        <w:rPr>
          <w:u w:val="single"/>
        </w:rPr>
        <w:t xml:space="preserve">   </w:t>
      </w:r>
      <w:r>
        <w:rPr>
          <w:rFonts w:hint="eastAsia"/>
        </w:rPr>
        <w:t>科目2</w:t>
      </w:r>
      <w:r>
        <w:t>020</w:t>
      </w:r>
      <w:r>
        <w:rPr>
          <w:rFonts w:hint="eastAsia"/>
        </w:rPr>
        <w:t>年变动较大，导致利润质量下降，需持续关注。</w:t>
      </w:r>
    </w:p>
    <w:p w14:paraId="0DC41F76" w14:textId="77777777" w:rsidR="00E629F3" w:rsidRDefault="00E629F3">
      <w:pPr>
        <w:pStyle w:val="017"/>
      </w:pPr>
    </w:p>
    <w:p w14:paraId="37F7B707" w14:textId="77777777" w:rsidR="00E629F3" w:rsidRDefault="00573FF2">
      <w:pPr>
        <w:pStyle w:val="3"/>
        <w:spacing w:line="360" w:lineRule="auto"/>
        <w:ind w:firstLine="643"/>
        <w:rPr>
          <w:rFonts w:ascii="KaiTi" w:eastAsia="KaiTi" w:hAnsi="KaiTi"/>
          <w:sz w:val="24"/>
        </w:rPr>
      </w:pPr>
      <w:r>
        <w:rPr>
          <w:rFonts w:ascii="KaiTi" w:eastAsia="KaiTi" w:hAnsi="KaiTi" w:hint="eastAsia"/>
        </w:rPr>
        <w:t>六、看营业收入净额</w:t>
      </w:r>
      <w:r>
        <w:rPr>
          <w:rFonts w:ascii="KaiTi" w:eastAsia="KaiTi" w:hAnsi="KaiTi" w:hint="eastAsia"/>
          <w:sz w:val="24"/>
        </w:rPr>
        <w:t>（</w:t>
      </w:r>
      <w:r>
        <w:rPr>
          <w:rFonts w:ascii="KaiTi" w:eastAsia="KaiTi" w:hAnsi="KaiTi"/>
          <w:sz w:val="24"/>
        </w:rPr>
        <w:t>10</w:t>
      </w:r>
      <w:r>
        <w:rPr>
          <w:rFonts w:ascii="KaiTi" w:eastAsia="KaiTi" w:hAnsi="KaiTi" w:hint="eastAsia"/>
          <w:sz w:val="24"/>
        </w:rPr>
        <w:t>分）</w:t>
      </w:r>
    </w:p>
    <w:p w14:paraId="3535541F" w14:textId="77777777" w:rsidR="00E629F3" w:rsidRDefault="00573FF2">
      <w:pPr>
        <w:pStyle w:val="01761"/>
      </w:pPr>
      <w:r>
        <w:rPr>
          <w:rFonts w:hint="eastAsia"/>
        </w:rPr>
        <w:t>1.分析思路</w:t>
      </w:r>
      <w:r>
        <w:rPr>
          <w:noProof/>
        </w:rPr>
        <w:drawing>
          <wp:inline distT="0" distB="0" distL="0" distR="0" wp14:anchorId="7404E7EB" wp14:editId="7B42057F">
            <wp:extent cx="5280025" cy="254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21758" cy="2559927"/>
                    </a:xfrm>
                    <a:prstGeom prst="rect">
                      <a:avLst/>
                    </a:prstGeom>
                    <a:noFill/>
                    <a:ln>
                      <a:noFill/>
                    </a:ln>
                  </pic:spPr>
                </pic:pic>
              </a:graphicData>
            </a:graphic>
          </wp:inline>
        </w:drawing>
      </w:r>
    </w:p>
    <w:p w14:paraId="59E8F52A" w14:textId="77777777" w:rsidR="00E629F3" w:rsidRDefault="00573FF2">
      <w:pPr>
        <w:pStyle w:val="01761"/>
      </w:pPr>
      <w:r>
        <w:rPr>
          <w:rFonts w:hint="eastAsia"/>
        </w:rPr>
        <w:t>2.数据收集汇总：营业外收入、营业外支出、利润总额，并计算营业外收入净额、营业外收入净额/利润总额</w:t>
      </w:r>
    </w:p>
    <w:p w14:paraId="5912262C" w14:textId="77777777" w:rsidR="00E629F3" w:rsidRDefault="00573FF2">
      <w:pPr>
        <w:spacing w:line="360" w:lineRule="auto"/>
        <w:rPr>
          <w:rFonts w:ascii="KaiTi" w:eastAsia="KaiTi" w:hAnsi="KaiTi"/>
          <w:b/>
          <w:bCs/>
        </w:rPr>
      </w:pPr>
      <w:r>
        <w:rPr>
          <w:rFonts w:ascii="KaiTi" w:eastAsia="KaiTi" w:hAnsi="KaiTi"/>
        </w:rPr>
        <w:t xml:space="preserve">                                                      </w:t>
      </w:r>
      <w:r>
        <w:rPr>
          <w:rFonts w:ascii="KaiTi" w:eastAsia="KaiTi" w:hAnsi="KaiTi" w:hint="eastAsia"/>
          <w:b/>
          <w:bCs/>
        </w:rPr>
        <w:t>单位：亿元</w:t>
      </w:r>
    </w:p>
    <w:tbl>
      <w:tblPr>
        <w:tblW w:w="8800" w:type="dxa"/>
        <w:tblLayout w:type="fixed"/>
        <w:tblLook w:val="04A0" w:firstRow="1" w:lastRow="0" w:firstColumn="1" w:lastColumn="0" w:noHBand="0" w:noVBand="1"/>
      </w:tblPr>
      <w:tblGrid>
        <w:gridCol w:w="1860"/>
        <w:gridCol w:w="1080"/>
        <w:gridCol w:w="1080"/>
        <w:gridCol w:w="1080"/>
        <w:gridCol w:w="1080"/>
        <w:gridCol w:w="1080"/>
        <w:gridCol w:w="1540"/>
      </w:tblGrid>
      <w:tr w:rsidR="00E629F3" w14:paraId="152BE632" w14:textId="77777777">
        <w:trPr>
          <w:trHeight w:val="454"/>
        </w:trPr>
        <w:tc>
          <w:tcPr>
            <w:tcW w:w="1860" w:type="dxa"/>
            <w:tcBorders>
              <w:top w:val="single" w:sz="4" w:space="0" w:color="auto"/>
              <w:left w:val="single" w:sz="4" w:space="0" w:color="auto"/>
              <w:bottom w:val="single" w:sz="4" w:space="0" w:color="auto"/>
              <w:right w:val="single" w:sz="4" w:space="0" w:color="auto"/>
            </w:tcBorders>
            <w:shd w:val="clear" w:color="auto" w:fill="2E74B5" w:themeFill="accent5" w:themeFillShade="BF"/>
            <w:vAlign w:val="center"/>
          </w:tcPr>
          <w:p w14:paraId="284F3EA0" w14:textId="77777777" w:rsidR="00E629F3" w:rsidRDefault="00573FF2">
            <w:pPr>
              <w:spacing w:line="360" w:lineRule="auto"/>
              <w:jc w:val="center"/>
              <w:rPr>
                <w:rFonts w:ascii="KaiTi" w:eastAsia="KaiTi" w:hAnsi="KaiTi"/>
                <w:b/>
                <w:bCs/>
                <w:color w:val="FFFFFF"/>
                <w:sz w:val="22"/>
                <w:szCs w:val="22"/>
              </w:rPr>
            </w:pPr>
            <w:r>
              <w:rPr>
                <w:rFonts w:ascii="KaiTi" w:eastAsia="KaiTi" w:hAnsi="KaiTi" w:hint="eastAsia"/>
                <w:b/>
                <w:bCs/>
                <w:color w:val="FFFFFF"/>
                <w:sz w:val="22"/>
                <w:szCs w:val="22"/>
              </w:rPr>
              <w:t>营业外收入净额</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3225566"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2016</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732D24A"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2017</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3BA4F7A"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018</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2D87F00F"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019</w:t>
            </w:r>
          </w:p>
        </w:tc>
        <w:tc>
          <w:tcPr>
            <w:tcW w:w="1080"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3114923" w14:textId="77777777" w:rsidR="00E629F3" w:rsidRDefault="00573FF2">
            <w:pPr>
              <w:spacing w:line="360" w:lineRule="auto"/>
              <w:jc w:val="center"/>
              <w:rPr>
                <w:rFonts w:ascii="KaiTi" w:eastAsia="KaiTi" w:hAnsi="KaiTi"/>
                <w:b/>
                <w:bCs/>
                <w:color w:val="FFFFFF"/>
                <w:sz w:val="20"/>
                <w:szCs w:val="20"/>
              </w:rPr>
            </w:pPr>
            <w:r>
              <w:rPr>
                <w:rFonts w:ascii="KaiTi" w:eastAsia="KaiTi" w:hAnsi="KaiTi" w:hint="eastAsia"/>
                <w:b/>
                <w:bCs/>
                <w:color w:val="FFFFFF"/>
                <w:sz w:val="20"/>
                <w:szCs w:val="20"/>
              </w:rPr>
              <w:t>2</w:t>
            </w:r>
            <w:r>
              <w:rPr>
                <w:rFonts w:ascii="KaiTi" w:eastAsia="KaiTi" w:hAnsi="KaiTi"/>
                <w:b/>
                <w:bCs/>
                <w:color w:val="FFFFFF"/>
                <w:sz w:val="20"/>
                <w:szCs w:val="20"/>
              </w:rPr>
              <w:t>020</w:t>
            </w:r>
          </w:p>
        </w:tc>
        <w:tc>
          <w:tcPr>
            <w:tcW w:w="1540" w:type="dxa"/>
            <w:tcBorders>
              <w:top w:val="nil"/>
              <w:left w:val="nil"/>
              <w:bottom w:val="nil"/>
              <w:right w:val="nil"/>
            </w:tcBorders>
            <w:shd w:val="clear" w:color="auto" w:fill="auto"/>
            <w:noWrap/>
            <w:vAlign w:val="center"/>
          </w:tcPr>
          <w:p w14:paraId="592FADD0" w14:textId="77777777" w:rsidR="00E629F3" w:rsidRDefault="00E629F3">
            <w:pPr>
              <w:spacing w:line="360" w:lineRule="auto"/>
              <w:jc w:val="center"/>
              <w:rPr>
                <w:rFonts w:ascii="KaiTi" w:eastAsia="KaiTi" w:hAnsi="KaiTi"/>
                <w:b/>
                <w:bCs/>
                <w:color w:val="FFFFFF"/>
                <w:sz w:val="20"/>
                <w:szCs w:val="20"/>
              </w:rPr>
            </w:pPr>
          </w:p>
        </w:tc>
      </w:tr>
      <w:tr w:rsidR="00E629F3" w14:paraId="76213661" w14:textId="77777777">
        <w:trPr>
          <w:trHeight w:val="454"/>
        </w:trPr>
        <w:tc>
          <w:tcPr>
            <w:tcW w:w="1860" w:type="dxa"/>
            <w:tcBorders>
              <w:top w:val="nil"/>
              <w:left w:val="single" w:sz="4" w:space="0" w:color="auto"/>
              <w:bottom w:val="single" w:sz="4" w:space="0" w:color="auto"/>
              <w:right w:val="single" w:sz="4" w:space="0" w:color="auto"/>
            </w:tcBorders>
            <w:shd w:val="clear" w:color="auto" w:fill="auto"/>
            <w:vAlign w:val="center"/>
          </w:tcPr>
          <w:p w14:paraId="502AD9A4"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①营业外收入</w:t>
            </w:r>
          </w:p>
        </w:tc>
        <w:tc>
          <w:tcPr>
            <w:tcW w:w="1080" w:type="dxa"/>
            <w:tcBorders>
              <w:top w:val="nil"/>
              <w:left w:val="nil"/>
              <w:bottom w:val="single" w:sz="4" w:space="0" w:color="auto"/>
              <w:right w:val="single" w:sz="4" w:space="0" w:color="auto"/>
            </w:tcBorders>
            <w:shd w:val="clear" w:color="auto" w:fill="auto"/>
            <w:noWrap/>
            <w:vAlign w:val="center"/>
          </w:tcPr>
          <w:p w14:paraId="16EC3B60"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0.46</w:t>
            </w:r>
          </w:p>
        </w:tc>
        <w:tc>
          <w:tcPr>
            <w:tcW w:w="1080" w:type="dxa"/>
            <w:tcBorders>
              <w:top w:val="nil"/>
              <w:left w:val="nil"/>
              <w:bottom w:val="single" w:sz="4" w:space="0" w:color="auto"/>
              <w:right w:val="single" w:sz="4" w:space="0" w:color="auto"/>
            </w:tcBorders>
            <w:shd w:val="clear" w:color="auto" w:fill="auto"/>
            <w:noWrap/>
            <w:vAlign w:val="center"/>
          </w:tcPr>
          <w:p w14:paraId="7FAEA0B2"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0.20</w:t>
            </w:r>
          </w:p>
        </w:tc>
        <w:tc>
          <w:tcPr>
            <w:tcW w:w="1080" w:type="dxa"/>
            <w:tcBorders>
              <w:top w:val="nil"/>
              <w:left w:val="nil"/>
              <w:bottom w:val="single" w:sz="4" w:space="0" w:color="auto"/>
              <w:right w:val="single" w:sz="4" w:space="0" w:color="auto"/>
            </w:tcBorders>
            <w:shd w:val="clear" w:color="auto" w:fill="auto"/>
            <w:noWrap/>
            <w:vAlign w:val="center"/>
          </w:tcPr>
          <w:p w14:paraId="6957D029"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0.38</w:t>
            </w:r>
          </w:p>
        </w:tc>
        <w:tc>
          <w:tcPr>
            <w:tcW w:w="1080" w:type="dxa"/>
            <w:tcBorders>
              <w:top w:val="nil"/>
              <w:left w:val="nil"/>
              <w:bottom w:val="single" w:sz="4" w:space="0" w:color="auto"/>
              <w:right w:val="single" w:sz="4" w:space="0" w:color="auto"/>
            </w:tcBorders>
            <w:shd w:val="clear" w:color="auto" w:fill="auto"/>
            <w:noWrap/>
            <w:vAlign w:val="center"/>
          </w:tcPr>
          <w:p w14:paraId="68D9ACB4"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0.22</w:t>
            </w:r>
          </w:p>
        </w:tc>
        <w:tc>
          <w:tcPr>
            <w:tcW w:w="1080" w:type="dxa"/>
            <w:tcBorders>
              <w:top w:val="nil"/>
              <w:left w:val="nil"/>
              <w:bottom w:val="single" w:sz="4" w:space="0" w:color="auto"/>
              <w:right w:val="single" w:sz="4" w:space="0" w:color="auto"/>
            </w:tcBorders>
            <w:shd w:val="clear" w:color="000000" w:fill="FFFF00"/>
            <w:noWrap/>
            <w:vAlign w:val="center"/>
          </w:tcPr>
          <w:p w14:paraId="01C3603E" w14:textId="77777777" w:rsidR="00E629F3" w:rsidRDefault="00E629F3">
            <w:pPr>
              <w:spacing w:line="360" w:lineRule="auto"/>
              <w:jc w:val="right"/>
              <w:rPr>
                <w:rFonts w:ascii="KaiTi" w:eastAsia="KaiTi" w:hAnsi="KaiTi" w:cs="Arial"/>
                <w:sz w:val="21"/>
                <w:szCs w:val="21"/>
              </w:rPr>
            </w:pPr>
          </w:p>
        </w:tc>
        <w:tc>
          <w:tcPr>
            <w:tcW w:w="1540" w:type="dxa"/>
            <w:tcBorders>
              <w:top w:val="nil"/>
              <w:left w:val="nil"/>
              <w:bottom w:val="nil"/>
              <w:right w:val="nil"/>
            </w:tcBorders>
            <w:shd w:val="clear" w:color="auto" w:fill="auto"/>
            <w:noWrap/>
            <w:vAlign w:val="center"/>
          </w:tcPr>
          <w:p w14:paraId="3F4FDEC0" w14:textId="77777777" w:rsidR="00E629F3" w:rsidRDefault="00573FF2">
            <w:pPr>
              <w:spacing w:line="360" w:lineRule="auto"/>
              <w:rPr>
                <w:rFonts w:ascii="KaiTi" w:eastAsia="KaiTi" w:hAnsi="KaiTi"/>
                <w:color w:val="2F75B5"/>
              </w:rPr>
            </w:pPr>
            <w:r>
              <w:rPr>
                <w:rFonts w:ascii="KaiTi" w:eastAsia="KaiTi" w:hAnsi="KaiTi" w:hint="eastAsia"/>
                <w:color w:val="2F75B5"/>
              </w:rPr>
              <w:t>解析5</w:t>
            </w:r>
          </w:p>
        </w:tc>
      </w:tr>
      <w:tr w:rsidR="00E629F3" w14:paraId="36DFDA0B" w14:textId="77777777">
        <w:trPr>
          <w:trHeight w:val="454"/>
        </w:trPr>
        <w:tc>
          <w:tcPr>
            <w:tcW w:w="1860" w:type="dxa"/>
            <w:tcBorders>
              <w:top w:val="nil"/>
              <w:left w:val="single" w:sz="4" w:space="0" w:color="auto"/>
              <w:bottom w:val="single" w:sz="4" w:space="0" w:color="auto"/>
              <w:right w:val="single" w:sz="4" w:space="0" w:color="auto"/>
            </w:tcBorders>
            <w:shd w:val="clear" w:color="auto" w:fill="auto"/>
            <w:vAlign w:val="center"/>
          </w:tcPr>
          <w:p w14:paraId="733014C8"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②营业外支出</w:t>
            </w:r>
          </w:p>
        </w:tc>
        <w:tc>
          <w:tcPr>
            <w:tcW w:w="1080" w:type="dxa"/>
            <w:tcBorders>
              <w:top w:val="nil"/>
              <w:left w:val="nil"/>
              <w:bottom w:val="single" w:sz="4" w:space="0" w:color="auto"/>
              <w:right w:val="single" w:sz="4" w:space="0" w:color="auto"/>
            </w:tcBorders>
            <w:shd w:val="clear" w:color="auto" w:fill="auto"/>
            <w:noWrap/>
            <w:vAlign w:val="center"/>
          </w:tcPr>
          <w:p w14:paraId="169A2C14"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0.12</w:t>
            </w:r>
          </w:p>
        </w:tc>
        <w:tc>
          <w:tcPr>
            <w:tcW w:w="1080" w:type="dxa"/>
            <w:tcBorders>
              <w:top w:val="nil"/>
              <w:left w:val="nil"/>
              <w:bottom w:val="single" w:sz="4" w:space="0" w:color="auto"/>
              <w:right w:val="single" w:sz="4" w:space="0" w:color="auto"/>
            </w:tcBorders>
            <w:shd w:val="clear" w:color="auto" w:fill="auto"/>
            <w:noWrap/>
            <w:vAlign w:val="center"/>
          </w:tcPr>
          <w:p w14:paraId="3399B2A4"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0.08</w:t>
            </w:r>
          </w:p>
        </w:tc>
        <w:tc>
          <w:tcPr>
            <w:tcW w:w="1080" w:type="dxa"/>
            <w:tcBorders>
              <w:top w:val="nil"/>
              <w:left w:val="nil"/>
              <w:bottom w:val="single" w:sz="4" w:space="0" w:color="auto"/>
              <w:right w:val="single" w:sz="4" w:space="0" w:color="auto"/>
            </w:tcBorders>
            <w:shd w:val="clear" w:color="auto" w:fill="auto"/>
            <w:noWrap/>
            <w:vAlign w:val="center"/>
          </w:tcPr>
          <w:p w14:paraId="2A66F9F9"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0.12</w:t>
            </w:r>
          </w:p>
        </w:tc>
        <w:tc>
          <w:tcPr>
            <w:tcW w:w="1080" w:type="dxa"/>
            <w:tcBorders>
              <w:top w:val="nil"/>
              <w:left w:val="nil"/>
              <w:bottom w:val="single" w:sz="4" w:space="0" w:color="auto"/>
              <w:right w:val="single" w:sz="4" w:space="0" w:color="auto"/>
            </w:tcBorders>
            <w:shd w:val="clear" w:color="auto" w:fill="auto"/>
            <w:noWrap/>
            <w:vAlign w:val="center"/>
          </w:tcPr>
          <w:p w14:paraId="4B90885E"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0.13</w:t>
            </w:r>
          </w:p>
        </w:tc>
        <w:tc>
          <w:tcPr>
            <w:tcW w:w="1080" w:type="dxa"/>
            <w:tcBorders>
              <w:top w:val="nil"/>
              <w:left w:val="nil"/>
              <w:bottom w:val="single" w:sz="4" w:space="0" w:color="auto"/>
              <w:right w:val="single" w:sz="4" w:space="0" w:color="auto"/>
            </w:tcBorders>
            <w:shd w:val="clear" w:color="000000" w:fill="FFFF00"/>
            <w:noWrap/>
            <w:vAlign w:val="center"/>
          </w:tcPr>
          <w:p w14:paraId="02CC5FDC" w14:textId="77777777" w:rsidR="00E629F3" w:rsidRDefault="00E629F3">
            <w:pPr>
              <w:spacing w:line="360" w:lineRule="auto"/>
              <w:jc w:val="right"/>
              <w:rPr>
                <w:rFonts w:ascii="KaiTi" w:eastAsia="KaiTi" w:hAnsi="KaiTi" w:cs="Arial"/>
                <w:sz w:val="21"/>
                <w:szCs w:val="21"/>
              </w:rPr>
            </w:pPr>
          </w:p>
        </w:tc>
        <w:tc>
          <w:tcPr>
            <w:tcW w:w="1540" w:type="dxa"/>
            <w:tcBorders>
              <w:top w:val="nil"/>
              <w:left w:val="nil"/>
              <w:bottom w:val="nil"/>
              <w:right w:val="nil"/>
            </w:tcBorders>
            <w:shd w:val="clear" w:color="auto" w:fill="auto"/>
            <w:noWrap/>
            <w:vAlign w:val="center"/>
          </w:tcPr>
          <w:p w14:paraId="75862900" w14:textId="77777777" w:rsidR="00E629F3" w:rsidRDefault="00573FF2">
            <w:pPr>
              <w:spacing w:line="360" w:lineRule="auto"/>
              <w:rPr>
                <w:rFonts w:ascii="KaiTi" w:eastAsia="KaiTi" w:hAnsi="KaiTi"/>
                <w:color w:val="2F75B5"/>
              </w:rPr>
            </w:pPr>
            <w:r>
              <w:rPr>
                <w:rFonts w:ascii="KaiTi" w:eastAsia="KaiTi" w:hAnsi="KaiTi" w:hint="eastAsia"/>
                <w:color w:val="2F75B5"/>
              </w:rPr>
              <w:t>解析5</w:t>
            </w:r>
          </w:p>
        </w:tc>
      </w:tr>
      <w:tr w:rsidR="00E629F3" w14:paraId="7CB4B70B" w14:textId="77777777">
        <w:trPr>
          <w:trHeight w:val="454"/>
        </w:trPr>
        <w:tc>
          <w:tcPr>
            <w:tcW w:w="1860" w:type="dxa"/>
            <w:tcBorders>
              <w:top w:val="nil"/>
              <w:left w:val="single" w:sz="4" w:space="0" w:color="auto"/>
              <w:bottom w:val="single" w:sz="4" w:space="0" w:color="auto"/>
              <w:right w:val="single" w:sz="4" w:space="0" w:color="auto"/>
            </w:tcBorders>
            <w:shd w:val="clear" w:color="auto" w:fill="auto"/>
            <w:vAlign w:val="center"/>
          </w:tcPr>
          <w:p w14:paraId="44BC97E9" w14:textId="77777777" w:rsidR="00E629F3" w:rsidRDefault="00573FF2">
            <w:pPr>
              <w:jc w:val="center"/>
              <w:rPr>
                <w:rFonts w:ascii="KaiTi" w:eastAsia="KaiTi" w:hAnsi="KaiTi"/>
                <w:sz w:val="22"/>
                <w:szCs w:val="22"/>
              </w:rPr>
            </w:pPr>
            <w:r>
              <w:rPr>
                <w:rFonts w:ascii="KaiTi" w:eastAsia="KaiTi" w:hAnsi="KaiTi" w:hint="eastAsia"/>
                <w:sz w:val="22"/>
                <w:szCs w:val="22"/>
              </w:rPr>
              <w:t>营业外收入净额=①-②</w:t>
            </w:r>
          </w:p>
        </w:tc>
        <w:tc>
          <w:tcPr>
            <w:tcW w:w="1080" w:type="dxa"/>
            <w:tcBorders>
              <w:top w:val="nil"/>
              <w:left w:val="nil"/>
              <w:bottom w:val="single" w:sz="4" w:space="0" w:color="auto"/>
              <w:right w:val="single" w:sz="4" w:space="0" w:color="auto"/>
            </w:tcBorders>
            <w:shd w:val="clear" w:color="auto" w:fill="auto"/>
            <w:noWrap/>
            <w:vAlign w:val="center"/>
          </w:tcPr>
          <w:p w14:paraId="121C9D2A"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0.34</w:t>
            </w:r>
          </w:p>
        </w:tc>
        <w:tc>
          <w:tcPr>
            <w:tcW w:w="1080" w:type="dxa"/>
            <w:tcBorders>
              <w:top w:val="nil"/>
              <w:left w:val="nil"/>
              <w:bottom w:val="single" w:sz="4" w:space="0" w:color="auto"/>
              <w:right w:val="single" w:sz="4" w:space="0" w:color="auto"/>
            </w:tcBorders>
            <w:shd w:val="clear" w:color="auto" w:fill="auto"/>
            <w:noWrap/>
            <w:vAlign w:val="center"/>
          </w:tcPr>
          <w:p w14:paraId="6EC60DBA"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0.11</w:t>
            </w:r>
          </w:p>
        </w:tc>
        <w:tc>
          <w:tcPr>
            <w:tcW w:w="1080" w:type="dxa"/>
            <w:tcBorders>
              <w:top w:val="nil"/>
              <w:left w:val="nil"/>
              <w:bottom w:val="single" w:sz="4" w:space="0" w:color="auto"/>
              <w:right w:val="single" w:sz="4" w:space="0" w:color="auto"/>
            </w:tcBorders>
            <w:shd w:val="clear" w:color="auto" w:fill="auto"/>
            <w:noWrap/>
            <w:vAlign w:val="center"/>
          </w:tcPr>
          <w:p w14:paraId="3F097E9F"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0.26</w:t>
            </w:r>
          </w:p>
        </w:tc>
        <w:tc>
          <w:tcPr>
            <w:tcW w:w="1080" w:type="dxa"/>
            <w:tcBorders>
              <w:top w:val="nil"/>
              <w:left w:val="nil"/>
              <w:bottom w:val="single" w:sz="4" w:space="0" w:color="auto"/>
              <w:right w:val="single" w:sz="4" w:space="0" w:color="auto"/>
            </w:tcBorders>
            <w:shd w:val="clear" w:color="auto" w:fill="auto"/>
            <w:noWrap/>
            <w:vAlign w:val="center"/>
          </w:tcPr>
          <w:p w14:paraId="6A4B82E2"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0.09</w:t>
            </w:r>
          </w:p>
        </w:tc>
        <w:tc>
          <w:tcPr>
            <w:tcW w:w="1080" w:type="dxa"/>
            <w:tcBorders>
              <w:top w:val="nil"/>
              <w:left w:val="nil"/>
              <w:bottom w:val="single" w:sz="4" w:space="0" w:color="auto"/>
              <w:right w:val="single" w:sz="4" w:space="0" w:color="auto"/>
            </w:tcBorders>
            <w:shd w:val="clear" w:color="000000" w:fill="FFFF00"/>
            <w:noWrap/>
            <w:vAlign w:val="center"/>
          </w:tcPr>
          <w:p w14:paraId="6DE9123B" w14:textId="77777777" w:rsidR="00E629F3" w:rsidRDefault="00E629F3">
            <w:pPr>
              <w:spacing w:line="360" w:lineRule="auto"/>
              <w:jc w:val="right"/>
              <w:rPr>
                <w:rFonts w:ascii="KaiTi" w:eastAsia="KaiTi" w:hAnsi="KaiTi" w:cs="Arial"/>
                <w:sz w:val="21"/>
                <w:szCs w:val="21"/>
              </w:rPr>
            </w:pPr>
          </w:p>
        </w:tc>
        <w:tc>
          <w:tcPr>
            <w:tcW w:w="1540" w:type="dxa"/>
            <w:tcBorders>
              <w:top w:val="nil"/>
              <w:left w:val="nil"/>
              <w:bottom w:val="nil"/>
              <w:right w:val="nil"/>
            </w:tcBorders>
            <w:shd w:val="clear" w:color="auto" w:fill="auto"/>
            <w:noWrap/>
            <w:vAlign w:val="center"/>
          </w:tcPr>
          <w:p w14:paraId="216D647C" w14:textId="77777777" w:rsidR="00E629F3" w:rsidRDefault="00573FF2">
            <w:pPr>
              <w:spacing w:line="360" w:lineRule="auto"/>
              <w:rPr>
                <w:rFonts w:ascii="KaiTi" w:eastAsia="KaiTi" w:hAnsi="KaiTi"/>
                <w:color w:val="2F75B5"/>
              </w:rPr>
            </w:pPr>
            <w:r>
              <w:rPr>
                <w:rFonts w:ascii="KaiTi" w:eastAsia="KaiTi" w:hAnsi="KaiTi" w:hint="eastAsia"/>
                <w:color w:val="2F75B5"/>
              </w:rPr>
              <w:t>下面有公式</w:t>
            </w:r>
          </w:p>
        </w:tc>
      </w:tr>
      <w:tr w:rsidR="00E629F3" w14:paraId="220297BD" w14:textId="77777777">
        <w:trPr>
          <w:trHeight w:val="454"/>
        </w:trPr>
        <w:tc>
          <w:tcPr>
            <w:tcW w:w="1860" w:type="dxa"/>
            <w:tcBorders>
              <w:top w:val="nil"/>
              <w:left w:val="single" w:sz="4" w:space="0" w:color="auto"/>
              <w:bottom w:val="single" w:sz="4" w:space="0" w:color="auto"/>
              <w:right w:val="single" w:sz="4" w:space="0" w:color="auto"/>
            </w:tcBorders>
            <w:shd w:val="clear" w:color="auto" w:fill="auto"/>
            <w:vAlign w:val="center"/>
          </w:tcPr>
          <w:p w14:paraId="3BDF2492" w14:textId="77777777" w:rsidR="00E629F3" w:rsidRDefault="00573FF2">
            <w:pPr>
              <w:spacing w:line="360" w:lineRule="auto"/>
              <w:jc w:val="center"/>
              <w:rPr>
                <w:rFonts w:ascii="KaiTi" w:eastAsia="KaiTi" w:hAnsi="KaiTi"/>
                <w:sz w:val="22"/>
                <w:szCs w:val="22"/>
              </w:rPr>
            </w:pPr>
            <w:r>
              <w:rPr>
                <w:rFonts w:ascii="KaiTi" w:eastAsia="KaiTi" w:hAnsi="KaiTi" w:hint="eastAsia"/>
                <w:sz w:val="22"/>
                <w:szCs w:val="22"/>
              </w:rPr>
              <w:t>利润总额</w:t>
            </w:r>
          </w:p>
        </w:tc>
        <w:tc>
          <w:tcPr>
            <w:tcW w:w="1080" w:type="dxa"/>
            <w:tcBorders>
              <w:top w:val="nil"/>
              <w:left w:val="nil"/>
              <w:bottom w:val="single" w:sz="4" w:space="0" w:color="auto"/>
              <w:right w:val="single" w:sz="4" w:space="0" w:color="auto"/>
            </w:tcBorders>
            <w:shd w:val="clear" w:color="auto" w:fill="auto"/>
            <w:noWrap/>
            <w:vAlign w:val="center"/>
          </w:tcPr>
          <w:p w14:paraId="7A8ACD60"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77.61</w:t>
            </w:r>
          </w:p>
        </w:tc>
        <w:tc>
          <w:tcPr>
            <w:tcW w:w="1080" w:type="dxa"/>
            <w:tcBorders>
              <w:top w:val="nil"/>
              <w:left w:val="nil"/>
              <w:bottom w:val="single" w:sz="4" w:space="0" w:color="auto"/>
              <w:right w:val="single" w:sz="4" w:space="0" w:color="auto"/>
            </w:tcBorders>
            <w:shd w:val="clear" w:color="auto" w:fill="auto"/>
            <w:noWrap/>
            <w:vAlign w:val="center"/>
          </w:tcPr>
          <w:p w14:paraId="39F5E1FF"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88.48</w:t>
            </w:r>
          </w:p>
        </w:tc>
        <w:tc>
          <w:tcPr>
            <w:tcW w:w="1080" w:type="dxa"/>
            <w:tcBorders>
              <w:top w:val="nil"/>
              <w:left w:val="nil"/>
              <w:bottom w:val="single" w:sz="4" w:space="0" w:color="auto"/>
              <w:right w:val="single" w:sz="4" w:space="0" w:color="auto"/>
            </w:tcBorders>
            <w:shd w:val="clear" w:color="auto" w:fill="auto"/>
            <w:noWrap/>
            <w:vAlign w:val="center"/>
          </w:tcPr>
          <w:p w14:paraId="28EBD2DF"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108.39</w:t>
            </w:r>
          </w:p>
        </w:tc>
        <w:tc>
          <w:tcPr>
            <w:tcW w:w="1080" w:type="dxa"/>
            <w:tcBorders>
              <w:top w:val="nil"/>
              <w:left w:val="nil"/>
              <w:bottom w:val="single" w:sz="4" w:space="0" w:color="auto"/>
              <w:right w:val="single" w:sz="4" w:space="0" w:color="auto"/>
            </w:tcBorders>
            <w:shd w:val="clear" w:color="auto" w:fill="auto"/>
            <w:noWrap/>
            <w:vAlign w:val="center"/>
          </w:tcPr>
          <w:p w14:paraId="7A0589AD" w14:textId="77777777" w:rsidR="00E629F3" w:rsidRDefault="00573FF2">
            <w:pPr>
              <w:spacing w:line="360" w:lineRule="auto"/>
              <w:jc w:val="right"/>
              <w:rPr>
                <w:rFonts w:ascii="KaiTi" w:eastAsia="KaiTi" w:hAnsi="KaiTi" w:cs="Arial"/>
                <w:sz w:val="21"/>
                <w:szCs w:val="21"/>
              </w:rPr>
            </w:pPr>
            <w:r>
              <w:rPr>
                <w:rFonts w:ascii="KaiTi" w:eastAsia="KaiTi" w:hAnsi="KaiTi" w:cs="Arial" w:hint="eastAsia"/>
                <w:sz w:val="21"/>
                <w:szCs w:val="21"/>
              </w:rPr>
              <w:t>97.71</w:t>
            </w:r>
          </w:p>
        </w:tc>
        <w:tc>
          <w:tcPr>
            <w:tcW w:w="1080" w:type="dxa"/>
            <w:tcBorders>
              <w:top w:val="nil"/>
              <w:left w:val="nil"/>
              <w:bottom w:val="single" w:sz="4" w:space="0" w:color="auto"/>
              <w:right w:val="single" w:sz="4" w:space="0" w:color="auto"/>
            </w:tcBorders>
            <w:shd w:val="clear" w:color="auto" w:fill="auto"/>
            <w:noWrap/>
            <w:vAlign w:val="center"/>
          </w:tcPr>
          <w:p w14:paraId="417FBBCA" w14:textId="77777777" w:rsidR="00E629F3" w:rsidRDefault="00573FF2">
            <w:pPr>
              <w:spacing w:line="360" w:lineRule="auto"/>
              <w:jc w:val="right"/>
              <w:rPr>
                <w:rFonts w:ascii="KaiTi" w:eastAsia="KaiTi" w:hAnsi="KaiTi" w:cs="Arial"/>
                <w:sz w:val="21"/>
                <w:szCs w:val="21"/>
              </w:rPr>
            </w:pPr>
            <w:r>
              <w:rPr>
                <w:rFonts w:ascii="KaiTi" w:eastAsia="KaiTi" w:hAnsi="KaiTi" w:cs="Arial"/>
                <w:sz w:val="21"/>
                <w:szCs w:val="21"/>
              </w:rPr>
              <w:t>98.79</w:t>
            </w:r>
          </w:p>
        </w:tc>
        <w:tc>
          <w:tcPr>
            <w:tcW w:w="1540" w:type="dxa"/>
            <w:tcBorders>
              <w:top w:val="nil"/>
              <w:left w:val="nil"/>
              <w:bottom w:val="nil"/>
              <w:right w:val="nil"/>
            </w:tcBorders>
            <w:shd w:val="clear" w:color="auto" w:fill="auto"/>
            <w:noWrap/>
            <w:vAlign w:val="center"/>
          </w:tcPr>
          <w:p w14:paraId="5C541DA8" w14:textId="77777777" w:rsidR="00E629F3" w:rsidRDefault="00E629F3">
            <w:pPr>
              <w:spacing w:line="360" w:lineRule="auto"/>
              <w:jc w:val="right"/>
              <w:rPr>
                <w:rFonts w:ascii="KaiTi" w:eastAsia="KaiTi" w:hAnsi="KaiTi"/>
                <w:color w:val="000000"/>
                <w:sz w:val="22"/>
                <w:szCs w:val="22"/>
              </w:rPr>
            </w:pPr>
          </w:p>
        </w:tc>
      </w:tr>
      <w:tr w:rsidR="00E629F3" w14:paraId="6CF31255" w14:textId="77777777">
        <w:trPr>
          <w:trHeight w:val="454"/>
        </w:trPr>
        <w:tc>
          <w:tcPr>
            <w:tcW w:w="1860" w:type="dxa"/>
            <w:tcBorders>
              <w:top w:val="nil"/>
              <w:left w:val="single" w:sz="4" w:space="0" w:color="auto"/>
              <w:bottom w:val="single" w:sz="4" w:space="0" w:color="auto"/>
              <w:right w:val="single" w:sz="4" w:space="0" w:color="auto"/>
            </w:tcBorders>
            <w:shd w:val="clear" w:color="auto" w:fill="auto"/>
            <w:vAlign w:val="center"/>
          </w:tcPr>
          <w:p w14:paraId="5884021A" w14:textId="77777777" w:rsidR="00E629F3" w:rsidRDefault="00573FF2">
            <w:pPr>
              <w:jc w:val="center"/>
              <w:rPr>
                <w:rFonts w:ascii="KaiTi" w:eastAsia="KaiTi" w:hAnsi="KaiTi"/>
                <w:sz w:val="22"/>
                <w:szCs w:val="22"/>
              </w:rPr>
            </w:pPr>
            <w:r>
              <w:rPr>
                <w:rFonts w:ascii="KaiTi" w:eastAsia="KaiTi" w:hAnsi="KaiTi" w:hint="eastAsia"/>
                <w:sz w:val="22"/>
                <w:szCs w:val="22"/>
              </w:rPr>
              <w:t>营业外收入净额/利润总额</w:t>
            </w:r>
          </w:p>
        </w:tc>
        <w:tc>
          <w:tcPr>
            <w:tcW w:w="1080" w:type="dxa"/>
            <w:tcBorders>
              <w:top w:val="nil"/>
              <w:left w:val="nil"/>
              <w:bottom w:val="single" w:sz="4" w:space="0" w:color="auto"/>
              <w:right w:val="single" w:sz="4" w:space="0" w:color="auto"/>
            </w:tcBorders>
            <w:shd w:val="clear" w:color="auto" w:fill="auto"/>
            <w:noWrap/>
            <w:vAlign w:val="center"/>
          </w:tcPr>
          <w:p w14:paraId="5B51947B" w14:textId="77777777" w:rsidR="00E629F3" w:rsidRDefault="00573FF2">
            <w:pPr>
              <w:spacing w:line="360" w:lineRule="auto"/>
              <w:jc w:val="right"/>
              <w:rPr>
                <w:rFonts w:ascii="KaiTi" w:eastAsia="KaiTi" w:hAnsi="KaiTi" w:cs="Arial"/>
                <w:sz w:val="21"/>
                <w:szCs w:val="21"/>
              </w:rPr>
            </w:pPr>
            <w:r>
              <w:rPr>
                <w:rFonts w:ascii="KaiTi" w:eastAsia="KaiTi" w:hAnsi="KaiTi" w:cs="Arial"/>
                <w:sz w:val="21"/>
                <w:szCs w:val="21"/>
              </w:rPr>
              <w:t>0.43%</w:t>
            </w:r>
          </w:p>
        </w:tc>
        <w:tc>
          <w:tcPr>
            <w:tcW w:w="1080" w:type="dxa"/>
            <w:tcBorders>
              <w:top w:val="nil"/>
              <w:left w:val="nil"/>
              <w:bottom w:val="single" w:sz="4" w:space="0" w:color="auto"/>
              <w:right w:val="single" w:sz="4" w:space="0" w:color="auto"/>
            </w:tcBorders>
            <w:shd w:val="clear" w:color="auto" w:fill="auto"/>
            <w:noWrap/>
            <w:vAlign w:val="center"/>
          </w:tcPr>
          <w:p w14:paraId="63BA283F" w14:textId="77777777" w:rsidR="00E629F3" w:rsidRDefault="00573FF2">
            <w:pPr>
              <w:spacing w:line="360" w:lineRule="auto"/>
              <w:jc w:val="right"/>
              <w:rPr>
                <w:rFonts w:ascii="KaiTi" w:eastAsia="KaiTi" w:hAnsi="KaiTi" w:cs="Arial"/>
                <w:sz w:val="21"/>
                <w:szCs w:val="21"/>
              </w:rPr>
            </w:pPr>
            <w:r>
              <w:rPr>
                <w:rFonts w:ascii="KaiTi" w:eastAsia="KaiTi" w:hAnsi="KaiTi" w:cs="Arial"/>
                <w:sz w:val="21"/>
                <w:szCs w:val="21"/>
              </w:rPr>
              <w:t>0.13%</w:t>
            </w:r>
          </w:p>
        </w:tc>
        <w:tc>
          <w:tcPr>
            <w:tcW w:w="1080" w:type="dxa"/>
            <w:tcBorders>
              <w:top w:val="nil"/>
              <w:left w:val="nil"/>
              <w:bottom w:val="single" w:sz="4" w:space="0" w:color="auto"/>
              <w:right w:val="single" w:sz="4" w:space="0" w:color="auto"/>
            </w:tcBorders>
            <w:shd w:val="clear" w:color="auto" w:fill="auto"/>
            <w:noWrap/>
            <w:vAlign w:val="center"/>
          </w:tcPr>
          <w:p w14:paraId="77A6D27F" w14:textId="77777777" w:rsidR="00E629F3" w:rsidRDefault="00573FF2">
            <w:pPr>
              <w:spacing w:line="360" w:lineRule="auto"/>
              <w:jc w:val="right"/>
              <w:rPr>
                <w:rFonts w:ascii="KaiTi" w:eastAsia="KaiTi" w:hAnsi="KaiTi" w:cs="Arial"/>
                <w:sz w:val="21"/>
                <w:szCs w:val="21"/>
              </w:rPr>
            </w:pPr>
            <w:r>
              <w:rPr>
                <w:rFonts w:ascii="KaiTi" w:eastAsia="KaiTi" w:hAnsi="KaiTi" w:cs="Arial"/>
                <w:sz w:val="21"/>
                <w:szCs w:val="21"/>
              </w:rPr>
              <w:t>0.24%</w:t>
            </w:r>
          </w:p>
        </w:tc>
        <w:tc>
          <w:tcPr>
            <w:tcW w:w="1080" w:type="dxa"/>
            <w:tcBorders>
              <w:top w:val="nil"/>
              <w:left w:val="nil"/>
              <w:bottom w:val="single" w:sz="4" w:space="0" w:color="auto"/>
              <w:right w:val="single" w:sz="4" w:space="0" w:color="auto"/>
            </w:tcBorders>
            <w:shd w:val="clear" w:color="auto" w:fill="auto"/>
            <w:noWrap/>
            <w:vAlign w:val="center"/>
          </w:tcPr>
          <w:p w14:paraId="55E65BA1" w14:textId="77777777" w:rsidR="00E629F3" w:rsidRDefault="00573FF2">
            <w:pPr>
              <w:spacing w:line="360" w:lineRule="auto"/>
              <w:jc w:val="right"/>
              <w:rPr>
                <w:rFonts w:ascii="KaiTi" w:eastAsia="KaiTi" w:hAnsi="KaiTi" w:cs="Arial"/>
                <w:sz w:val="21"/>
                <w:szCs w:val="21"/>
              </w:rPr>
            </w:pPr>
            <w:r>
              <w:rPr>
                <w:rFonts w:ascii="KaiTi" w:eastAsia="KaiTi" w:hAnsi="KaiTi" w:cs="Arial"/>
                <w:sz w:val="21"/>
                <w:szCs w:val="21"/>
              </w:rPr>
              <w:t>0.09%</w:t>
            </w:r>
          </w:p>
        </w:tc>
        <w:tc>
          <w:tcPr>
            <w:tcW w:w="1080" w:type="dxa"/>
            <w:tcBorders>
              <w:top w:val="nil"/>
              <w:left w:val="nil"/>
              <w:bottom w:val="single" w:sz="4" w:space="0" w:color="auto"/>
              <w:right w:val="single" w:sz="4" w:space="0" w:color="auto"/>
            </w:tcBorders>
            <w:shd w:val="clear" w:color="000000" w:fill="FFFF00"/>
            <w:noWrap/>
            <w:vAlign w:val="center"/>
          </w:tcPr>
          <w:p w14:paraId="01561552" w14:textId="77777777" w:rsidR="00E629F3" w:rsidRDefault="00E629F3">
            <w:pPr>
              <w:spacing w:line="360" w:lineRule="auto"/>
              <w:jc w:val="right"/>
              <w:rPr>
                <w:rFonts w:ascii="KaiTi" w:eastAsia="KaiTi" w:hAnsi="KaiTi" w:cs="Arial"/>
                <w:sz w:val="21"/>
                <w:szCs w:val="21"/>
              </w:rPr>
            </w:pPr>
          </w:p>
        </w:tc>
        <w:tc>
          <w:tcPr>
            <w:tcW w:w="1540" w:type="dxa"/>
            <w:tcBorders>
              <w:top w:val="nil"/>
              <w:left w:val="nil"/>
              <w:bottom w:val="nil"/>
              <w:right w:val="nil"/>
            </w:tcBorders>
            <w:shd w:val="clear" w:color="auto" w:fill="auto"/>
            <w:noWrap/>
            <w:vAlign w:val="center"/>
          </w:tcPr>
          <w:p w14:paraId="5E7C987E" w14:textId="77777777" w:rsidR="00E629F3" w:rsidRDefault="00E629F3">
            <w:pPr>
              <w:spacing w:line="360" w:lineRule="auto"/>
              <w:jc w:val="right"/>
              <w:rPr>
                <w:rFonts w:ascii="KaiTi" w:eastAsia="KaiTi" w:hAnsi="KaiTi" w:cs="Arial"/>
                <w:sz w:val="20"/>
                <w:szCs w:val="20"/>
              </w:rPr>
            </w:pPr>
          </w:p>
        </w:tc>
      </w:tr>
    </w:tbl>
    <w:p w14:paraId="44133626" w14:textId="77777777" w:rsidR="00E629F3" w:rsidRDefault="00573FF2">
      <w:pPr>
        <w:spacing w:line="360" w:lineRule="auto"/>
        <w:ind w:rightChars="42" w:right="101"/>
        <w:rPr>
          <w:rFonts w:ascii="KaiTi" w:eastAsia="KaiTi" w:hAnsi="KaiTi"/>
          <w:b/>
          <w:bCs/>
          <w:color w:val="4472C4" w:themeColor="accent1"/>
        </w:rPr>
      </w:pPr>
      <w:r>
        <w:rPr>
          <w:rFonts w:ascii="KaiTi" w:eastAsia="KaiTi" w:hAnsi="KaiTi" w:hint="eastAsia"/>
          <w:b/>
          <w:bCs/>
          <w:color w:val="4472C4" w:themeColor="accent1"/>
        </w:rPr>
        <w:t>计算公式：营业外收入净额=营业外收入-营业外支出</w:t>
      </w:r>
    </w:p>
    <w:p w14:paraId="30111F9B" w14:textId="77777777" w:rsidR="00E629F3" w:rsidRDefault="00573FF2">
      <w:pPr>
        <w:pStyle w:val="01761"/>
      </w:pPr>
      <w:r>
        <w:rPr>
          <w:rFonts w:hint="eastAsia"/>
        </w:rPr>
        <w:t>3.分析各年变化趋势</w:t>
      </w:r>
    </w:p>
    <w:p w14:paraId="1BF641F2" w14:textId="77777777" w:rsidR="00E629F3" w:rsidRDefault="00573FF2">
      <w:pPr>
        <w:pStyle w:val="017"/>
        <w:ind w:firstLineChars="200" w:firstLine="480"/>
      </w:pPr>
      <w:r>
        <w:rPr>
          <w:rFonts w:hint="eastAsia"/>
        </w:rPr>
        <w:t>通过计算得出，洋河股份2</w:t>
      </w:r>
      <w:r>
        <w:t>016</w:t>
      </w:r>
      <w:r>
        <w:rPr>
          <w:rFonts w:hint="eastAsia"/>
        </w:rPr>
        <w:t>-</w:t>
      </w:r>
      <w:r>
        <w:t>2020</w:t>
      </w:r>
      <w:r>
        <w:rPr>
          <w:rFonts w:hint="eastAsia"/>
        </w:rPr>
        <w:t>年度营业外收入净额占利润总额的比值分别是</w:t>
      </w:r>
      <w:r>
        <w:rPr>
          <w:rFonts w:hint="eastAsia"/>
          <w:u w:val="single"/>
        </w:rPr>
        <w:t xml:space="preserve"> </w:t>
      </w:r>
      <w:r>
        <w:rPr>
          <w:u w:val="single"/>
        </w:rPr>
        <w:t xml:space="preserve">     </w:t>
      </w:r>
      <w:r>
        <w:rPr>
          <w:rFonts w:hint="eastAsia"/>
        </w:rPr>
        <w:t>%、</w:t>
      </w:r>
      <w:r>
        <w:rPr>
          <w:rFonts w:hint="eastAsia"/>
          <w:u w:val="single"/>
        </w:rPr>
        <w:t xml:space="preserve"> </w:t>
      </w:r>
      <w:r>
        <w:rPr>
          <w:u w:val="single"/>
        </w:rPr>
        <w:t xml:space="preserve">     </w:t>
      </w:r>
      <w:r>
        <w:rPr>
          <w:rFonts w:hint="eastAsia"/>
        </w:rPr>
        <w:t>%、</w:t>
      </w:r>
      <w:r>
        <w:rPr>
          <w:rFonts w:hint="eastAsia"/>
          <w:u w:val="single"/>
        </w:rPr>
        <w:t xml:space="preserve"> </w:t>
      </w:r>
      <w:r>
        <w:rPr>
          <w:u w:val="single"/>
        </w:rPr>
        <w:t xml:space="preserve">     </w:t>
      </w:r>
      <w:r>
        <w:rPr>
          <w:rFonts w:hint="eastAsia"/>
        </w:rPr>
        <w:t>%、</w:t>
      </w:r>
      <w:r>
        <w:rPr>
          <w:rFonts w:hint="eastAsia"/>
          <w:u w:val="single"/>
        </w:rPr>
        <w:t xml:space="preserve"> </w:t>
      </w:r>
      <w:r>
        <w:rPr>
          <w:u w:val="single"/>
        </w:rPr>
        <w:t xml:space="preserve">     </w:t>
      </w:r>
      <w:r>
        <w:rPr>
          <w:rFonts w:hint="eastAsia"/>
        </w:rPr>
        <w:t>%、</w:t>
      </w:r>
      <w:r>
        <w:rPr>
          <w:rFonts w:hint="eastAsia"/>
          <w:u w:val="single"/>
        </w:rPr>
        <w:t xml:space="preserve"> </w:t>
      </w:r>
      <w:r>
        <w:rPr>
          <w:u w:val="single"/>
        </w:rPr>
        <w:t xml:space="preserve">     </w:t>
      </w:r>
      <w:r>
        <w:rPr>
          <w:rFonts w:hint="eastAsia"/>
        </w:rPr>
        <w:t>%，均</w:t>
      </w:r>
      <w:r>
        <w:rPr>
          <w:rFonts w:hint="eastAsia"/>
          <w:u w:val="single"/>
        </w:rPr>
        <w:t xml:space="preserve"> </w:t>
      </w:r>
      <w:r>
        <w:rPr>
          <w:u w:val="single"/>
        </w:rPr>
        <w:t xml:space="preserve">     </w:t>
      </w:r>
      <w:r>
        <w:rPr>
          <w:rFonts w:hint="eastAsia"/>
          <w:b/>
          <w:bCs/>
          <w:color w:val="C45911" w:themeColor="accent2" w:themeShade="BF"/>
        </w:rPr>
        <w:t>（选项：大于5%或小于5%）</w:t>
      </w:r>
      <w:r>
        <w:rPr>
          <w:rFonts w:hint="eastAsia"/>
        </w:rPr>
        <w:t>，洋河股份的利润质量</w:t>
      </w:r>
      <w:r>
        <w:rPr>
          <w:u w:val="single"/>
        </w:rPr>
        <w:t xml:space="preserve">     </w:t>
      </w:r>
      <w:r>
        <w:rPr>
          <w:rFonts w:hint="eastAsia"/>
          <w:b/>
          <w:bCs/>
          <w:color w:val="C45911" w:themeColor="accent2" w:themeShade="BF"/>
        </w:rPr>
        <w:t>（参照以上营业外收入净额的思维导图得出结论，选项：较好或较差）</w:t>
      </w:r>
      <w:r>
        <w:rPr>
          <w:rFonts w:hint="eastAsia"/>
        </w:rPr>
        <w:t>。</w:t>
      </w:r>
    </w:p>
    <w:p w14:paraId="514CA313" w14:textId="77777777" w:rsidR="00E629F3" w:rsidRDefault="00573FF2">
      <w:pPr>
        <w:pStyle w:val="01761"/>
      </w:pPr>
      <w:r>
        <w:rPr>
          <w:rFonts w:hint="eastAsia"/>
        </w:rPr>
        <w:t>4</w:t>
      </w:r>
      <w:r>
        <w:t>.</w:t>
      </w:r>
      <w:r>
        <w:rPr>
          <w:rFonts w:hint="eastAsia"/>
        </w:rPr>
        <w:t>根据分析得出结论</w:t>
      </w:r>
    </w:p>
    <w:p w14:paraId="0418F8A8" w14:textId="77777777" w:rsidR="00E629F3" w:rsidRDefault="00573FF2">
      <w:pPr>
        <w:pStyle w:val="017"/>
        <w:ind w:firstLineChars="200" w:firstLine="480"/>
      </w:pPr>
      <w:r>
        <w:rPr>
          <w:rFonts w:hint="eastAsia"/>
        </w:rPr>
        <w:t>洋河股份的营业外收入净额占利润总额的比值均</w:t>
      </w:r>
      <w:r>
        <w:rPr>
          <w:rFonts w:hint="eastAsia"/>
          <w:u w:val="single"/>
        </w:rPr>
        <w:t xml:space="preserve"> </w:t>
      </w:r>
      <w:r>
        <w:rPr>
          <w:u w:val="single"/>
        </w:rPr>
        <w:t xml:space="preserve">     </w:t>
      </w:r>
      <w:r>
        <w:rPr>
          <w:rFonts w:hint="eastAsia"/>
          <w:b/>
          <w:bCs/>
          <w:color w:val="C45911" w:themeColor="accent2" w:themeShade="BF"/>
        </w:rPr>
        <w:t>（选项：大于5%或小于5%）</w:t>
      </w:r>
      <w:r>
        <w:rPr>
          <w:rFonts w:hint="eastAsia"/>
        </w:rPr>
        <w:t>，利润质量</w:t>
      </w:r>
      <w:r>
        <w:rPr>
          <w:u w:val="single"/>
        </w:rPr>
        <w:t xml:space="preserve">     </w:t>
      </w:r>
      <w:r>
        <w:rPr>
          <w:rFonts w:hint="eastAsia"/>
          <w:b/>
          <w:bCs/>
          <w:color w:val="C45911" w:themeColor="accent2" w:themeShade="BF"/>
        </w:rPr>
        <w:t>（参照以上营业外收入净额的思维导图得出结论，选项：较好或较差）</w:t>
      </w:r>
      <w:r>
        <w:rPr>
          <w:rFonts w:hint="eastAsia"/>
        </w:rPr>
        <w:t>。</w:t>
      </w:r>
    </w:p>
    <w:p w14:paraId="4D07F5F5" w14:textId="77777777" w:rsidR="00E629F3" w:rsidRDefault="00573FF2">
      <w:pPr>
        <w:pStyle w:val="3"/>
        <w:spacing w:line="360" w:lineRule="auto"/>
        <w:ind w:firstLine="643"/>
        <w:rPr>
          <w:rFonts w:ascii="KaiTi" w:eastAsia="KaiTi" w:hAnsi="KaiTi"/>
          <w:szCs w:val="28"/>
        </w:rPr>
      </w:pPr>
      <w:r>
        <w:rPr>
          <w:rFonts w:ascii="KaiTi" w:eastAsia="KaiTi" w:hAnsi="KaiTi" w:hint="eastAsia"/>
          <w:szCs w:val="28"/>
        </w:rPr>
        <w:t>七、</w:t>
      </w:r>
      <w:proofErr w:type="gramStart"/>
      <w:r>
        <w:rPr>
          <w:rFonts w:ascii="KaiTi" w:eastAsia="KaiTi" w:hAnsi="KaiTi" w:hint="eastAsia"/>
          <w:szCs w:val="28"/>
        </w:rPr>
        <w:t>看归母净</w:t>
      </w:r>
      <w:proofErr w:type="gramEnd"/>
      <w:r>
        <w:rPr>
          <w:rFonts w:ascii="KaiTi" w:eastAsia="KaiTi" w:hAnsi="KaiTi" w:hint="eastAsia"/>
          <w:szCs w:val="28"/>
        </w:rPr>
        <w:t>利润（</w:t>
      </w:r>
      <w:r>
        <w:rPr>
          <w:rFonts w:ascii="KaiTi" w:eastAsia="KaiTi" w:hAnsi="KaiTi"/>
          <w:szCs w:val="28"/>
        </w:rPr>
        <w:t>10</w:t>
      </w:r>
      <w:r>
        <w:rPr>
          <w:rFonts w:ascii="KaiTi" w:eastAsia="KaiTi" w:hAnsi="KaiTi" w:hint="eastAsia"/>
          <w:szCs w:val="28"/>
        </w:rPr>
        <w:t>分）</w:t>
      </w:r>
    </w:p>
    <w:p w14:paraId="4573A94C" w14:textId="77777777" w:rsidR="00E629F3" w:rsidRDefault="00573FF2">
      <w:pPr>
        <w:pStyle w:val="01761"/>
      </w:pPr>
      <w:r>
        <w:rPr>
          <w:rFonts w:hint="eastAsia"/>
        </w:rPr>
        <w:t>1.分析思路</w:t>
      </w:r>
      <w:r>
        <w:rPr>
          <w:noProof/>
        </w:rPr>
        <w:drawing>
          <wp:inline distT="0" distB="0" distL="0" distR="0" wp14:anchorId="2ED9E554" wp14:editId="783F9BA8">
            <wp:extent cx="6085840" cy="2658110"/>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085968" cy="2658110"/>
                    </a:xfrm>
                    <a:prstGeom prst="rect">
                      <a:avLst/>
                    </a:prstGeom>
                    <a:noFill/>
                    <a:ln>
                      <a:noFill/>
                    </a:ln>
                  </pic:spPr>
                </pic:pic>
              </a:graphicData>
            </a:graphic>
          </wp:inline>
        </w:drawing>
      </w:r>
    </w:p>
    <w:p w14:paraId="013294AA" w14:textId="77777777" w:rsidR="00E629F3" w:rsidRDefault="00573FF2">
      <w:pPr>
        <w:pStyle w:val="01761"/>
      </w:pPr>
      <w:r>
        <w:rPr>
          <w:rFonts w:hint="eastAsia"/>
        </w:rPr>
        <w:t>2.数据收集汇总：</w:t>
      </w:r>
      <w:bookmarkStart w:id="6" w:name="_Hlk70356706"/>
      <w:r>
        <w:rPr>
          <w:rFonts w:hint="eastAsia"/>
        </w:rPr>
        <w:t>归属于母公司所有者的净利润，并计算</w:t>
      </w:r>
      <w:proofErr w:type="gramStart"/>
      <w:r>
        <w:rPr>
          <w:rFonts w:hint="eastAsia"/>
        </w:rPr>
        <w:t>归母净利润</w:t>
      </w:r>
      <w:proofErr w:type="gramEnd"/>
      <w:r>
        <w:rPr>
          <w:rFonts w:hint="eastAsia"/>
        </w:rPr>
        <w:t>增长率</w:t>
      </w:r>
      <w:bookmarkEnd w:id="6"/>
    </w:p>
    <w:p w14:paraId="0C7DFF40" w14:textId="77777777" w:rsidR="00E629F3" w:rsidRDefault="00573FF2">
      <w:pPr>
        <w:spacing w:line="360" w:lineRule="auto"/>
        <w:rPr>
          <w:rFonts w:ascii="KaiTi" w:eastAsia="KaiTi" w:hAnsi="KaiTi"/>
          <w:b/>
          <w:bCs/>
        </w:rPr>
      </w:pPr>
      <w:r>
        <w:rPr>
          <w:rFonts w:ascii="KaiTi" w:eastAsia="KaiTi" w:hAnsi="KaiTi"/>
        </w:rPr>
        <w:t xml:space="preserve">                                                      </w:t>
      </w:r>
      <w:r>
        <w:rPr>
          <w:rFonts w:ascii="KaiTi" w:eastAsia="KaiTi" w:hAnsi="KaiTi" w:hint="eastAsia"/>
          <w:b/>
          <w:bCs/>
        </w:rPr>
        <w:t>单位：亿元</w:t>
      </w:r>
    </w:p>
    <w:tbl>
      <w:tblPr>
        <w:tblW w:w="8926" w:type="dxa"/>
        <w:jc w:val="center"/>
        <w:tblLayout w:type="fixed"/>
        <w:tblLook w:val="04A0" w:firstRow="1" w:lastRow="0" w:firstColumn="1" w:lastColumn="0" w:noHBand="0" w:noVBand="1"/>
      </w:tblPr>
      <w:tblGrid>
        <w:gridCol w:w="1838"/>
        <w:gridCol w:w="968"/>
        <w:gridCol w:w="966"/>
        <w:gridCol w:w="876"/>
        <w:gridCol w:w="876"/>
        <w:gridCol w:w="992"/>
        <w:gridCol w:w="992"/>
        <w:gridCol w:w="1418"/>
      </w:tblGrid>
      <w:tr w:rsidR="00E629F3" w14:paraId="6B5CAB3C" w14:textId="77777777">
        <w:trPr>
          <w:trHeight w:val="415"/>
          <w:jc w:val="center"/>
        </w:trPr>
        <w:tc>
          <w:tcPr>
            <w:tcW w:w="1838" w:type="dxa"/>
            <w:tcBorders>
              <w:top w:val="single" w:sz="4" w:space="0" w:color="auto"/>
              <w:left w:val="single" w:sz="4" w:space="0" w:color="auto"/>
              <w:bottom w:val="single" w:sz="4" w:space="0" w:color="auto"/>
              <w:right w:val="single" w:sz="4" w:space="0" w:color="auto"/>
            </w:tcBorders>
            <w:shd w:val="clear" w:color="auto" w:fill="2E74B5" w:themeFill="accent5" w:themeFillShade="BF"/>
            <w:vAlign w:val="center"/>
          </w:tcPr>
          <w:p w14:paraId="58B5E449" w14:textId="77777777" w:rsidR="00E629F3" w:rsidRDefault="00573FF2">
            <w:pPr>
              <w:spacing w:line="360" w:lineRule="auto"/>
              <w:jc w:val="center"/>
              <w:rPr>
                <w:rFonts w:ascii="KaiTi" w:eastAsia="KaiTi" w:hAnsi="KaiTi"/>
                <w:b/>
                <w:bCs/>
                <w:color w:val="FFFFFF"/>
                <w:sz w:val="22"/>
                <w:szCs w:val="22"/>
              </w:rPr>
            </w:pPr>
            <w:proofErr w:type="gramStart"/>
            <w:r>
              <w:rPr>
                <w:rFonts w:ascii="KaiTi" w:eastAsia="KaiTi" w:hAnsi="KaiTi" w:hint="eastAsia"/>
                <w:b/>
                <w:bCs/>
                <w:color w:val="FFFFFF"/>
                <w:sz w:val="22"/>
                <w:szCs w:val="22"/>
              </w:rPr>
              <w:t>看归母净</w:t>
            </w:r>
            <w:proofErr w:type="gramEnd"/>
            <w:r>
              <w:rPr>
                <w:rFonts w:ascii="KaiTi" w:eastAsia="KaiTi" w:hAnsi="KaiTi" w:hint="eastAsia"/>
                <w:b/>
                <w:bCs/>
                <w:color w:val="FFFFFF"/>
                <w:sz w:val="22"/>
                <w:szCs w:val="22"/>
              </w:rPr>
              <w:t>利润</w:t>
            </w:r>
          </w:p>
        </w:tc>
        <w:tc>
          <w:tcPr>
            <w:tcW w:w="968"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503A60A" w14:textId="77777777" w:rsidR="00E629F3" w:rsidRDefault="00573FF2">
            <w:pPr>
              <w:spacing w:line="360" w:lineRule="auto"/>
              <w:jc w:val="center"/>
              <w:rPr>
                <w:rFonts w:ascii="KaiTi" w:eastAsia="KaiTi" w:hAnsi="KaiTi"/>
                <w:b/>
                <w:bCs/>
                <w:color w:val="FFFFFF"/>
                <w:sz w:val="22"/>
                <w:szCs w:val="22"/>
              </w:rPr>
            </w:pPr>
            <w:r>
              <w:rPr>
                <w:rFonts w:ascii="KaiTi" w:eastAsia="KaiTi" w:hAnsi="KaiTi" w:hint="eastAsia"/>
                <w:b/>
                <w:bCs/>
                <w:color w:val="FFFFFF"/>
                <w:sz w:val="20"/>
                <w:szCs w:val="20"/>
              </w:rPr>
              <w:t>201</w:t>
            </w:r>
            <w:r>
              <w:rPr>
                <w:rFonts w:ascii="KaiTi" w:eastAsia="KaiTi" w:hAnsi="KaiTi"/>
                <w:b/>
                <w:bCs/>
                <w:color w:val="FFFFFF"/>
                <w:sz w:val="20"/>
                <w:szCs w:val="20"/>
              </w:rPr>
              <w:t>5</w:t>
            </w:r>
          </w:p>
        </w:tc>
        <w:tc>
          <w:tcPr>
            <w:tcW w:w="966"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805A3CE" w14:textId="77777777" w:rsidR="00E629F3" w:rsidRDefault="00573FF2">
            <w:pPr>
              <w:spacing w:line="360" w:lineRule="auto"/>
              <w:jc w:val="center"/>
              <w:rPr>
                <w:rFonts w:ascii="KaiTi" w:eastAsia="KaiTi" w:hAnsi="KaiTi"/>
                <w:b/>
                <w:bCs/>
                <w:color w:val="FFFFFF"/>
                <w:sz w:val="22"/>
                <w:szCs w:val="22"/>
              </w:rPr>
            </w:pPr>
            <w:r>
              <w:rPr>
                <w:rFonts w:ascii="KaiTi" w:eastAsia="KaiTi" w:hAnsi="KaiTi" w:hint="eastAsia"/>
                <w:b/>
                <w:bCs/>
                <w:color w:val="FFFFFF"/>
                <w:sz w:val="20"/>
                <w:szCs w:val="20"/>
              </w:rPr>
              <w:t>2016</w:t>
            </w:r>
          </w:p>
        </w:tc>
        <w:tc>
          <w:tcPr>
            <w:tcW w:w="876"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5B69C4F7" w14:textId="77777777" w:rsidR="00E629F3" w:rsidRDefault="00573FF2">
            <w:pPr>
              <w:spacing w:line="360" w:lineRule="auto"/>
              <w:jc w:val="center"/>
              <w:rPr>
                <w:rFonts w:ascii="KaiTi" w:eastAsia="KaiTi" w:hAnsi="KaiTi"/>
                <w:b/>
                <w:bCs/>
                <w:color w:val="FFFFFF"/>
                <w:sz w:val="22"/>
                <w:szCs w:val="22"/>
              </w:rPr>
            </w:pPr>
            <w:r>
              <w:rPr>
                <w:rFonts w:ascii="KaiTi" w:eastAsia="KaiTi" w:hAnsi="KaiTi" w:hint="eastAsia"/>
                <w:b/>
                <w:bCs/>
                <w:color w:val="FFFFFF"/>
                <w:sz w:val="20"/>
                <w:szCs w:val="20"/>
              </w:rPr>
              <w:t>2017</w:t>
            </w:r>
          </w:p>
        </w:tc>
        <w:tc>
          <w:tcPr>
            <w:tcW w:w="876"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03B61B3D" w14:textId="77777777" w:rsidR="00E629F3" w:rsidRDefault="00573FF2">
            <w:pPr>
              <w:spacing w:line="360" w:lineRule="auto"/>
              <w:jc w:val="center"/>
              <w:rPr>
                <w:rFonts w:ascii="KaiTi" w:eastAsia="KaiTi" w:hAnsi="KaiTi"/>
                <w:b/>
                <w:bCs/>
                <w:color w:val="FFFFFF"/>
                <w:sz w:val="22"/>
                <w:szCs w:val="22"/>
              </w:rPr>
            </w:pPr>
            <w:r>
              <w:rPr>
                <w:rFonts w:ascii="KaiTi" w:eastAsia="KaiTi" w:hAnsi="KaiTi" w:hint="eastAsia"/>
                <w:b/>
                <w:bCs/>
                <w:color w:val="FFFFFF"/>
                <w:sz w:val="20"/>
                <w:szCs w:val="20"/>
              </w:rPr>
              <w:t>2</w:t>
            </w:r>
            <w:r>
              <w:rPr>
                <w:rFonts w:ascii="KaiTi" w:eastAsia="KaiTi" w:hAnsi="KaiTi"/>
                <w:b/>
                <w:bCs/>
                <w:color w:val="FFFFFF"/>
                <w:sz w:val="20"/>
                <w:szCs w:val="20"/>
              </w:rPr>
              <w:t>018</w:t>
            </w:r>
          </w:p>
        </w:tc>
        <w:tc>
          <w:tcPr>
            <w:tcW w:w="992"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7C3FAF06" w14:textId="77777777" w:rsidR="00E629F3" w:rsidRDefault="00573FF2">
            <w:pPr>
              <w:spacing w:line="360" w:lineRule="auto"/>
              <w:jc w:val="center"/>
              <w:rPr>
                <w:rFonts w:ascii="KaiTi" w:eastAsia="KaiTi" w:hAnsi="KaiTi"/>
                <w:b/>
                <w:bCs/>
                <w:color w:val="FFFFFF"/>
                <w:sz w:val="22"/>
                <w:szCs w:val="22"/>
              </w:rPr>
            </w:pPr>
            <w:r>
              <w:rPr>
                <w:rFonts w:ascii="KaiTi" w:eastAsia="KaiTi" w:hAnsi="KaiTi" w:hint="eastAsia"/>
                <w:b/>
                <w:bCs/>
                <w:color w:val="FFFFFF"/>
                <w:sz w:val="20"/>
                <w:szCs w:val="20"/>
              </w:rPr>
              <w:t>2</w:t>
            </w:r>
            <w:r>
              <w:rPr>
                <w:rFonts w:ascii="KaiTi" w:eastAsia="KaiTi" w:hAnsi="KaiTi"/>
                <w:b/>
                <w:bCs/>
                <w:color w:val="FFFFFF"/>
                <w:sz w:val="20"/>
                <w:szCs w:val="20"/>
              </w:rPr>
              <w:t>019</w:t>
            </w:r>
          </w:p>
        </w:tc>
        <w:tc>
          <w:tcPr>
            <w:tcW w:w="992" w:type="dxa"/>
            <w:tcBorders>
              <w:top w:val="single" w:sz="4" w:space="0" w:color="auto"/>
              <w:left w:val="nil"/>
              <w:bottom w:val="single" w:sz="4" w:space="0" w:color="auto"/>
              <w:right w:val="single" w:sz="4" w:space="0" w:color="auto"/>
            </w:tcBorders>
            <w:shd w:val="clear" w:color="auto" w:fill="2E74B5" w:themeFill="accent5" w:themeFillShade="BF"/>
            <w:noWrap/>
            <w:vAlign w:val="center"/>
          </w:tcPr>
          <w:p w14:paraId="322A7E67" w14:textId="77777777" w:rsidR="00E629F3" w:rsidRDefault="00573FF2">
            <w:pPr>
              <w:spacing w:line="360" w:lineRule="auto"/>
              <w:jc w:val="center"/>
              <w:rPr>
                <w:rFonts w:ascii="KaiTi" w:eastAsia="KaiTi" w:hAnsi="KaiTi"/>
                <w:b/>
                <w:bCs/>
                <w:color w:val="FFFFFF"/>
                <w:sz w:val="22"/>
                <w:szCs w:val="22"/>
              </w:rPr>
            </w:pPr>
            <w:r>
              <w:rPr>
                <w:rFonts w:ascii="KaiTi" w:eastAsia="KaiTi" w:hAnsi="KaiTi" w:hint="eastAsia"/>
                <w:b/>
                <w:bCs/>
                <w:color w:val="FFFFFF"/>
                <w:sz w:val="20"/>
                <w:szCs w:val="20"/>
              </w:rPr>
              <w:t>2</w:t>
            </w:r>
            <w:r>
              <w:rPr>
                <w:rFonts w:ascii="KaiTi" w:eastAsia="KaiTi" w:hAnsi="KaiTi"/>
                <w:b/>
                <w:bCs/>
                <w:color w:val="FFFFFF"/>
                <w:sz w:val="20"/>
                <w:szCs w:val="20"/>
              </w:rPr>
              <w:t>020</w:t>
            </w:r>
          </w:p>
        </w:tc>
        <w:tc>
          <w:tcPr>
            <w:tcW w:w="1418" w:type="dxa"/>
            <w:tcBorders>
              <w:top w:val="nil"/>
              <w:left w:val="nil"/>
              <w:bottom w:val="nil"/>
              <w:right w:val="nil"/>
            </w:tcBorders>
            <w:shd w:val="clear" w:color="auto" w:fill="auto"/>
            <w:noWrap/>
            <w:vAlign w:val="center"/>
          </w:tcPr>
          <w:p w14:paraId="23400DC3" w14:textId="77777777" w:rsidR="00E629F3" w:rsidRDefault="00E629F3">
            <w:pPr>
              <w:spacing w:line="360" w:lineRule="auto"/>
              <w:ind w:firstLine="400"/>
              <w:jc w:val="center"/>
              <w:rPr>
                <w:rFonts w:ascii="KaiTi" w:eastAsia="KaiTi" w:hAnsi="KaiTi"/>
                <w:b/>
                <w:bCs/>
                <w:color w:val="FFFFFF"/>
                <w:sz w:val="18"/>
                <w:szCs w:val="18"/>
              </w:rPr>
            </w:pPr>
          </w:p>
        </w:tc>
      </w:tr>
      <w:tr w:rsidR="00E629F3" w14:paraId="1F3A8C1D" w14:textId="77777777">
        <w:trPr>
          <w:trHeight w:val="714"/>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5D21FBE1" w14:textId="77777777" w:rsidR="00E629F3" w:rsidRDefault="00573FF2">
            <w:pPr>
              <w:pStyle w:val="017"/>
              <w:spacing w:line="240" w:lineRule="auto"/>
            </w:pPr>
            <w:r>
              <w:rPr>
                <w:rFonts w:hint="eastAsia"/>
              </w:rPr>
              <w:t>归属于母公司股东的净利润</w:t>
            </w:r>
          </w:p>
        </w:tc>
        <w:tc>
          <w:tcPr>
            <w:tcW w:w="968" w:type="dxa"/>
            <w:tcBorders>
              <w:top w:val="nil"/>
              <w:left w:val="nil"/>
              <w:bottom w:val="single" w:sz="4" w:space="0" w:color="auto"/>
              <w:right w:val="single" w:sz="4" w:space="0" w:color="auto"/>
            </w:tcBorders>
            <w:shd w:val="clear" w:color="auto" w:fill="auto"/>
            <w:noWrap/>
            <w:vAlign w:val="center"/>
          </w:tcPr>
          <w:p w14:paraId="7BC8D3E8" w14:textId="77777777" w:rsidR="00E629F3" w:rsidRDefault="00573FF2">
            <w:pPr>
              <w:jc w:val="right"/>
              <w:rPr>
                <w:rFonts w:ascii="KaiTi" w:eastAsia="KaiTi" w:hAnsi="KaiTi" w:cs="Arial"/>
                <w:sz w:val="22"/>
                <w:szCs w:val="22"/>
              </w:rPr>
            </w:pPr>
            <w:r>
              <w:rPr>
                <w:rFonts w:ascii="KaiTi" w:eastAsia="KaiTi" w:hAnsi="KaiTi" w:cs="Arial" w:hint="eastAsia"/>
                <w:sz w:val="22"/>
                <w:szCs w:val="22"/>
              </w:rPr>
              <w:t>53.65</w:t>
            </w:r>
          </w:p>
        </w:tc>
        <w:tc>
          <w:tcPr>
            <w:tcW w:w="966" w:type="dxa"/>
            <w:tcBorders>
              <w:top w:val="nil"/>
              <w:left w:val="nil"/>
              <w:bottom w:val="single" w:sz="4" w:space="0" w:color="auto"/>
              <w:right w:val="single" w:sz="4" w:space="0" w:color="auto"/>
            </w:tcBorders>
            <w:shd w:val="clear" w:color="auto" w:fill="auto"/>
            <w:noWrap/>
            <w:vAlign w:val="center"/>
          </w:tcPr>
          <w:p w14:paraId="62765E12" w14:textId="77777777" w:rsidR="00E629F3" w:rsidRDefault="00573FF2">
            <w:pPr>
              <w:jc w:val="right"/>
              <w:rPr>
                <w:rFonts w:ascii="KaiTi" w:eastAsia="KaiTi" w:hAnsi="KaiTi" w:cs="Arial"/>
                <w:sz w:val="22"/>
                <w:szCs w:val="22"/>
              </w:rPr>
            </w:pPr>
            <w:r>
              <w:rPr>
                <w:rFonts w:ascii="KaiTi" w:eastAsia="KaiTi" w:hAnsi="KaiTi" w:cs="Arial" w:hint="eastAsia"/>
                <w:sz w:val="22"/>
                <w:szCs w:val="22"/>
              </w:rPr>
              <w:t>58.27</w:t>
            </w:r>
          </w:p>
        </w:tc>
        <w:tc>
          <w:tcPr>
            <w:tcW w:w="876" w:type="dxa"/>
            <w:tcBorders>
              <w:top w:val="nil"/>
              <w:left w:val="nil"/>
              <w:bottom w:val="single" w:sz="4" w:space="0" w:color="auto"/>
              <w:right w:val="single" w:sz="4" w:space="0" w:color="auto"/>
            </w:tcBorders>
            <w:shd w:val="clear" w:color="auto" w:fill="auto"/>
            <w:noWrap/>
            <w:vAlign w:val="center"/>
          </w:tcPr>
          <w:p w14:paraId="7203BCDE" w14:textId="77777777" w:rsidR="00E629F3" w:rsidRDefault="00573FF2">
            <w:pPr>
              <w:jc w:val="right"/>
              <w:rPr>
                <w:rFonts w:ascii="KaiTi" w:eastAsia="KaiTi" w:hAnsi="KaiTi" w:cs="Arial"/>
                <w:sz w:val="22"/>
                <w:szCs w:val="22"/>
              </w:rPr>
            </w:pPr>
            <w:r>
              <w:rPr>
                <w:rFonts w:ascii="KaiTi" w:eastAsia="KaiTi" w:hAnsi="KaiTi" w:cs="Arial" w:hint="eastAsia"/>
                <w:sz w:val="22"/>
                <w:szCs w:val="22"/>
              </w:rPr>
              <w:t>66.27</w:t>
            </w:r>
          </w:p>
        </w:tc>
        <w:tc>
          <w:tcPr>
            <w:tcW w:w="876" w:type="dxa"/>
            <w:tcBorders>
              <w:top w:val="nil"/>
              <w:left w:val="nil"/>
              <w:bottom w:val="single" w:sz="4" w:space="0" w:color="auto"/>
              <w:right w:val="single" w:sz="4" w:space="0" w:color="auto"/>
            </w:tcBorders>
            <w:shd w:val="clear" w:color="auto" w:fill="auto"/>
            <w:noWrap/>
            <w:vAlign w:val="center"/>
          </w:tcPr>
          <w:p w14:paraId="147172CF" w14:textId="77777777" w:rsidR="00E629F3" w:rsidRDefault="00573FF2">
            <w:pPr>
              <w:jc w:val="right"/>
              <w:rPr>
                <w:rFonts w:ascii="KaiTi" w:eastAsia="KaiTi" w:hAnsi="KaiTi" w:cs="Arial"/>
                <w:sz w:val="22"/>
                <w:szCs w:val="22"/>
              </w:rPr>
            </w:pPr>
            <w:r>
              <w:rPr>
                <w:rFonts w:ascii="KaiTi" w:eastAsia="KaiTi" w:hAnsi="KaiTi" w:cs="Arial" w:hint="eastAsia"/>
                <w:sz w:val="22"/>
                <w:szCs w:val="22"/>
              </w:rPr>
              <w:t>81.15</w:t>
            </w:r>
          </w:p>
        </w:tc>
        <w:tc>
          <w:tcPr>
            <w:tcW w:w="992" w:type="dxa"/>
            <w:tcBorders>
              <w:top w:val="nil"/>
              <w:left w:val="nil"/>
              <w:bottom w:val="single" w:sz="4" w:space="0" w:color="auto"/>
              <w:right w:val="single" w:sz="4" w:space="0" w:color="auto"/>
            </w:tcBorders>
            <w:shd w:val="clear" w:color="auto" w:fill="auto"/>
            <w:noWrap/>
            <w:vAlign w:val="center"/>
          </w:tcPr>
          <w:p w14:paraId="5F4E20E0" w14:textId="77777777" w:rsidR="00E629F3" w:rsidRDefault="00573FF2">
            <w:pPr>
              <w:jc w:val="right"/>
              <w:rPr>
                <w:rFonts w:ascii="KaiTi" w:eastAsia="KaiTi" w:hAnsi="KaiTi" w:cs="Arial"/>
                <w:sz w:val="22"/>
                <w:szCs w:val="22"/>
              </w:rPr>
            </w:pPr>
            <w:r>
              <w:rPr>
                <w:rFonts w:ascii="KaiTi" w:eastAsia="KaiTi" w:hAnsi="KaiTi" w:cs="Arial" w:hint="eastAsia"/>
                <w:sz w:val="22"/>
                <w:szCs w:val="22"/>
              </w:rPr>
              <w:t>73.83</w:t>
            </w:r>
          </w:p>
        </w:tc>
        <w:tc>
          <w:tcPr>
            <w:tcW w:w="992" w:type="dxa"/>
            <w:tcBorders>
              <w:top w:val="nil"/>
              <w:left w:val="nil"/>
              <w:bottom w:val="single" w:sz="4" w:space="0" w:color="auto"/>
              <w:right w:val="single" w:sz="4" w:space="0" w:color="auto"/>
            </w:tcBorders>
            <w:shd w:val="clear" w:color="000000" w:fill="FFFF00"/>
            <w:noWrap/>
            <w:vAlign w:val="center"/>
          </w:tcPr>
          <w:p w14:paraId="53501B9F" w14:textId="77777777" w:rsidR="00E629F3" w:rsidRDefault="00E629F3">
            <w:pPr>
              <w:jc w:val="right"/>
              <w:rPr>
                <w:rFonts w:ascii="KaiTi" w:eastAsia="KaiTi" w:hAnsi="KaiTi" w:cs="Arial"/>
                <w:sz w:val="22"/>
                <w:szCs w:val="22"/>
              </w:rPr>
            </w:pPr>
          </w:p>
        </w:tc>
        <w:tc>
          <w:tcPr>
            <w:tcW w:w="1418" w:type="dxa"/>
            <w:tcBorders>
              <w:top w:val="nil"/>
              <w:left w:val="nil"/>
              <w:bottom w:val="nil"/>
              <w:right w:val="nil"/>
            </w:tcBorders>
            <w:shd w:val="clear" w:color="auto" w:fill="auto"/>
            <w:noWrap/>
            <w:vAlign w:val="center"/>
          </w:tcPr>
          <w:p w14:paraId="43409254" w14:textId="77777777" w:rsidR="00E629F3" w:rsidRDefault="00573FF2">
            <w:pPr>
              <w:spacing w:line="360" w:lineRule="auto"/>
              <w:rPr>
                <w:rFonts w:ascii="KaiTi" w:eastAsia="KaiTi" w:hAnsi="KaiTi"/>
                <w:color w:val="2F75B5"/>
              </w:rPr>
            </w:pPr>
            <w:r>
              <w:rPr>
                <w:rFonts w:ascii="KaiTi" w:eastAsia="KaiTi" w:hAnsi="KaiTi" w:hint="eastAsia"/>
                <w:color w:val="2F75B5"/>
              </w:rPr>
              <w:t>解析6</w:t>
            </w:r>
          </w:p>
        </w:tc>
      </w:tr>
      <w:tr w:rsidR="00E629F3" w14:paraId="21F767C9" w14:textId="77777777">
        <w:trPr>
          <w:trHeight w:val="317"/>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241E0815" w14:textId="77777777" w:rsidR="00E629F3" w:rsidRDefault="00573FF2">
            <w:pPr>
              <w:pStyle w:val="017"/>
              <w:spacing w:line="240" w:lineRule="auto"/>
            </w:pPr>
            <w:proofErr w:type="gramStart"/>
            <w:r>
              <w:rPr>
                <w:rFonts w:hint="eastAsia"/>
              </w:rPr>
              <w:t>归母净利润</w:t>
            </w:r>
            <w:proofErr w:type="gramEnd"/>
            <w:r>
              <w:rPr>
                <w:rFonts w:hint="eastAsia"/>
              </w:rPr>
              <w:t>增长率</w:t>
            </w:r>
          </w:p>
        </w:tc>
        <w:tc>
          <w:tcPr>
            <w:tcW w:w="968" w:type="dxa"/>
            <w:tcBorders>
              <w:top w:val="nil"/>
              <w:left w:val="nil"/>
              <w:bottom w:val="single" w:sz="4" w:space="0" w:color="auto"/>
              <w:right w:val="single" w:sz="4" w:space="0" w:color="auto"/>
            </w:tcBorders>
            <w:shd w:val="clear" w:color="auto" w:fill="auto"/>
            <w:vAlign w:val="center"/>
          </w:tcPr>
          <w:p w14:paraId="2F28D569" w14:textId="77777777" w:rsidR="00E629F3" w:rsidRDefault="00573FF2">
            <w:pPr>
              <w:jc w:val="right"/>
              <w:rPr>
                <w:rFonts w:ascii="KaiTi" w:eastAsia="KaiTi" w:hAnsi="KaiTi"/>
                <w:sz w:val="22"/>
                <w:szCs w:val="22"/>
              </w:rPr>
            </w:pPr>
            <w:r>
              <w:rPr>
                <w:rFonts w:ascii="KaiTi" w:eastAsia="KaiTi" w:hAnsi="KaiTi" w:cs="Arial"/>
                <w:sz w:val="22"/>
                <w:szCs w:val="22"/>
              </w:rPr>
              <w:t>19.03%</w:t>
            </w:r>
          </w:p>
        </w:tc>
        <w:tc>
          <w:tcPr>
            <w:tcW w:w="966" w:type="dxa"/>
            <w:tcBorders>
              <w:top w:val="nil"/>
              <w:left w:val="nil"/>
              <w:bottom w:val="single" w:sz="4" w:space="0" w:color="auto"/>
              <w:right w:val="single" w:sz="4" w:space="0" w:color="auto"/>
            </w:tcBorders>
            <w:shd w:val="clear" w:color="auto" w:fill="auto"/>
            <w:noWrap/>
            <w:vAlign w:val="center"/>
          </w:tcPr>
          <w:p w14:paraId="4C8FF76F" w14:textId="77777777" w:rsidR="00E629F3" w:rsidRDefault="00573FF2">
            <w:pPr>
              <w:jc w:val="right"/>
              <w:rPr>
                <w:rFonts w:ascii="KaiTi" w:eastAsia="KaiTi" w:hAnsi="KaiTi" w:cs="Arial"/>
                <w:sz w:val="22"/>
                <w:szCs w:val="22"/>
              </w:rPr>
            </w:pPr>
            <w:r>
              <w:rPr>
                <w:rFonts w:ascii="KaiTi" w:eastAsia="KaiTi" w:hAnsi="KaiTi" w:cs="Arial"/>
                <w:sz w:val="22"/>
                <w:szCs w:val="22"/>
              </w:rPr>
              <w:t>8.61%</w:t>
            </w:r>
          </w:p>
        </w:tc>
        <w:tc>
          <w:tcPr>
            <w:tcW w:w="876" w:type="dxa"/>
            <w:tcBorders>
              <w:top w:val="nil"/>
              <w:left w:val="nil"/>
              <w:bottom w:val="single" w:sz="4" w:space="0" w:color="auto"/>
              <w:right w:val="single" w:sz="4" w:space="0" w:color="auto"/>
            </w:tcBorders>
            <w:shd w:val="clear" w:color="auto" w:fill="auto"/>
            <w:noWrap/>
            <w:vAlign w:val="center"/>
          </w:tcPr>
          <w:p w14:paraId="4A143271" w14:textId="77777777" w:rsidR="00E629F3" w:rsidRDefault="00573FF2">
            <w:pPr>
              <w:jc w:val="right"/>
              <w:rPr>
                <w:rFonts w:ascii="KaiTi" w:eastAsia="KaiTi" w:hAnsi="KaiTi" w:cs="Arial"/>
                <w:sz w:val="22"/>
                <w:szCs w:val="22"/>
              </w:rPr>
            </w:pPr>
            <w:r>
              <w:rPr>
                <w:rFonts w:ascii="KaiTi" w:eastAsia="KaiTi" w:hAnsi="KaiTi" w:cs="Arial"/>
                <w:sz w:val="22"/>
                <w:szCs w:val="22"/>
              </w:rPr>
              <w:t>13.73%</w:t>
            </w:r>
          </w:p>
        </w:tc>
        <w:tc>
          <w:tcPr>
            <w:tcW w:w="876" w:type="dxa"/>
            <w:tcBorders>
              <w:top w:val="nil"/>
              <w:left w:val="nil"/>
              <w:bottom w:val="single" w:sz="4" w:space="0" w:color="auto"/>
              <w:right w:val="single" w:sz="4" w:space="0" w:color="auto"/>
            </w:tcBorders>
            <w:shd w:val="clear" w:color="auto" w:fill="auto"/>
            <w:noWrap/>
            <w:vAlign w:val="center"/>
          </w:tcPr>
          <w:p w14:paraId="03E00015" w14:textId="77777777" w:rsidR="00E629F3" w:rsidRDefault="00573FF2">
            <w:pPr>
              <w:jc w:val="right"/>
              <w:rPr>
                <w:rFonts w:ascii="KaiTi" w:eastAsia="KaiTi" w:hAnsi="KaiTi" w:cs="Arial"/>
                <w:sz w:val="22"/>
                <w:szCs w:val="22"/>
              </w:rPr>
            </w:pPr>
            <w:r>
              <w:rPr>
                <w:rFonts w:ascii="KaiTi" w:eastAsia="KaiTi" w:hAnsi="KaiTi" w:cs="Arial"/>
                <w:sz w:val="22"/>
                <w:szCs w:val="22"/>
              </w:rPr>
              <w:t>22.45%</w:t>
            </w:r>
          </w:p>
        </w:tc>
        <w:tc>
          <w:tcPr>
            <w:tcW w:w="992" w:type="dxa"/>
            <w:tcBorders>
              <w:top w:val="nil"/>
              <w:left w:val="nil"/>
              <w:bottom w:val="single" w:sz="4" w:space="0" w:color="auto"/>
              <w:right w:val="single" w:sz="4" w:space="0" w:color="auto"/>
            </w:tcBorders>
            <w:shd w:val="clear" w:color="auto" w:fill="auto"/>
            <w:noWrap/>
            <w:vAlign w:val="center"/>
          </w:tcPr>
          <w:p w14:paraId="436FCFBD" w14:textId="77777777" w:rsidR="00E629F3" w:rsidRDefault="00573FF2">
            <w:pPr>
              <w:jc w:val="right"/>
              <w:rPr>
                <w:rFonts w:ascii="KaiTi" w:eastAsia="KaiTi" w:hAnsi="KaiTi" w:cs="Arial"/>
                <w:sz w:val="22"/>
                <w:szCs w:val="22"/>
              </w:rPr>
            </w:pPr>
            <w:r>
              <w:rPr>
                <w:rFonts w:ascii="KaiTi" w:eastAsia="KaiTi" w:hAnsi="KaiTi" w:cs="Arial"/>
                <w:sz w:val="22"/>
                <w:szCs w:val="22"/>
              </w:rPr>
              <w:t>-9.02%</w:t>
            </w:r>
          </w:p>
        </w:tc>
        <w:tc>
          <w:tcPr>
            <w:tcW w:w="992" w:type="dxa"/>
            <w:tcBorders>
              <w:top w:val="nil"/>
              <w:left w:val="nil"/>
              <w:bottom w:val="single" w:sz="4" w:space="0" w:color="auto"/>
              <w:right w:val="single" w:sz="4" w:space="0" w:color="auto"/>
            </w:tcBorders>
            <w:shd w:val="clear" w:color="000000" w:fill="FFFF00"/>
            <w:noWrap/>
            <w:vAlign w:val="center"/>
          </w:tcPr>
          <w:p w14:paraId="338162A6" w14:textId="77777777" w:rsidR="00E629F3" w:rsidRDefault="00E629F3">
            <w:pPr>
              <w:jc w:val="right"/>
              <w:rPr>
                <w:rFonts w:ascii="KaiTi" w:eastAsia="KaiTi" w:hAnsi="KaiTi"/>
                <w:color w:val="000000"/>
                <w:sz w:val="22"/>
                <w:szCs w:val="22"/>
              </w:rPr>
            </w:pPr>
          </w:p>
        </w:tc>
        <w:tc>
          <w:tcPr>
            <w:tcW w:w="1418" w:type="dxa"/>
            <w:tcBorders>
              <w:top w:val="nil"/>
              <w:left w:val="nil"/>
              <w:bottom w:val="nil"/>
              <w:right w:val="nil"/>
            </w:tcBorders>
            <w:shd w:val="clear" w:color="auto" w:fill="auto"/>
            <w:noWrap/>
            <w:vAlign w:val="center"/>
          </w:tcPr>
          <w:p w14:paraId="05B23DBE" w14:textId="77777777" w:rsidR="00E629F3" w:rsidRDefault="00573FF2">
            <w:pPr>
              <w:spacing w:line="360" w:lineRule="auto"/>
              <w:rPr>
                <w:rFonts w:ascii="KaiTi" w:eastAsia="KaiTi" w:hAnsi="KaiTi"/>
                <w:color w:val="000000"/>
                <w:sz w:val="22"/>
                <w:szCs w:val="22"/>
              </w:rPr>
            </w:pPr>
            <w:r>
              <w:rPr>
                <w:rFonts w:ascii="KaiTi" w:eastAsia="KaiTi" w:hAnsi="KaiTi" w:hint="eastAsia"/>
                <w:color w:val="2F75B5"/>
              </w:rPr>
              <w:t>下面有公式</w:t>
            </w:r>
          </w:p>
        </w:tc>
      </w:tr>
    </w:tbl>
    <w:p w14:paraId="2B55419E" w14:textId="77777777" w:rsidR="00E629F3" w:rsidRDefault="00573FF2">
      <w:pPr>
        <w:spacing w:line="360" w:lineRule="auto"/>
        <w:ind w:rightChars="42" w:right="101"/>
        <w:rPr>
          <w:rFonts w:ascii="KaiTi" w:eastAsia="KaiTi" w:hAnsi="KaiTi"/>
          <w:b/>
          <w:bCs/>
          <w:color w:val="4472C4" w:themeColor="accent1"/>
        </w:rPr>
      </w:pPr>
      <w:r>
        <w:rPr>
          <w:rFonts w:ascii="KaiTi" w:eastAsia="KaiTi" w:hAnsi="KaiTi" w:hint="eastAsia"/>
          <w:b/>
          <w:bCs/>
          <w:color w:val="4472C4" w:themeColor="accent1"/>
        </w:rPr>
        <w:t>计算公式：</w:t>
      </w:r>
      <w:proofErr w:type="gramStart"/>
      <w:r>
        <w:rPr>
          <w:rFonts w:ascii="KaiTi" w:eastAsia="KaiTi" w:hAnsi="KaiTi" w:hint="eastAsia"/>
          <w:b/>
          <w:bCs/>
          <w:color w:val="4472C4" w:themeColor="accent1"/>
        </w:rPr>
        <w:t>归母净利润</w:t>
      </w:r>
      <w:proofErr w:type="gramEnd"/>
      <w:r>
        <w:rPr>
          <w:rFonts w:ascii="KaiTi" w:eastAsia="KaiTi" w:hAnsi="KaiTi" w:hint="eastAsia"/>
          <w:b/>
          <w:bCs/>
          <w:color w:val="4472C4" w:themeColor="accent1"/>
        </w:rPr>
        <w:t>增长率=（本年的</w:t>
      </w:r>
      <w:proofErr w:type="gramStart"/>
      <w:r>
        <w:rPr>
          <w:rFonts w:ascii="KaiTi" w:eastAsia="KaiTi" w:hAnsi="KaiTi" w:hint="eastAsia"/>
          <w:b/>
          <w:bCs/>
          <w:color w:val="4472C4" w:themeColor="accent1"/>
        </w:rPr>
        <w:t>归母净利润</w:t>
      </w:r>
      <w:proofErr w:type="gramEnd"/>
      <w:r>
        <w:rPr>
          <w:rFonts w:ascii="KaiTi" w:eastAsia="KaiTi" w:hAnsi="KaiTi" w:hint="eastAsia"/>
          <w:b/>
          <w:bCs/>
          <w:color w:val="4472C4" w:themeColor="accent1"/>
        </w:rPr>
        <w:t>-上年的</w:t>
      </w:r>
      <w:proofErr w:type="gramStart"/>
      <w:r>
        <w:rPr>
          <w:rFonts w:ascii="KaiTi" w:eastAsia="KaiTi" w:hAnsi="KaiTi" w:hint="eastAsia"/>
          <w:b/>
          <w:bCs/>
          <w:color w:val="4472C4" w:themeColor="accent1"/>
        </w:rPr>
        <w:t>归母净利润</w:t>
      </w:r>
      <w:proofErr w:type="gramEnd"/>
      <w:r>
        <w:rPr>
          <w:rFonts w:ascii="KaiTi" w:eastAsia="KaiTi" w:hAnsi="KaiTi" w:hint="eastAsia"/>
          <w:b/>
          <w:bCs/>
          <w:color w:val="4472C4" w:themeColor="accent1"/>
        </w:rPr>
        <w:t>）/上年的</w:t>
      </w:r>
      <w:proofErr w:type="gramStart"/>
      <w:r>
        <w:rPr>
          <w:rFonts w:ascii="KaiTi" w:eastAsia="KaiTi" w:hAnsi="KaiTi" w:hint="eastAsia"/>
          <w:b/>
          <w:bCs/>
          <w:color w:val="4472C4" w:themeColor="accent1"/>
        </w:rPr>
        <w:t>归母净利润</w:t>
      </w:r>
      <w:proofErr w:type="gramEnd"/>
    </w:p>
    <w:p w14:paraId="00C31BB3" w14:textId="77777777" w:rsidR="00E629F3" w:rsidRDefault="00573FF2">
      <w:pPr>
        <w:pStyle w:val="01761"/>
      </w:pPr>
      <w:r>
        <w:rPr>
          <w:rFonts w:hint="eastAsia"/>
        </w:rPr>
        <w:t>3.分析各年变化趋势</w:t>
      </w:r>
    </w:p>
    <w:p w14:paraId="580A5893" w14:textId="77777777" w:rsidR="00E629F3" w:rsidRDefault="00573FF2">
      <w:pPr>
        <w:pStyle w:val="017"/>
        <w:ind w:firstLineChars="200" w:firstLine="480"/>
        <w:rPr>
          <w:b/>
          <w:bCs/>
          <w:color w:val="C45911" w:themeColor="accent2" w:themeShade="BF"/>
        </w:rPr>
      </w:pPr>
      <w:r>
        <w:rPr>
          <w:rFonts w:hint="eastAsia"/>
        </w:rPr>
        <w:t>洋河股份</w:t>
      </w:r>
      <w:r>
        <w:t>2016-2020年度的</w:t>
      </w:r>
      <w:proofErr w:type="gramStart"/>
      <w:r>
        <w:t>归母净利润</w:t>
      </w:r>
      <w:proofErr w:type="gramEnd"/>
      <w:r>
        <w:t>分别是</w:t>
      </w:r>
      <w:r>
        <w:rPr>
          <w:u w:val="single"/>
        </w:rPr>
        <w:t xml:space="preserve">     </w:t>
      </w:r>
      <w:r>
        <w:t>亿、</w:t>
      </w:r>
      <w:r>
        <w:rPr>
          <w:rFonts w:hint="eastAsia"/>
          <w:u w:val="single"/>
        </w:rPr>
        <w:t xml:space="preserve"> </w:t>
      </w:r>
      <w:r>
        <w:rPr>
          <w:u w:val="single"/>
        </w:rPr>
        <w:t xml:space="preserve">    </w:t>
      </w:r>
      <w:r>
        <w:t>亿、</w:t>
      </w:r>
      <w:r>
        <w:rPr>
          <w:rFonts w:hint="eastAsia"/>
          <w:u w:val="single"/>
        </w:rPr>
        <w:t xml:space="preserve"> </w:t>
      </w:r>
      <w:r>
        <w:rPr>
          <w:u w:val="single"/>
        </w:rPr>
        <w:t xml:space="preserve">    </w:t>
      </w:r>
      <w:r>
        <w:t>亿、</w:t>
      </w:r>
      <w:r>
        <w:rPr>
          <w:rFonts w:hint="eastAsia"/>
          <w:u w:val="single"/>
        </w:rPr>
        <w:t xml:space="preserve"> </w:t>
      </w:r>
      <w:r>
        <w:rPr>
          <w:u w:val="single"/>
        </w:rPr>
        <w:t xml:space="preserve">    </w:t>
      </w:r>
      <w:r>
        <w:t>亿</w:t>
      </w:r>
      <w:r>
        <w:rPr>
          <w:rFonts w:hint="eastAsia"/>
        </w:rPr>
        <w:t>、</w:t>
      </w:r>
      <w:r>
        <w:rPr>
          <w:rFonts w:hint="eastAsia"/>
          <w:u w:val="single"/>
        </w:rPr>
        <w:t xml:space="preserve"> </w:t>
      </w:r>
      <w:r>
        <w:rPr>
          <w:u w:val="single"/>
        </w:rPr>
        <w:t xml:space="preserve">    </w:t>
      </w:r>
      <w:r>
        <w:t>亿，在行业内的上市企业中排名第</w:t>
      </w:r>
      <w:r>
        <w:rPr>
          <w:rFonts w:hint="eastAsia"/>
          <w:u w:val="single"/>
        </w:rPr>
        <w:t xml:space="preserve"> </w:t>
      </w:r>
      <w:r>
        <w:rPr>
          <w:u w:val="single"/>
        </w:rPr>
        <w:t xml:space="preserve">    </w:t>
      </w:r>
      <w:r>
        <w:rPr>
          <w:rFonts w:hint="eastAsia"/>
          <w:b/>
          <w:bCs/>
          <w:color w:val="C45911" w:themeColor="accent2" w:themeShade="BF"/>
        </w:rPr>
        <w:t>(在同花顺查找行业排名</w:t>
      </w:r>
      <w:r>
        <w:rPr>
          <w:b/>
          <w:bCs/>
          <w:color w:val="C45911" w:themeColor="accent2" w:themeShade="BF"/>
        </w:rPr>
        <w:t>）</w:t>
      </w:r>
      <w:r>
        <w:rPr>
          <w:rFonts w:hint="eastAsia"/>
          <w:color w:val="2F75B5"/>
        </w:rPr>
        <w:t>解析7</w:t>
      </w:r>
      <w:r>
        <w:t>，盈利能力处于</w:t>
      </w:r>
      <w:r>
        <w:rPr>
          <w:rFonts w:hint="eastAsia"/>
          <w:u w:val="single"/>
        </w:rPr>
        <w:t xml:space="preserve"> </w:t>
      </w:r>
      <w:r>
        <w:rPr>
          <w:u w:val="single"/>
        </w:rPr>
        <w:t xml:space="preserve">    </w:t>
      </w:r>
      <w:r>
        <w:t>水平。</w:t>
      </w:r>
      <w:r>
        <w:rPr>
          <w:rFonts w:hint="eastAsia"/>
          <w:b/>
          <w:bCs/>
          <w:color w:val="C45911" w:themeColor="accent2" w:themeShade="BF"/>
        </w:rPr>
        <w:t>（选项：参照以上</w:t>
      </w:r>
      <w:proofErr w:type="gramStart"/>
      <w:r>
        <w:rPr>
          <w:rFonts w:hint="eastAsia"/>
          <w:b/>
          <w:bCs/>
          <w:color w:val="C45911" w:themeColor="accent2" w:themeShade="BF"/>
        </w:rPr>
        <w:t>归母净利润</w:t>
      </w:r>
      <w:proofErr w:type="gramEnd"/>
      <w:r>
        <w:rPr>
          <w:rFonts w:hint="eastAsia"/>
          <w:b/>
          <w:bCs/>
          <w:color w:val="C45911" w:themeColor="accent2" w:themeShade="BF"/>
        </w:rPr>
        <w:t>的思维导图得出结论，选项：上游或下游）</w:t>
      </w:r>
    </w:p>
    <w:p w14:paraId="1FF4E23C" w14:textId="77777777" w:rsidR="00E629F3" w:rsidRDefault="00573FF2">
      <w:pPr>
        <w:pStyle w:val="017"/>
        <w:ind w:firstLineChars="200" w:firstLine="480"/>
      </w:pPr>
      <w:r>
        <w:rPr>
          <w:rFonts w:hint="eastAsia"/>
        </w:rPr>
        <w:t>洋河股份201</w:t>
      </w:r>
      <w:r>
        <w:t>6</w:t>
      </w:r>
      <w:r>
        <w:rPr>
          <w:rFonts w:hint="eastAsia"/>
        </w:rPr>
        <w:t>-20</w:t>
      </w:r>
      <w:r>
        <w:t>20</w:t>
      </w:r>
      <w:r>
        <w:rPr>
          <w:rFonts w:hint="eastAsia"/>
        </w:rPr>
        <w:t xml:space="preserve">年度的“归母净利润增长率”分别为： </w:t>
      </w:r>
      <w:r>
        <w:rPr>
          <w:u w:val="single"/>
        </w:rPr>
        <w:t xml:space="preserve">     </w:t>
      </w:r>
      <w:r>
        <w:rPr>
          <w:rFonts w:hint="eastAsia"/>
        </w:rPr>
        <w:t>%、</w:t>
      </w:r>
      <w:r>
        <w:rPr>
          <w:u w:val="single"/>
        </w:rPr>
        <w:t xml:space="preserve">     </w:t>
      </w:r>
      <w:r>
        <w:rPr>
          <w:rFonts w:hint="eastAsia"/>
        </w:rPr>
        <w:t xml:space="preserve"> %、</w:t>
      </w:r>
      <w:r>
        <w:rPr>
          <w:u w:val="single"/>
        </w:rPr>
        <w:t xml:space="preserve">     </w:t>
      </w:r>
      <w:r>
        <w:rPr>
          <w:rFonts w:hint="eastAsia"/>
        </w:rPr>
        <w:t xml:space="preserve"> %、</w:t>
      </w:r>
      <w:r>
        <w:rPr>
          <w:u w:val="single"/>
        </w:rPr>
        <w:t xml:space="preserve">     </w:t>
      </w:r>
      <w:r>
        <w:rPr>
          <w:rFonts w:hint="eastAsia"/>
        </w:rPr>
        <w:t xml:space="preserve"> %、</w:t>
      </w:r>
      <w:r>
        <w:rPr>
          <w:u w:val="single"/>
        </w:rPr>
        <w:t xml:space="preserve">     </w:t>
      </w:r>
      <w:r>
        <w:rPr>
          <w:rFonts w:hint="eastAsia"/>
        </w:rPr>
        <w:t xml:space="preserve"> %，</w:t>
      </w:r>
      <w:r>
        <w:t>2019</w:t>
      </w:r>
      <w:r>
        <w:rPr>
          <w:rFonts w:hint="eastAsia"/>
        </w:rPr>
        <w:t>年出现了负增长，年报未做相应的解释，但结合前几年的情况，洋河股份的盈利能力是较强的。</w:t>
      </w:r>
    </w:p>
    <w:p w14:paraId="1097ED25" w14:textId="77777777" w:rsidR="00E629F3" w:rsidRDefault="00573FF2">
      <w:pPr>
        <w:pStyle w:val="017"/>
      </w:pPr>
      <w:bookmarkStart w:id="7" w:name="_Hlk71578110"/>
      <w:r>
        <w:rPr>
          <w:rFonts w:hint="eastAsia"/>
        </w:rPr>
        <w:t>由于2</w:t>
      </w:r>
      <w:r>
        <w:t>020</w:t>
      </w:r>
      <w:r>
        <w:rPr>
          <w:rFonts w:hint="eastAsia"/>
        </w:rPr>
        <w:t>年之前洋河股份的利润质量较高，结合毛利率和期间费用率变化不大来看，2</w:t>
      </w:r>
      <w:r>
        <w:t>019</w:t>
      </w:r>
      <w:proofErr w:type="gramStart"/>
      <w:r>
        <w:rPr>
          <w:rFonts w:hint="eastAsia"/>
        </w:rPr>
        <w:t>归母净利润</w:t>
      </w:r>
      <w:proofErr w:type="gramEnd"/>
      <w:r>
        <w:rPr>
          <w:rFonts w:hint="eastAsia"/>
        </w:rPr>
        <w:t>降低我们可以推断出是主营利润降低导致的</w:t>
      </w:r>
      <w:bookmarkEnd w:id="7"/>
      <w:r>
        <w:rPr>
          <w:rFonts w:hint="eastAsia"/>
        </w:rPr>
        <w:t>：</w:t>
      </w:r>
    </w:p>
    <w:p w14:paraId="2F7153A6" w14:textId="77777777" w:rsidR="00E629F3" w:rsidRDefault="00573FF2">
      <w:pPr>
        <w:spacing w:line="360" w:lineRule="auto"/>
        <w:jc w:val="center"/>
        <w:rPr>
          <w:rFonts w:ascii="KaiTi" w:eastAsia="KaiTi" w:hAnsi="KaiTi"/>
        </w:rPr>
      </w:pPr>
      <w:r>
        <w:rPr>
          <w:rFonts w:ascii="KaiTi" w:eastAsia="KaiTi" w:hAnsi="KaiTi"/>
          <w:noProof/>
        </w:rPr>
        <w:drawing>
          <wp:inline distT="0" distB="0" distL="0" distR="0" wp14:anchorId="3B437B8F" wp14:editId="26E7FCC9">
            <wp:extent cx="4055110" cy="33947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4065409" cy="3403665"/>
                    </a:xfrm>
                    <a:prstGeom prst="rect">
                      <a:avLst/>
                    </a:prstGeom>
                  </pic:spPr>
                </pic:pic>
              </a:graphicData>
            </a:graphic>
          </wp:inline>
        </w:drawing>
      </w:r>
    </w:p>
    <w:p w14:paraId="29A2CB6B" w14:textId="77777777" w:rsidR="00E629F3" w:rsidRDefault="00573FF2">
      <w:pPr>
        <w:pStyle w:val="017"/>
      </w:pPr>
      <w:r>
        <w:rPr>
          <w:rFonts w:hint="eastAsia"/>
        </w:rPr>
        <w:t>由主营利润公式可知，造成2</w:t>
      </w:r>
      <w:r>
        <w:t>019</w:t>
      </w:r>
      <w:r>
        <w:rPr>
          <w:rFonts w:hint="eastAsia"/>
        </w:rPr>
        <w:t>主营利润减少的是</w:t>
      </w:r>
      <w:r>
        <w:rPr>
          <w:rFonts w:hint="eastAsia"/>
          <w:u w:val="single"/>
        </w:rPr>
        <w:t xml:space="preserve"> </w:t>
      </w:r>
      <w:r>
        <w:rPr>
          <w:u w:val="single"/>
        </w:rPr>
        <w:t xml:space="preserve">      </w:t>
      </w:r>
      <w:r>
        <w:rPr>
          <w:rFonts w:hint="eastAsia"/>
        </w:rPr>
        <w:t>科目上升或下降导致的，</w:t>
      </w:r>
      <w:r>
        <w:rPr>
          <w:rFonts w:hint="eastAsia"/>
          <w:b/>
          <w:bCs/>
          <w:color w:val="C45911" w:themeColor="accent2" w:themeShade="BF"/>
        </w:rPr>
        <w:t>（提示税金及附加同比是减少的，不是原因）</w:t>
      </w:r>
      <w:r>
        <w:rPr>
          <w:rFonts w:hint="eastAsia"/>
        </w:rPr>
        <w:t>。</w:t>
      </w:r>
    </w:p>
    <w:p w14:paraId="65627F9E" w14:textId="77777777" w:rsidR="00E629F3" w:rsidRDefault="00573FF2">
      <w:pPr>
        <w:pStyle w:val="017"/>
        <w:ind w:firstLineChars="200" w:firstLine="480"/>
      </w:pPr>
      <w:r>
        <w:rPr>
          <w:rFonts w:hint="eastAsia"/>
        </w:rPr>
        <w:t>结合12周案例分析可知，洋河近两年</w:t>
      </w:r>
      <w:r>
        <w:rPr>
          <w:rFonts w:hint="eastAsia"/>
          <w:u w:val="single"/>
        </w:rPr>
        <w:t xml:space="preserve"> </w:t>
      </w:r>
      <w:r>
        <w:rPr>
          <w:u w:val="single"/>
        </w:rPr>
        <w:t xml:space="preserve">      </w:t>
      </w:r>
      <w:r>
        <w:rPr>
          <w:rFonts w:hint="eastAsia"/>
        </w:rPr>
        <w:t>降低是造成利润降低的主要因素，江苏省内洋河市场份额被</w:t>
      </w:r>
      <w:bookmarkStart w:id="8" w:name="_Hlk71578200"/>
      <w:r>
        <w:rPr>
          <w:rFonts w:hint="eastAsia"/>
        </w:rPr>
        <w:t>省内竞争对手</w:t>
      </w:r>
      <w:bookmarkEnd w:id="8"/>
      <w:r>
        <w:rPr>
          <w:rFonts w:hint="eastAsia"/>
          <w:u w:val="single"/>
        </w:rPr>
        <w:t xml:space="preserve"> </w:t>
      </w:r>
      <w:r>
        <w:rPr>
          <w:u w:val="single"/>
        </w:rPr>
        <w:t xml:space="preserve">     </w:t>
      </w:r>
      <w:r>
        <w:rPr>
          <w:rFonts w:hint="eastAsia"/>
        </w:rPr>
        <w:t>公司挤占导致收入增长率为负数，</w:t>
      </w:r>
      <w:bookmarkStart w:id="9" w:name="_Hlk71578210"/>
      <w:r>
        <w:rPr>
          <w:rFonts w:hint="eastAsia"/>
        </w:rPr>
        <w:t>需要持续关注</w:t>
      </w:r>
      <w:bookmarkEnd w:id="9"/>
      <w:r>
        <w:rPr>
          <w:rFonts w:hint="eastAsia"/>
        </w:rPr>
        <w:t>。</w:t>
      </w:r>
    </w:p>
    <w:p w14:paraId="0EC6AFA3" w14:textId="77777777" w:rsidR="00E629F3" w:rsidRDefault="00573FF2">
      <w:pPr>
        <w:pStyle w:val="01761"/>
      </w:pPr>
      <w:r>
        <w:rPr>
          <w:rFonts w:hint="eastAsia"/>
        </w:rPr>
        <w:t>4</w:t>
      </w:r>
      <w:r>
        <w:t>.</w:t>
      </w:r>
      <w:r>
        <w:rPr>
          <w:rFonts w:hint="eastAsia"/>
        </w:rPr>
        <w:t>根据分析得出结论</w:t>
      </w:r>
    </w:p>
    <w:p w14:paraId="774CAE84" w14:textId="77777777" w:rsidR="00E629F3" w:rsidRDefault="00573FF2">
      <w:pPr>
        <w:pStyle w:val="017"/>
        <w:ind w:firstLineChars="200" w:firstLine="480"/>
      </w:pPr>
      <w:r>
        <w:rPr>
          <w:rFonts w:hint="eastAsia"/>
        </w:rPr>
        <w:t>洋河股份的</w:t>
      </w:r>
      <w:r>
        <w:t>盈利能力处于</w:t>
      </w:r>
      <w:r>
        <w:rPr>
          <w:rFonts w:hint="eastAsia"/>
          <w:u w:val="single"/>
        </w:rPr>
        <w:t xml:space="preserve"> </w:t>
      </w:r>
      <w:r>
        <w:rPr>
          <w:u w:val="single"/>
        </w:rPr>
        <w:t xml:space="preserve">    </w:t>
      </w:r>
      <w:r>
        <w:t>水平</w:t>
      </w:r>
      <w:r>
        <w:rPr>
          <w:rFonts w:hint="eastAsia"/>
        </w:rPr>
        <w:t>，</w:t>
      </w:r>
      <w:r>
        <w:rPr>
          <w:rFonts w:hint="eastAsia"/>
          <w:b/>
          <w:bCs/>
          <w:color w:val="C45911" w:themeColor="accent2" w:themeShade="BF"/>
        </w:rPr>
        <w:t>（选项：参照以上</w:t>
      </w:r>
      <w:proofErr w:type="gramStart"/>
      <w:r>
        <w:rPr>
          <w:rFonts w:hint="eastAsia"/>
          <w:b/>
          <w:bCs/>
          <w:color w:val="C45911" w:themeColor="accent2" w:themeShade="BF"/>
        </w:rPr>
        <w:t>归母净利润</w:t>
      </w:r>
      <w:proofErr w:type="gramEnd"/>
      <w:r>
        <w:rPr>
          <w:rFonts w:hint="eastAsia"/>
          <w:b/>
          <w:bCs/>
          <w:color w:val="C45911" w:themeColor="accent2" w:themeShade="BF"/>
        </w:rPr>
        <w:t>的思维导图得出结论，选项：上游或下游）</w:t>
      </w:r>
      <w:r>
        <w:rPr>
          <w:rFonts w:hint="eastAsia"/>
        </w:rPr>
        <w:t>，并且盈利能力的持续性</w:t>
      </w:r>
      <w:r>
        <w:rPr>
          <w:u w:val="single"/>
        </w:rPr>
        <w:t xml:space="preserve">    </w:t>
      </w:r>
      <w:r>
        <w:rPr>
          <w:rFonts w:hint="eastAsia"/>
          <w:b/>
          <w:bCs/>
          <w:color w:val="C45911" w:themeColor="accent2" w:themeShade="BF"/>
        </w:rPr>
        <w:t>（参照以上</w:t>
      </w:r>
      <w:proofErr w:type="gramStart"/>
      <w:r>
        <w:rPr>
          <w:rFonts w:hint="eastAsia"/>
          <w:b/>
          <w:bCs/>
          <w:color w:val="C45911" w:themeColor="accent2" w:themeShade="BF"/>
        </w:rPr>
        <w:t>归母净利润</w:t>
      </w:r>
      <w:proofErr w:type="gramEnd"/>
      <w:r>
        <w:rPr>
          <w:rFonts w:hint="eastAsia"/>
          <w:b/>
          <w:bCs/>
          <w:color w:val="C45911" w:themeColor="accent2" w:themeShade="BF"/>
        </w:rPr>
        <w:t>的思维导图得出结论，选项：较好或较差）</w:t>
      </w:r>
    </w:p>
    <w:p w14:paraId="53D007E5" w14:textId="77777777" w:rsidR="00E629F3" w:rsidRDefault="00E629F3">
      <w:pPr>
        <w:spacing w:line="360" w:lineRule="auto"/>
        <w:ind w:firstLine="480"/>
        <w:rPr>
          <w:rFonts w:ascii="KaiTi" w:eastAsia="KaiTi" w:hAnsi="KaiTi"/>
          <w:color w:val="4472C4" w:themeColor="accent1"/>
        </w:rPr>
      </w:pPr>
    </w:p>
    <w:p w14:paraId="6ECBC577" w14:textId="77777777" w:rsidR="00E629F3" w:rsidRDefault="00E629F3">
      <w:pPr>
        <w:spacing w:line="360" w:lineRule="auto"/>
        <w:ind w:firstLine="480"/>
        <w:rPr>
          <w:rFonts w:ascii="KaiTi" w:eastAsia="KaiTi" w:hAnsi="KaiTi"/>
          <w:color w:val="4472C4" w:themeColor="accent1"/>
        </w:rPr>
      </w:pPr>
    </w:p>
    <w:p w14:paraId="1A6347F1" w14:textId="77777777" w:rsidR="00E629F3" w:rsidRDefault="00E629F3">
      <w:pPr>
        <w:spacing w:line="360" w:lineRule="auto"/>
        <w:ind w:firstLine="480"/>
        <w:rPr>
          <w:rFonts w:ascii="KaiTi" w:eastAsia="KaiTi" w:hAnsi="KaiTi"/>
          <w:color w:val="4472C4" w:themeColor="accent1"/>
        </w:rPr>
      </w:pPr>
    </w:p>
    <w:p w14:paraId="6DCB96A1" w14:textId="77777777" w:rsidR="00E629F3" w:rsidRDefault="00573FF2">
      <w:pPr>
        <w:pStyle w:val="0172"/>
        <w:spacing w:before="326" w:after="163"/>
        <w:rPr>
          <w:rFonts w:ascii="KaiTi" w:eastAsia="KaiTi" w:hAnsi="KaiTi"/>
          <w:color w:val="4472C4" w:themeColor="accent1"/>
        </w:rPr>
      </w:pPr>
      <w:r>
        <w:rPr>
          <w:rFonts w:ascii="KaiTi" w:eastAsia="KaiTi" w:hAnsi="KaiTi" w:hint="eastAsia"/>
        </w:rPr>
        <w:t>作业解析</w:t>
      </w:r>
    </w:p>
    <w:p w14:paraId="365E9387" w14:textId="77777777" w:rsidR="00E629F3" w:rsidRDefault="00573FF2">
      <w:pPr>
        <w:spacing w:line="360" w:lineRule="auto"/>
        <w:ind w:firstLine="480"/>
        <w:rPr>
          <w:rFonts w:ascii="KaiTi" w:eastAsia="KaiTi" w:hAnsi="KaiTi"/>
          <w:color w:val="4472C4" w:themeColor="accent1"/>
        </w:rPr>
      </w:pPr>
      <w:r>
        <w:rPr>
          <w:rFonts w:ascii="KaiTi" w:eastAsia="KaiTi" w:hAnsi="KaiTi" w:hint="eastAsia"/>
          <w:color w:val="4472C4" w:themeColor="accent1"/>
        </w:rPr>
        <w:t>【看营业收入】——</w:t>
      </w:r>
      <w:r>
        <w:rPr>
          <w:rFonts w:ascii="KaiTi" w:eastAsia="KaiTi" w:hAnsi="KaiTi" w:hint="eastAsia"/>
          <w:color w:val="4472C4" w:themeColor="accent1"/>
          <w:highlight w:val="yellow"/>
        </w:rPr>
        <w:t>解析1：</w:t>
      </w:r>
    </w:p>
    <w:p w14:paraId="654E7164" w14:textId="77777777" w:rsidR="00E629F3" w:rsidRDefault="00573FF2">
      <w:pPr>
        <w:spacing w:line="360" w:lineRule="auto"/>
        <w:ind w:firstLineChars="200" w:firstLine="482"/>
        <w:rPr>
          <w:rFonts w:ascii="KaiTi" w:eastAsia="KaiTi" w:hAnsi="KaiTi"/>
        </w:rPr>
      </w:pPr>
      <w:r>
        <w:rPr>
          <w:rFonts w:ascii="KaiTi" w:eastAsia="KaiTi" w:hAnsi="KaiTi" w:hint="eastAsia"/>
          <w:b/>
          <w:bCs/>
        </w:rPr>
        <w:t>打开</w:t>
      </w:r>
      <w:proofErr w:type="spellStart"/>
      <w:r>
        <w:rPr>
          <w:rFonts w:ascii="KaiTi" w:eastAsia="KaiTi" w:hAnsi="KaiTi"/>
          <w:b/>
          <w:bCs/>
        </w:rPr>
        <w:t>i</w:t>
      </w:r>
      <w:proofErr w:type="spellEnd"/>
      <w:r>
        <w:rPr>
          <w:rFonts w:ascii="KaiTi" w:eastAsia="KaiTi" w:hAnsi="KaiTi"/>
          <w:b/>
          <w:bCs/>
        </w:rPr>
        <w:t>问财</w:t>
      </w:r>
      <w:r>
        <w:rPr>
          <w:rFonts w:ascii="KaiTi" w:eastAsia="KaiTi" w:hAnsi="KaiTi"/>
        </w:rPr>
        <w:t>，输入搜索条件：</w:t>
      </w:r>
      <w:r>
        <w:rPr>
          <w:rFonts w:ascii="KaiTi" w:eastAsia="KaiTi" w:hAnsi="KaiTi" w:hint="eastAsia"/>
        </w:rPr>
        <w:t>洋河股份</w:t>
      </w:r>
      <w:r>
        <w:rPr>
          <w:rFonts w:ascii="KaiTi" w:eastAsia="KaiTi" w:hAnsi="KaiTi"/>
        </w:rPr>
        <w:t>，2016年到2020年，营业收入，营业收入增长率</w:t>
      </w:r>
    </w:p>
    <w:p w14:paraId="0D60F0E2" w14:textId="77777777" w:rsidR="00E629F3" w:rsidRDefault="00573FF2">
      <w:pPr>
        <w:spacing w:line="360" w:lineRule="auto"/>
        <w:rPr>
          <w:rFonts w:ascii="KaiTi" w:eastAsia="KaiTi" w:hAnsi="KaiTi"/>
          <w:b/>
          <w:bCs/>
        </w:rPr>
      </w:pPr>
      <w:r>
        <w:rPr>
          <w:noProof/>
        </w:rPr>
        <w:drawing>
          <wp:inline distT="0" distB="0" distL="0" distR="0" wp14:anchorId="2CD96AB6" wp14:editId="2BDF8ABB">
            <wp:extent cx="5885815" cy="374459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899427" cy="3753385"/>
                    </a:xfrm>
                    <a:prstGeom prst="rect">
                      <a:avLst/>
                    </a:prstGeom>
                  </pic:spPr>
                </pic:pic>
              </a:graphicData>
            </a:graphic>
          </wp:inline>
        </w:drawing>
      </w:r>
    </w:p>
    <w:p w14:paraId="5B05C2A0" w14:textId="77777777" w:rsidR="00E629F3" w:rsidRDefault="00E629F3">
      <w:pPr>
        <w:spacing w:line="360" w:lineRule="auto"/>
        <w:rPr>
          <w:rFonts w:ascii="KaiTi" w:eastAsia="KaiTi" w:hAnsi="KaiTi"/>
          <w:b/>
          <w:bCs/>
        </w:rPr>
      </w:pPr>
    </w:p>
    <w:p w14:paraId="07085AA1" w14:textId="77777777" w:rsidR="00E629F3" w:rsidRDefault="00E629F3">
      <w:pPr>
        <w:spacing w:line="360" w:lineRule="auto"/>
        <w:rPr>
          <w:rFonts w:ascii="KaiTi" w:eastAsia="KaiTi" w:hAnsi="KaiTi"/>
          <w:b/>
          <w:bCs/>
        </w:rPr>
      </w:pPr>
    </w:p>
    <w:p w14:paraId="6689988B" w14:textId="77777777" w:rsidR="00E629F3" w:rsidRDefault="00E629F3">
      <w:pPr>
        <w:spacing w:line="360" w:lineRule="auto"/>
        <w:rPr>
          <w:rFonts w:ascii="KaiTi" w:eastAsia="KaiTi" w:hAnsi="KaiTi"/>
          <w:b/>
          <w:bCs/>
        </w:rPr>
      </w:pPr>
    </w:p>
    <w:p w14:paraId="47AE0654" w14:textId="77777777" w:rsidR="00E629F3" w:rsidRDefault="00573FF2">
      <w:pPr>
        <w:spacing w:line="360" w:lineRule="auto"/>
        <w:ind w:firstLine="480"/>
        <w:rPr>
          <w:rFonts w:ascii="KaiTi" w:eastAsia="KaiTi" w:hAnsi="KaiTi"/>
          <w:color w:val="4472C4" w:themeColor="accent1"/>
        </w:rPr>
      </w:pPr>
      <w:r>
        <w:rPr>
          <w:rFonts w:ascii="KaiTi" w:eastAsia="KaiTi" w:hAnsi="KaiTi" w:hint="eastAsia"/>
          <w:color w:val="4472C4" w:themeColor="accent1"/>
        </w:rPr>
        <w:t>【看毛利率】——</w:t>
      </w:r>
      <w:r>
        <w:rPr>
          <w:rFonts w:ascii="KaiTi" w:eastAsia="KaiTi" w:hAnsi="KaiTi" w:hint="eastAsia"/>
          <w:color w:val="4472C4" w:themeColor="accent1"/>
          <w:highlight w:val="yellow"/>
        </w:rPr>
        <w:t>解析</w:t>
      </w:r>
      <w:r>
        <w:rPr>
          <w:rFonts w:ascii="KaiTi" w:eastAsia="KaiTi" w:hAnsi="KaiTi"/>
          <w:color w:val="4472C4" w:themeColor="accent1"/>
          <w:highlight w:val="yellow"/>
        </w:rPr>
        <w:t>2</w:t>
      </w:r>
      <w:r>
        <w:rPr>
          <w:rFonts w:ascii="KaiTi" w:eastAsia="KaiTi" w:hAnsi="KaiTi" w:hint="eastAsia"/>
          <w:color w:val="4472C4" w:themeColor="accent1"/>
          <w:highlight w:val="yellow"/>
        </w:rPr>
        <w:t>：</w:t>
      </w:r>
    </w:p>
    <w:p w14:paraId="7A35ABB0" w14:textId="77777777" w:rsidR="00E629F3" w:rsidRDefault="00573FF2">
      <w:pPr>
        <w:spacing w:line="360" w:lineRule="auto"/>
        <w:rPr>
          <w:rFonts w:ascii="KaiTi" w:eastAsia="KaiTi" w:hAnsi="KaiTi"/>
        </w:rPr>
      </w:pPr>
      <w:r>
        <w:rPr>
          <w:rFonts w:ascii="KaiTi" w:eastAsia="KaiTi" w:hAnsi="KaiTi"/>
        </w:rPr>
        <w:tab/>
      </w:r>
      <w:r>
        <w:rPr>
          <w:rFonts w:ascii="KaiTi" w:eastAsia="KaiTi" w:hAnsi="KaiTi"/>
          <w:b/>
          <w:bCs/>
        </w:rPr>
        <w:t>打开</w:t>
      </w:r>
      <w:proofErr w:type="spellStart"/>
      <w:r>
        <w:rPr>
          <w:rFonts w:ascii="KaiTi" w:eastAsia="KaiTi" w:hAnsi="KaiTi"/>
          <w:b/>
          <w:bCs/>
        </w:rPr>
        <w:t>i</w:t>
      </w:r>
      <w:proofErr w:type="spellEnd"/>
      <w:r>
        <w:rPr>
          <w:rFonts w:ascii="KaiTi" w:eastAsia="KaiTi" w:hAnsi="KaiTi"/>
          <w:b/>
          <w:bCs/>
        </w:rPr>
        <w:t>问财，</w:t>
      </w:r>
      <w:r>
        <w:rPr>
          <w:rFonts w:ascii="KaiTi" w:eastAsia="KaiTi" w:hAnsi="KaiTi"/>
        </w:rPr>
        <w:t>输入搜索条件：</w:t>
      </w:r>
      <w:r>
        <w:rPr>
          <w:rFonts w:ascii="KaiTi" w:eastAsia="KaiTi" w:hAnsi="KaiTi" w:hint="eastAsia"/>
        </w:rPr>
        <w:t>洋河股份</w:t>
      </w:r>
      <w:r>
        <w:rPr>
          <w:rFonts w:ascii="KaiTi" w:eastAsia="KaiTi" w:hAnsi="KaiTi"/>
        </w:rPr>
        <w:t>，2016年到2020年，</w:t>
      </w:r>
      <w:r>
        <w:rPr>
          <w:rFonts w:ascii="KaiTi" w:eastAsia="KaiTi" w:hAnsi="KaiTi" w:hint="eastAsia"/>
        </w:rPr>
        <w:t>营业成本，</w:t>
      </w:r>
      <w:r>
        <w:rPr>
          <w:rFonts w:ascii="KaiTi" w:eastAsia="KaiTi" w:hAnsi="KaiTi"/>
        </w:rPr>
        <w:t>毛利率</w:t>
      </w:r>
    </w:p>
    <w:p w14:paraId="780883B5" w14:textId="77777777" w:rsidR="00E629F3" w:rsidRDefault="00573FF2">
      <w:pPr>
        <w:pStyle w:val="017"/>
      </w:pPr>
      <w:r>
        <w:rPr>
          <w:noProof/>
        </w:rPr>
        <w:drawing>
          <wp:inline distT="0" distB="0" distL="0" distR="0" wp14:anchorId="39D9EDC4" wp14:editId="78835D21">
            <wp:extent cx="5845175" cy="366522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873113" cy="3682851"/>
                    </a:xfrm>
                    <a:prstGeom prst="rect">
                      <a:avLst/>
                    </a:prstGeom>
                  </pic:spPr>
                </pic:pic>
              </a:graphicData>
            </a:graphic>
          </wp:inline>
        </w:drawing>
      </w:r>
    </w:p>
    <w:p w14:paraId="79B1B1DC" w14:textId="77777777" w:rsidR="00E629F3" w:rsidRDefault="00E629F3">
      <w:pPr>
        <w:pStyle w:val="017"/>
      </w:pPr>
    </w:p>
    <w:p w14:paraId="31012F8C" w14:textId="77777777" w:rsidR="00E629F3" w:rsidRDefault="00573FF2">
      <w:pPr>
        <w:spacing w:line="360" w:lineRule="auto"/>
        <w:ind w:firstLine="480"/>
        <w:rPr>
          <w:rFonts w:ascii="KaiTi" w:eastAsia="KaiTi" w:hAnsi="KaiTi"/>
          <w:color w:val="4472C4" w:themeColor="accent1"/>
        </w:rPr>
      </w:pPr>
      <w:r>
        <w:rPr>
          <w:rFonts w:ascii="KaiTi" w:eastAsia="KaiTi" w:hAnsi="KaiTi" w:hint="eastAsia"/>
          <w:color w:val="4472C4" w:themeColor="accent1"/>
        </w:rPr>
        <w:t>【看期间费用率】——</w:t>
      </w:r>
      <w:r>
        <w:rPr>
          <w:rFonts w:ascii="KaiTi" w:eastAsia="KaiTi" w:hAnsi="KaiTi" w:hint="eastAsia"/>
          <w:color w:val="4472C4" w:themeColor="accent1"/>
          <w:highlight w:val="yellow"/>
        </w:rPr>
        <w:t>解析</w:t>
      </w:r>
      <w:r>
        <w:rPr>
          <w:rFonts w:ascii="KaiTi" w:eastAsia="KaiTi" w:hAnsi="KaiTi"/>
          <w:color w:val="4472C4" w:themeColor="accent1"/>
          <w:highlight w:val="yellow"/>
        </w:rPr>
        <w:t>3</w:t>
      </w:r>
      <w:r>
        <w:rPr>
          <w:rFonts w:ascii="KaiTi" w:eastAsia="KaiTi" w:hAnsi="KaiTi" w:hint="eastAsia"/>
          <w:color w:val="4472C4" w:themeColor="accent1"/>
          <w:highlight w:val="yellow"/>
        </w:rPr>
        <w:t>：</w:t>
      </w:r>
    </w:p>
    <w:p w14:paraId="1589D39F" w14:textId="77777777" w:rsidR="00E629F3" w:rsidRDefault="00573FF2">
      <w:pPr>
        <w:spacing w:line="360" w:lineRule="auto"/>
        <w:ind w:firstLineChars="200" w:firstLine="480"/>
        <w:rPr>
          <w:rFonts w:ascii="KaiTi" w:eastAsia="KaiTi" w:hAnsi="KaiTi"/>
          <w:b/>
          <w:bCs/>
          <w:color w:val="FF0000"/>
        </w:rPr>
      </w:pPr>
      <w:r>
        <w:rPr>
          <w:rFonts w:ascii="KaiTi" w:eastAsia="KaiTi" w:hAnsi="KaiTi"/>
        </w:rPr>
        <w:tab/>
      </w:r>
      <w:r>
        <w:rPr>
          <w:rFonts w:ascii="KaiTi" w:eastAsia="KaiTi" w:hAnsi="KaiTi"/>
          <w:b/>
          <w:bCs/>
        </w:rPr>
        <w:t>打开</w:t>
      </w:r>
      <w:proofErr w:type="spellStart"/>
      <w:r>
        <w:rPr>
          <w:rFonts w:ascii="KaiTi" w:eastAsia="KaiTi" w:hAnsi="KaiTi"/>
          <w:b/>
          <w:bCs/>
        </w:rPr>
        <w:t>i</w:t>
      </w:r>
      <w:proofErr w:type="spellEnd"/>
      <w:r>
        <w:rPr>
          <w:rFonts w:ascii="KaiTi" w:eastAsia="KaiTi" w:hAnsi="KaiTi"/>
          <w:b/>
          <w:bCs/>
        </w:rPr>
        <w:t>问财</w:t>
      </w:r>
      <w:r>
        <w:rPr>
          <w:rFonts w:ascii="KaiTi" w:eastAsia="KaiTi" w:hAnsi="KaiTi"/>
        </w:rPr>
        <w:t>，输入搜索条件：</w:t>
      </w:r>
      <w:r>
        <w:rPr>
          <w:rFonts w:ascii="KaiTi" w:eastAsia="KaiTi" w:hAnsi="KaiTi" w:hint="eastAsia"/>
        </w:rPr>
        <w:t>洋河股份</w:t>
      </w:r>
      <w:r>
        <w:rPr>
          <w:rFonts w:ascii="KaiTi" w:eastAsia="KaiTi" w:hAnsi="KaiTi"/>
        </w:rPr>
        <w:t>，2016年到2020年，财务费用</w:t>
      </w:r>
      <w:r>
        <w:rPr>
          <w:rFonts w:ascii="KaiTi" w:eastAsia="KaiTi" w:hAnsi="KaiTi" w:hint="eastAsia"/>
        </w:rPr>
        <w:t>，营业收入（</w:t>
      </w:r>
      <w:r>
        <w:rPr>
          <w:rFonts w:ascii="KaiTi" w:eastAsia="KaiTi" w:hAnsi="KaiTi" w:hint="eastAsia"/>
          <w:b/>
          <w:bCs/>
          <w:color w:val="FF0000"/>
        </w:rPr>
        <w:t>财务费用是负数，不加在费用合计中</w:t>
      </w:r>
      <w:r>
        <w:rPr>
          <w:rFonts w:ascii="KaiTi" w:eastAsia="KaiTi" w:hAnsi="KaiTi" w:hint="eastAsia"/>
        </w:rPr>
        <w:t>）</w:t>
      </w:r>
    </w:p>
    <w:p w14:paraId="6388325B" w14:textId="77777777" w:rsidR="00E629F3" w:rsidRDefault="00573FF2">
      <w:pPr>
        <w:spacing w:line="360" w:lineRule="auto"/>
        <w:jc w:val="center"/>
        <w:rPr>
          <w:rFonts w:ascii="KaiTi" w:eastAsia="KaiTi" w:hAnsi="KaiTi"/>
          <w:color w:val="4472C4" w:themeColor="accent1"/>
        </w:rPr>
      </w:pPr>
      <w:r>
        <w:rPr>
          <w:noProof/>
        </w:rPr>
        <w:drawing>
          <wp:inline distT="0" distB="0" distL="0" distR="0" wp14:anchorId="6298AE87" wp14:editId="166C4E7B">
            <wp:extent cx="470662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4714555" cy="3759838"/>
                    </a:xfrm>
                    <a:prstGeom prst="rect">
                      <a:avLst/>
                    </a:prstGeom>
                  </pic:spPr>
                </pic:pic>
              </a:graphicData>
            </a:graphic>
          </wp:inline>
        </w:drawing>
      </w:r>
    </w:p>
    <w:p w14:paraId="7B00C4B7" w14:textId="77777777" w:rsidR="00E629F3" w:rsidRDefault="00573FF2">
      <w:pPr>
        <w:spacing w:line="360" w:lineRule="auto"/>
        <w:ind w:firstLine="480"/>
        <w:rPr>
          <w:rFonts w:ascii="KaiTi" w:eastAsia="KaiTi" w:hAnsi="KaiTi"/>
          <w:color w:val="4472C4" w:themeColor="accent1"/>
        </w:rPr>
      </w:pPr>
      <w:r>
        <w:rPr>
          <w:rFonts w:ascii="KaiTi" w:eastAsia="KaiTi" w:hAnsi="KaiTi" w:hint="eastAsia"/>
          <w:color w:val="4472C4" w:themeColor="accent1"/>
        </w:rPr>
        <w:t>【看主营利润率】——</w:t>
      </w:r>
      <w:r>
        <w:rPr>
          <w:rFonts w:ascii="KaiTi" w:eastAsia="KaiTi" w:hAnsi="KaiTi" w:hint="eastAsia"/>
          <w:color w:val="4472C4" w:themeColor="accent1"/>
          <w:highlight w:val="yellow"/>
        </w:rPr>
        <w:t>解析</w:t>
      </w:r>
      <w:r>
        <w:rPr>
          <w:rFonts w:ascii="KaiTi" w:eastAsia="KaiTi" w:hAnsi="KaiTi"/>
          <w:color w:val="4472C4" w:themeColor="accent1"/>
          <w:highlight w:val="yellow"/>
        </w:rPr>
        <w:t>4</w:t>
      </w:r>
      <w:r>
        <w:rPr>
          <w:rFonts w:ascii="KaiTi" w:eastAsia="KaiTi" w:hAnsi="KaiTi" w:hint="eastAsia"/>
          <w:color w:val="4472C4" w:themeColor="accent1"/>
          <w:highlight w:val="yellow"/>
        </w:rPr>
        <w:t>：</w:t>
      </w:r>
    </w:p>
    <w:p w14:paraId="6787A3C1" w14:textId="77777777" w:rsidR="00E629F3" w:rsidRDefault="00573FF2">
      <w:pPr>
        <w:spacing w:line="360" w:lineRule="auto"/>
        <w:ind w:firstLineChars="200" w:firstLine="482"/>
        <w:rPr>
          <w:rFonts w:ascii="KaiTi" w:eastAsia="KaiTi" w:hAnsi="KaiTi"/>
        </w:rPr>
      </w:pPr>
      <w:r>
        <w:rPr>
          <w:rFonts w:ascii="KaiTi" w:eastAsia="KaiTi" w:hAnsi="KaiTi"/>
          <w:b/>
          <w:bCs/>
        </w:rPr>
        <w:t>打开</w:t>
      </w:r>
      <w:proofErr w:type="spellStart"/>
      <w:r>
        <w:rPr>
          <w:rFonts w:ascii="KaiTi" w:eastAsia="KaiTi" w:hAnsi="KaiTi"/>
          <w:b/>
          <w:bCs/>
        </w:rPr>
        <w:t>i</w:t>
      </w:r>
      <w:proofErr w:type="spellEnd"/>
      <w:r>
        <w:rPr>
          <w:rFonts w:ascii="KaiTi" w:eastAsia="KaiTi" w:hAnsi="KaiTi"/>
          <w:b/>
          <w:bCs/>
        </w:rPr>
        <w:t>问财</w:t>
      </w:r>
      <w:r>
        <w:rPr>
          <w:rFonts w:ascii="KaiTi" w:eastAsia="KaiTi" w:hAnsi="KaiTi"/>
        </w:rPr>
        <w:t>，输入搜索条件：</w:t>
      </w:r>
      <w:r>
        <w:rPr>
          <w:rFonts w:ascii="KaiTi" w:eastAsia="KaiTi" w:hAnsi="KaiTi" w:hint="eastAsia"/>
        </w:rPr>
        <w:t>洋河股份</w:t>
      </w:r>
      <w:r>
        <w:rPr>
          <w:rFonts w:ascii="KaiTi" w:eastAsia="KaiTi" w:hAnsi="KaiTi"/>
        </w:rPr>
        <w:t>，2016年到2020年，</w:t>
      </w:r>
      <w:r>
        <w:rPr>
          <w:rFonts w:ascii="KaiTi" w:eastAsia="KaiTi" w:hAnsi="KaiTi" w:hint="eastAsia"/>
        </w:rPr>
        <w:t>税金及附加，营业利润（</w:t>
      </w:r>
      <w:r>
        <w:rPr>
          <w:rFonts w:ascii="KaiTi" w:eastAsia="KaiTi" w:hAnsi="KaiTi" w:hint="eastAsia"/>
          <w:b/>
          <w:bCs/>
          <w:color w:val="FF0000"/>
        </w:rPr>
        <w:t>2</w:t>
      </w:r>
      <w:r>
        <w:rPr>
          <w:rFonts w:ascii="KaiTi" w:eastAsia="KaiTi" w:hAnsi="KaiTi"/>
          <w:b/>
          <w:bCs/>
          <w:color w:val="FF0000"/>
        </w:rPr>
        <w:t>016</w:t>
      </w:r>
      <w:r>
        <w:rPr>
          <w:rFonts w:ascii="KaiTi" w:eastAsia="KaiTi" w:hAnsi="KaiTi" w:hint="eastAsia"/>
          <w:b/>
          <w:bCs/>
          <w:color w:val="FF0000"/>
        </w:rPr>
        <w:t>年的营业利润以年报中7</w:t>
      </w:r>
      <w:r>
        <w:rPr>
          <w:rFonts w:ascii="KaiTi" w:eastAsia="KaiTi" w:hAnsi="KaiTi"/>
          <w:b/>
          <w:bCs/>
          <w:color w:val="FF0000"/>
        </w:rPr>
        <w:t>7.27</w:t>
      </w:r>
      <w:r>
        <w:rPr>
          <w:rFonts w:ascii="KaiTi" w:eastAsia="KaiTi" w:hAnsi="KaiTi" w:hint="eastAsia"/>
          <w:b/>
          <w:bCs/>
          <w:color w:val="FF0000"/>
        </w:rPr>
        <w:t>亿为准</w:t>
      </w:r>
      <w:r>
        <w:rPr>
          <w:rFonts w:ascii="KaiTi" w:eastAsia="KaiTi" w:hAnsi="KaiTi" w:hint="eastAsia"/>
        </w:rPr>
        <w:t>）</w:t>
      </w:r>
    </w:p>
    <w:p w14:paraId="59A205F1" w14:textId="77777777" w:rsidR="00E629F3" w:rsidRDefault="00573FF2">
      <w:pPr>
        <w:spacing w:line="360" w:lineRule="auto"/>
        <w:rPr>
          <w:rFonts w:ascii="KaiTi" w:eastAsia="KaiTi" w:hAnsi="KaiTi"/>
          <w:color w:val="4472C4" w:themeColor="accent1"/>
        </w:rPr>
      </w:pPr>
      <w:r>
        <w:rPr>
          <w:noProof/>
        </w:rPr>
        <w:drawing>
          <wp:inline distT="0" distB="0" distL="0" distR="0" wp14:anchorId="540B8B91" wp14:editId="59F60D12">
            <wp:extent cx="5661660" cy="3506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669998" cy="3511516"/>
                    </a:xfrm>
                    <a:prstGeom prst="rect">
                      <a:avLst/>
                    </a:prstGeom>
                  </pic:spPr>
                </pic:pic>
              </a:graphicData>
            </a:graphic>
          </wp:inline>
        </w:drawing>
      </w:r>
    </w:p>
    <w:p w14:paraId="37CADECB" w14:textId="77777777" w:rsidR="00E629F3" w:rsidRDefault="00573FF2">
      <w:pPr>
        <w:spacing w:line="360" w:lineRule="auto"/>
        <w:ind w:firstLine="480"/>
        <w:rPr>
          <w:rFonts w:ascii="KaiTi" w:eastAsia="KaiTi" w:hAnsi="KaiTi"/>
          <w:color w:val="4472C4" w:themeColor="accent1"/>
        </w:rPr>
      </w:pPr>
      <w:r>
        <w:rPr>
          <w:rFonts w:ascii="KaiTi" w:eastAsia="KaiTi" w:hAnsi="KaiTi" w:hint="eastAsia"/>
          <w:color w:val="4472C4" w:themeColor="accent1"/>
        </w:rPr>
        <w:t>【看营业外收入净额】——</w:t>
      </w:r>
      <w:r>
        <w:rPr>
          <w:rFonts w:ascii="KaiTi" w:eastAsia="KaiTi" w:hAnsi="KaiTi" w:hint="eastAsia"/>
          <w:color w:val="4472C4" w:themeColor="accent1"/>
          <w:highlight w:val="yellow"/>
        </w:rPr>
        <w:t>解析</w:t>
      </w:r>
      <w:r>
        <w:rPr>
          <w:rFonts w:ascii="KaiTi" w:eastAsia="KaiTi" w:hAnsi="KaiTi"/>
          <w:color w:val="4472C4" w:themeColor="accent1"/>
          <w:highlight w:val="yellow"/>
        </w:rPr>
        <w:t>5</w:t>
      </w:r>
      <w:r>
        <w:rPr>
          <w:rFonts w:ascii="KaiTi" w:eastAsia="KaiTi" w:hAnsi="KaiTi" w:hint="eastAsia"/>
          <w:color w:val="4472C4" w:themeColor="accent1"/>
          <w:highlight w:val="yellow"/>
        </w:rPr>
        <w:t>：</w:t>
      </w:r>
    </w:p>
    <w:p w14:paraId="7CD1EF54" w14:textId="77777777" w:rsidR="00E629F3" w:rsidRDefault="00573FF2">
      <w:pPr>
        <w:spacing w:line="360" w:lineRule="auto"/>
        <w:ind w:firstLineChars="200" w:firstLine="482"/>
        <w:rPr>
          <w:rFonts w:ascii="KaiTi" w:eastAsia="KaiTi" w:hAnsi="KaiTi"/>
        </w:rPr>
      </w:pPr>
      <w:r>
        <w:rPr>
          <w:rFonts w:ascii="KaiTi" w:eastAsia="KaiTi" w:hAnsi="KaiTi"/>
          <w:b/>
          <w:bCs/>
        </w:rPr>
        <w:t>打开</w:t>
      </w:r>
      <w:proofErr w:type="spellStart"/>
      <w:r>
        <w:rPr>
          <w:rFonts w:ascii="KaiTi" w:eastAsia="KaiTi" w:hAnsi="KaiTi"/>
          <w:b/>
          <w:bCs/>
        </w:rPr>
        <w:t>i</w:t>
      </w:r>
      <w:proofErr w:type="spellEnd"/>
      <w:r>
        <w:rPr>
          <w:rFonts w:ascii="KaiTi" w:eastAsia="KaiTi" w:hAnsi="KaiTi"/>
          <w:b/>
          <w:bCs/>
        </w:rPr>
        <w:t>问财</w:t>
      </w:r>
      <w:r>
        <w:rPr>
          <w:rFonts w:ascii="KaiTi" w:eastAsia="KaiTi" w:hAnsi="KaiTi"/>
        </w:rPr>
        <w:t>，输入搜索条件：</w:t>
      </w:r>
      <w:r>
        <w:rPr>
          <w:rFonts w:ascii="KaiTi" w:eastAsia="KaiTi" w:hAnsi="KaiTi" w:hint="eastAsia"/>
        </w:rPr>
        <w:t>洋河股份</w:t>
      </w:r>
      <w:r>
        <w:rPr>
          <w:rFonts w:ascii="KaiTi" w:eastAsia="KaiTi" w:hAnsi="KaiTi"/>
        </w:rPr>
        <w:t>，2016年到2020年，</w:t>
      </w:r>
      <w:r>
        <w:rPr>
          <w:rFonts w:ascii="KaiTi" w:eastAsia="KaiTi" w:hAnsi="KaiTi" w:hint="eastAsia"/>
        </w:rPr>
        <w:t>营业外收入，营业外支出</w:t>
      </w:r>
    </w:p>
    <w:p w14:paraId="1CD764B3" w14:textId="77777777" w:rsidR="00E629F3" w:rsidRDefault="00573FF2">
      <w:pPr>
        <w:spacing w:line="360" w:lineRule="auto"/>
        <w:ind w:rightChars="42" w:right="101"/>
        <w:rPr>
          <w:rFonts w:ascii="KaiTi" w:eastAsia="KaiTi" w:hAnsi="KaiTi"/>
          <w:b/>
          <w:bCs/>
          <w:color w:val="4472C4" w:themeColor="accent1"/>
        </w:rPr>
      </w:pPr>
      <w:r>
        <w:rPr>
          <w:noProof/>
        </w:rPr>
        <w:drawing>
          <wp:inline distT="0" distB="0" distL="0" distR="0" wp14:anchorId="4F604BBF" wp14:editId="3C46C0EB">
            <wp:extent cx="5422265" cy="333883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431811" cy="3345017"/>
                    </a:xfrm>
                    <a:prstGeom prst="rect">
                      <a:avLst/>
                    </a:prstGeom>
                  </pic:spPr>
                </pic:pic>
              </a:graphicData>
            </a:graphic>
          </wp:inline>
        </w:drawing>
      </w:r>
    </w:p>
    <w:p w14:paraId="0E3EF22F" w14:textId="77777777" w:rsidR="00E629F3" w:rsidRDefault="00573FF2">
      <w:pPr>
        <w:spacing w:line="360" w:lineRule="auto"/>
        <w:ind w:firstLine="480"/>
        <w:rPr>
          <w:rFonts w:ascii="KaiTi" w:eastAsia="KaiTi" w:hAnsi="KaiTi"/>
          <w:color w:val="4472C4" w:themeColor="accent1"/>
        </w:rPr>
      </w:pPr>
      <w:r>
        <w:rPr>
          <w:rFonts w:ascii="KaiTi" w:eastAsia="KaiTi" w:hAnsi="KaiTi" w:hint="eastAsia"/>
          <w:color w:val="4472C4" w:themeColor="accent1"/>
        </w:rPr>
        <w:t>【看归母净利润】——</w:t>
      </w:r>
      <w:r>
        <w:rPr>
          <w:rFonts w:ascii="KaiTi" w:eastAsia="KaiTi" w:hAnsi="KaiTi" w:hint="eastAsia"/>
          <w:color w:val="4472C4" w:themeColor="accent1"/>
          <w:highlight w:val="yellow"/>
        </w:rPr>
        <w:t>解析</w:t>
      </w:r>
      <w:r>
        <w:rPr>
          <w:rFonts w:ascii="KaiTi" w:eastAsia="KaiTi" w:hAnsi="KaiTi"/>
          <w:color w:val="4472C4" w:themeColor="accent1"/>
          <w:highlight w:val="yellow"/>
        </w:rPr>
        <w:t>6</w:t>
      </w:r>
      <w:r>
        <w:rPr>
          <w:rFonts w:ascii="KaiTi" w:eastAsia="KaiTi" w:hAnsi="KaiTi" w:hint="eastAsia"/>
          <w:color w:val="4472C4" w:themeColor="accent1"/>
          <w:highlight w:val="yellow"/>
        </w:rPr>
        <w:t>：</w:t>
      </w:r>
    </w:p>
    <w:p w14:paraId="1FDDAFAC" w14:textId="77777777" w:rsidR="00E629F3" w:rsidRDefault="00573FF2">
      <w:pPr>
        <w:spacing w:line="360" w:lineRule="auto"/>
        <w:ind w:firstLineChars="200" w:firstLine="482"/>
        <w:rPr>
          <w:rFonts w:ascii="KaiTi" w:eastAsia="KaiTi" w:hAnsi="KaiTi"/>
        </w:rPr>
      </w:pPr>
      <w:r>
        <w:rPr>
          <w:rFonts w:ascii="KaiTi" w:eastAsia="KaiTi" w:hAnsi="KaiTi"/>
          <w:b/>
          <w:bCs/>
        </w:rPr>
        <w:t>打开</w:t>
      </w:r>
      <w:proofErr w:type="spellStart"/>
      <w:r>
        <w:rPr>
          <w:rFonts w:ascii="KaiTi" w:eastAsia="KaiTi" w:hAnsi="KaiTi"/>
          <w:b/>
          <w:bCs/>
        </w:rPr>
        <w:t>i</w:t>
      </w:r>
      <w:proofErr w:type="spellEnd"/>
      <w:r>
        <w:rPr>
          <w:rFonts w:ascii="KaiTi" w:eastAsia="KaiTi" w:hAnsi="KaiTi"/>
          <w:b/>
          <w:bCs/>
        </w:rPr>
        <w:t>问财</w:t>
      </w:r>
      <w:r>
        <w:rPr>
          <w:rFonts w:ascii="KaiTi" w:eastAsia="KaiTi" w:hAnsi="KaiTi"/>
        </w:rPr>
        <w:t>，输入搜索条件：</w:t>
      </w:r>
      <w:r>
        <w:rPr>
          <w:rFonts w:ascii="KaiTi" w:eastAsia="KaiTi" w:hAnsi="KaiTi" w:hint="eastAsia"/>
        </w:rPr>
        <w:t>洋河股份</w:t>
      </w:r>
      <w:r>
        <w:rPr>
          <w:rFonts w:ascii="KaiTi" w:eastAsia="KaiTi" w:hAnsi="KaiTi"/>
        </w:rPr>
        <w:t>，2016年到2020年</w:t>
      </w:r>
      <w:proofErr w:type="gramStart"/>
      <w:r>
        <w:rPr>
          <w:rFonts w:ascii="KaiTi" w:eastAsia="KaiTi" w:hAnsi="KaiTi" w:hint="eastAsia"/>
        </w:rPr>
        <w:t>归母净利润</w:t>
      </w:r>
      <w:proofErr w:type="gramEnd"/>
    </w:p>
    <w:p w14:paraId="16A90E9D" w14:textId="77777777" w:rsidR="00E629F3" w:rsidRDefault="00573FF2">
      <w:pPr>
        <w:spacing w:line="360" w:lineRule="auto"/>
        <w:ind w:rightChars="42" w:right="101"/>
        <w:jc w:val="center"/>
        <w:rPr>
          <w:rFonts w:ascii="KaiTi" w:eastAsia="KaiTi" w:hAnsi="KaiTi"/>
          <w:b/>
          <w:bCs/>
          <w:color w:val="4472C4" w:themeColor="accent1"/>
        </w:rPr>
      </w:pPr>
      <w:r>
        <w:rPr>
          <w:noProof/>
        </w:rPr>
        <w:drawing>
          <wp:inline distT="0" distB="0" distL="0" distR="0" wp14:anchorId="0163CBBF" wp14:editId="6C8BFFBA">
            <wp:extent cx="4802505" cy="420560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4804833" cy="4207844"/>
                    </a:xfrm>
                    <a:prstGeom prst="rect">
                      <a:avLst/>
                    </a:prstGeom>
                  </pic:spPr>
                </pic:pic>
              </a:graphicData>
            </a:graphic>
          </wp:inline>
        </w:drawing>
      </w:r>
    </w:p>
    <w:p w14:paraId="6EA24831" w14:textId="77777777" w:rsidR="00E629F3" w:rsidRDefault="00E629F3">
      <w:pPr>
        <w:pStyle w:val="017"/>
      </w:pPr>
    </w:p>
    <w:p w14:paraId="62B8719D" w14:textId="77777777" w:rsidR="00E629F3" w:rsidRDefault="00573FF2">
      <w:pPr>
        <w:spacing w:line="360" w:lineRule="auto"/>
        <w:ind w:firstLine="480"/>
        <w:rPr>
          <w:rFonts w:ascii="KaiTi" w:eastAsia="KaiTi" w:hAnsi="KaiTi"/>
          <w:color w:val="4472C4" w:themeColor="accent1"/>
        </w:rPr>
      </w:pPr>
      <w:r>
        <w:rPr>
          <w:rFonts w:ascii="KaiTi" w:eastAsia="KaiTi" w:hAnsi="KaiTi" w:hint="eastAsia"/>
          <w:color w:val="4472C4" w:themeColor="accent1"/>
        </w:rPr>
        <w:t>【看归母净利润】——</w:t>
      </w:r>
      <w:r>
        <w:rPr>
          <w:rFonts w:ascii="KaiTi" w:eastAsia="KaiTi" w:hAnsi="KaiTi" w:hint="eastAsia"/>
          <w:color w:val="4472C4" w:themeColor="accent1"/>
          <w:highlight w:val="yellow"/>
        </w:rPr>
        <w:t>解析</w:t>
      </w:r>
      <w:r>
        <w:rPr>
          <w:rFonts w:ascii="KaiTi" w:eastAsia="KaiTi" w:hAnsi="KaiTi"/>
          <w:color w:val="4472C4" w:themeColor="accent1"/>
          <w:highlight w:val="yellow"/>
        </w:rPr>
        <w:t>7</w:t>
      </w:r>
      <w:r>
        <w:rPr>
          <w:rFonts w:ascii="KaiTi" w:eastAsia="KaiTi" w:hAnsi="KaiTi" w:hint="eastAsia"/>
          <w:color w:val="4472C4" w:themeColor="accent1"/>
          <w:highlight w:val="yellow"/>
        </w:rPr>
        <w:t>：</w:t>
      </w:r>
    </w:p>
    <w:p w14:paraId="58EB90F0" w14:textId="77777777" w:rsidR="00E629F3" w:rsidRDefault="00573FF2">
      <w:pPr>
        <w:spacing w:line="360" w:lineRule="auto"/>
        <w:ind w:firstLine="480"/>
        <w:rPr>
          <w:rFonts w:ascii="KaiTi" w:eastAsia="KaiTi" w:hAnsi="KaiTi"/>
        </w:rPr>
      </w:pPr>
      <w:bookmarkStart w:id="10" w:name="_Hlk71414380"/>
      <w:r>
        <w:rPr>
          <w:rFonts w:ascii="KaiTi" w:eastAsia="KaiTi" w:hAnsi="KaiTi" w:hint="eastAsia"/>
        </w:rPr>
        <w:t>在同花顺个股网（</w:t>
      </w:r>
      <w:hyperlink r:id="rId25" w:history="1">
        <w:r>
          <w:rPr>
            <w:rStyle w:val="af"/>
            <w:rFonts w:ascii="KaiTi" w:eastAsia="KaiTi" w:hAnsi="KaiTi"/>
          </w:rPr>
          <w:t>http://stockpage.10jqka.com.cn/</w:t>
        </w:r>
      </w:hyperlink>
      <w:r>
        <w:rPr>
          <w:rFonts w:ascii="KaiTi" w:eastAsia="KaiTi" w:hAnsi="KaiTi" w:hint="eastAsia"/>
        </w:rPr>
        <w:t>）查找洋河股份——行业分析——净利润</w:t>
      </w:r>
    </w:p>
    <w:p w14:paraId="60243F85" w14:textId="77777777" w:rsidR="00E629F3" w:rsidRDefault="00573FF2">
      <w:pPr>
        <w:pStyle w:val="017"/>
        <w:rPr>
          <w:color w:val="C45911" w:themeColor="accent2" w:themeShade="BF"/>
        </w:rPr>
      </w:pPr>
      <w:r>
        <w:rPr>
          <w:noProof/>
        </w:rPr>
        <w:drawing>
          <wp:inline distT="0" distB="0" distL="0" distR="0" wp14:anchorId="51DE7C41" wp14:editId="5F51AE64">
            <wp:extent cx="4006850" cy="24403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057019" cy="2470551"/>
                    </a:xfrm>
                    <a:prstGeom prst="rect">
                      <a:avLst/>
                    </a:prstGeom>
                  </pic:spPr>
                </pic:pic>
              </a:graphicData>
            </a:graphic>
          </wp:inline>
        </w:drawing>
      </w:r>
      <w:bookmarkEnd w:id="10"/>
    </w:p>
    <w:p w14:paraId="69A5C694" w14:textId="77777777" w:rsidR="00E629F3" w:rsidRDefault="00573FF2">
      <w:pPr>
        <w:widowControl w:val="0"/>
        <w:spacing w:line="240" w:lineRule="atLeast"/>
        <w:ind w:firstLineChars="200" w:firstLine="482"/>
        <w:jc w:val="both"/>
        <w:rPr>
          <w:rFonts w:ascii="KaiTi" w:eastAsia="KaiTi" w:hAnsi="KaiTi" w:cs="Times New Roman"/>
          <w:b/>
          <w:bCs/>
          <w:color w:val="FF0000"/>
          <w:kern w:val="2"/>
        </w:rPr>
      </w:pPr>
      <w:r>
        <w:rPr>
          <w:rFonts w:ascii="KaiTi" w:eastAsia="KaiTi" w:hAnsi="KaiTi" w:cs="Times New Roman" w:hint="eastAsia"/>
          <w:b/>
          <w:bCs/>
          <w:color w:val="FF0000"/>
          <w:kern w:val="2"/>
        </w:rPr>
        <w:t>重要声明：</w:t>
      </w:r>
    </w:p>
    <w:p w14:paraId="17BFFFDF" w14:textId="77777777" w:rsidR="00E629F3" w:rsidRDefault="00573FF2">
      <w:pPr>
        <w:ind w:firstLineChars="200" w:firstLine="482"/>
        <w:rPr>
          <w:rFonts w:ascii="KaiTi" w:eastAsia="KaiTi" w:hAnsi="KaiTi"/>
          <w:b/>
          <w:bCs/>
          <w:color w:val="FF0000"/>
        </w:rPr>
      </w:pPr>
      <w:r>
        <w:rPr>
          <w:rFonts w:ascii="KaiTi" w:eastAsia="KaiTi" w:hAnsi="KaiTi" w:hint="eastAsia"/>
          <w:b/>
          <w:bCs/>
          <w:color w:val="FF0000"/>
        </w:rPr>
        <w:t>以上关于企业分析的内容，仅作为教学案例，帮助大家掌握投资技能，不作为投资建议。</w:t>
      </w:r>
    </w:p>
    <w:sectPr w:rsidR="00E629F3">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454"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FB6A3" w14:textId="77777777" w:rsidR="00795995" w:rsidRDefault="00795995">
      <w:r>
        <w:separator/>
      </w:r>
    </w:p>
  </w:endnote>
  <w:endnote w:type="continuationSeparator" w:id="0">
    <w:p w14:paraId="201D916A" w14:textId="77777777" w:rsidR="00795995" w:rsidRDefault="00795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287" w:usb1="080E0000"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
    <w:altName w:val="汉仪楷体KW"/>
    <w:panose1 w:val="02010609060101010101"/>
    <w:charset w:val="86"/>
    <w:family w:val="modern"/>
    <w:pitch w:val="fixed"/>
    <w:sig w:usb0="800002BF" w:usb1="38CF7CFA" w:usb2="00000016" w:usb3="00000000" w:csb0="00040001" w:csb1="00000000"/>
  </w:font>
  <w:font w:name="微软雅黑">
    <w:altName w:val="汉仪旗黑KW 55S"/>
    <w:panose1 w:val="020B0503020204020204"/>
    <w:charset w:val="86"/>
    <w:family w:val="swiss"/>
    <w:pitch w:val="variable"/>
    <w:sig w:usb0="80000287" w:usb1="2ACF3C50" w:usb2="00000016" w:usb3="00000000" w:csb0="0004001F" w:csb1="00000000"/>
  </w:font>
  <w:font w:name="KaiTi">
    <w:altName w:val="KaiTi"/>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00000287" w:usb1="080E0000" w:usb2="00000010"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E657F" w14:textId="77777777" w:rsidR="00E629F3" w:rsidRDefault="00E629F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70B8" w14:textId="75209F15" w:rsidR="002E2F1E" w:rsidRDefault="002E2F1E">
    <w:pPr>
      <w:pStyle w:val="a7"/>
    </w:pPr>
    <w:r>
      <w:rPr>
        <w:noProof/>
      </w:rPr>
      <mc:AlternateContent>
        <mc:Choice Requires="wps">
          <w:drawing>
            <wp:anchor distT="0" distB="0" distL="114300" distR="114300" simplePos="0" relativeHeight="251660800" behindDoc="0" locked="0" layoutInCell="1" allowOverlap="1" wp14:anchorId="7F83D6FF" wp14:editId="2A6BDDA9">
              <wp:simplePos x="0" y="0"/>
              <wp:positionH relativeFrom="margin">
                <wp:posOffset>2345266</wp:posOffset>
              </wp:positionH>
              <wp:positionV relativeFrom="paragraph">
                <wp:posOffset>-635</wp:posOffset>
              </wp:positionV>
              <wp:extent cx="1151467" cy="1828800"/>
              <wp:effectExtent l="0" t="0" r="10795" b="0"/>
              <wp:wrapNone/>
              <wp:docPr id="6" name="文本框 6"/>
              <wp:cNvGraphicFramePr/>
              <a:graphic xmlns:a="http://schemas.openxmlformats.org/drawingml/2006/main">
                <a:graphicData uri="http://schemas.microsoft.com/office/word/2010/wordprocessingShape">
                  <wps:wsp>
                    <wps:cNvSpPr txBox="1"/>
                    <wps:spPr>
                      <a:xfrm>
                        <a:off x="0" y="0"/>
                        <a:ext cx="115146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38630" w14:textId="77777777" w:rsidR="002E2F1E" w:rsidRPr="00F25205" w:rsidRDefault="002E2F1E" w:rsidP="002E2F1E">
                          <w:pPr>
                            <w:snapToGrid w:val="0"/>
                            <w:rPr>
                              <w:rFonts w:ascii="KaiTi" w:eastAsia="KaiTi" w:hAnsi="KaiTi"/>
                              <w:sz w:val="18"/>
                            </w:rPr>
                          </w:pPr>
                          <w:r w:rsidRPr="00F25205">
                            <w:rPr>
                              <w:rFonts w:ascii="KaiTi" w:eastAsia="KaiTi" w:hAnsi="KaiTi"/>
                              <w:sz w:val="18"/>
                            </w:rPr>
                            <w:t xml:space="preserve">第 </w:t>
                          </w:r>
                          <w:r w:rsidRPr="00F25205">
                            <w:rPr>
                              <w:rFonts w:ascii="KaiTi" w:eastAsia="KaiTi" w:hAnsi="KaiTi"/>
                              <w:sz w:val="18"/>
                            </w:rPr>
                            <w:fldChar w:fldCharType="begin"/>
                          </w:r>
                          <w:r w:rsidRPr="00F25205">
                            <w:rPr>
                              <w:rFonts w:ascii="KaiTi" w:eastAsia="KaiTi" w:hAnsi="KaiTi"/>
                              <w:sz w:val="18"/>
                            </w:rPr>
                            <w:instrText xml:space="preserve"> PAGE  \* MERGEFORMAT </w:instrText>
                          </w:r>
                          <w:r w:rsidRPr="00F25205">
                            <w:rPr>
                              <w:rFonts w:ascii="KaiTi" w:eastAsia="KaiTi" w:hAnsi="KaiTi"/>
                              <w:sz w:val="18"/>
                            </w:rPr>
                            <w:fldChar w:fldCharType="separate"/>
                          </w:r>
                          <w:r w:rsidRPr="00F25205">
                            <w:rPr>
                              <w:rFonts w:ascii="KaiTi" w:eastAsia="KaiTi" w:hAnsi="KaiTi"/>
                              <w:sz w:val="18"/>
                            </w:rPr>
                            <w:t>1</w:t>
                          </w:r>
                          <w:r w:rsidRPr="00F25205">
                            <w:rPr>
                              <w:rFonts w:ascii="KaiTi" w:eastAsia="KaiTi" w:hAnsi="KaiTi"/>
                              <w:sz w:val="18"/>
                            </w:rPr>
                            <w:fldChar w:fldCharType="end"/>
                          </w:r>
                          <w:r w:rsidRPr="00F25205">
                            <w:rPr>
                              <w:rFonts w:ascii="KaiTi" w:eastAsia="KaiTi" w:hAnsi="KaiTi"/>
                              <w:sz w:val="18"/>
                            </w:rPr>
                            <w:t xml:space="preserve"> 页 共 </w:t>
                          </w:r>
                          <w:r w:rsidRPr="00F25205">
                            <w:rPr>
                              <w:rFonts w:ascii="KaiTi" w:eastAsia="KaiTi" w:hAnsi="KaiTi"/>
                              <w:sz w:val="18"/>
                            </w:rPr>
                            <w:fldChar w:fldCharType="begin"/>
                          </w:r>
                          <w:r w:rsidRPr="00F25205">
                            <w:rPr>
                              <w:rFonts w:ascii="KaiTi" w:eastAsia="KaiTi" w:hAnsi="KaiTi"/>
                              <w:sz w:val="18"/>
                            </w:rPr>
                            <w:instrText xml:space="preserve"> NUMPAGES  \* MERGEFORMAT </w:instrText>
                          </w:r>
                          <w:r w:rsidRPr="00F25205">
                            <w:rPr>
                              <w:rFonts w:ascii="KaiTi" w:eastAsia="KaiTi" w:hAnsi="KaiTi"/>
                              <w:sz w:val="18"/>
                            </w:rPr>
                            <w:fldChar w:fldCharType="separate"/>
                          </w:r>
                          <w:r w:rsidRPr="00F25205">
                            <w:rPr>
                              <w:rFonts w:ascii="KaiTi" w:eastAsia="KaiTi" w:hAnsi="KaiTi"/>
                              <w:sz w:val="18"/>
                            </w:rPr>
                            <w:t>2</w:t>
                          </w:r>
                          <w:r w:rsidRPr="00F25205">
                            <w:rPr>
                              <w:rFonts w:ascii="KaiTi" w:eastAsia="KaiTi" w:hAnsi="KaiTi"/>
                              <w:sz w:val="18"/>
                            </w:rPr>
                            <w:fldChar w:fldCharType="end"/>
                          </w:r>
                          <w:r w:rsidRPr="00F25205">
                            <w:rPr>
                              <w:rFonts w:ascii="KaiTi" w:eastAsia="KaiTi" w:hAnsi="KaiTi"/>
                              <w:sz w:val="18"/>
                            </w:rPr>
                            <w:t xml:space="preserve"> 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F83D6FF" id="_x0000_t202" coordsize="21600,21600" o:spt="202" path="m,l,21600r21600,l21600,xe">
              <v:stroke joinstyle="miter"/>
              <v:path gradientshapeok="t" o:connecttype="rect"/>
            </v:shapetype>
            <v:shape id="文本框 6" o:spid="_x0000_s1026" type="#_x0000_t202" style="position:absolute;margin-left:184.65pt;margin-top:-.05pt;width:90.65pt;height:2in;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TmaQIAAAwFAAAOAAAAZHJzL2Uyb0RvYy54bWysVM2O0zAQviPxDpbvNM3ClqpquipdFSFV&#10;7IqCOLuO3UTYHmO7TcoDsG/AiQt3nqvPwdhpumjhsoiLM/H8ft/MeHrVakX2wvkaTEHzwZASYTiU&#10;tdkW9MP75bMxJT4wUzIFRhT0IDy9mj19Mm3sRFxABaoUjmAQ4yeNLWgVgp1kmeeV0MwPwAqDSglO&#10;s4C/bpuVjjUYXavsYjgcZQ240jrgwnu8ve6UdJbiSyl4uJHSi0BUQbG2kE6Xzk08s9mUTbaO2arm&#10;pzLYP1ShWW0w6TnUNQuM7Fz9RyhdcwceZBhw0BlIWXORMCCafPgAzbpiViQsSI63Z5r8/wvL3+5v&#10;HanLgo4oMUxji47f7o7ffx5/fCWjSE9j/QSt1hbtQvsKWmxzf+/xMqJupdPxi3gI6pHow5lc0QbC&#10;o1N+mb8YvaSEoy4fX4zHw0R/du9unQ+vBWgShYI67F4ile1XPmApaNqbxGwGlrVSqYPKkAYhPL8c&#10;JoezBj2UQccIois2SeGgRIygzDshEX2qOV6kuRML5cie4cQwzoUJCW6KhNbRSmLaxzie7KOrSDP5&#10;GOezR8oMJpyddW3AJbwPyi4/9SXLzr5noMMdKQjtpj01dwPlAXvroFsOb/myRv5XzIdb5nAbsJ24&#10;4eEGD6kAeYaTREkF7svf7qM9DilqKWlwuwrqP++YE5SoNwbHN65iL7he2PSC2ekFIP05vh2WJxEd&#10;XFC9KB3oj7j485gFVcxwzFXQ0IuL0O04PhxczOfJCBfOsrAya8tj6NRuO98FnKI0XJGWjosTXbhy&#10;aeZOz0Pc6d//k9X9Izb7BQAA//8DAFBLAwQUAAYACAAAACEAQbfxVeAAAAAJAQAADwAAAGRycy9k&#10;b3ducmV2LnhtbEyPwU7DMBBE70j8g7VI3Fq7rRraEKdCCHqAEylCHLfJJg7E6yh208DXY05wHM3s&#10;zNtsN9lOjDT41rGGxVyBIC5d1XKj4fXwONuA8AG5ws4xafgiD7v88iLDtHJnfqGxCI2IJexT1GBC&#10;6FMpfWnIop+7njh6tRsshiiHRlYDnmO57eRSqURabDkuGOzp3lD5WZxsxHh7Vnb/XZt3+4S1L8xh&#10;3D98aH19Nd3dggg0hb8w/OLHG8gj09GduPKi07BKtqsY1TBbgIj+eq0SEEcNy83NFmSeyf8f5D8A&#10;AAD//wMAUEsBAi0AFAAGAAgAAAAhALaDOJL+AAAA4QEAABMAAAAAAAAAAAAAAAAAAAAAAFtDb250&#10;ZW50X1R5cGVzXS54bWxQSwECLQAUAAYACAAAACEAOP0h/9YAAACUAQAACwAAAAAAAAAAAAAAAAAv&#10;AQAAX3JlbHMvLnJlbHNQSwECLQAUAAYACAAAACEATnFk5mkCAAAMBQAADgAAAAAAAAAAAAAAAAAu&#10;AgAAZHJzL2Uyb0RvYy54bWxQSwECLQAUAAYACAAAACEAQbfxVeAAAAAJAQAADwAAAAAAAAAAAAAA&#10;AADDBAAAZHJzL2Rvd25yZXYueG1sUEsFBgAAAAAEAAQA8wAAANAFAAAAAA==&#10;" filled="f" stroked="f" strokeweight=".5pt">
              <v:textbox style="mso-fit-shape-to-text:t" inset="0,0,0,0">
                <w:txbxContent>
                  <w:p w14:paraId="56F38630" w14:textId="77777777" w:rsidR="002E2F1E" w:rsidRPr="00F25205" w:rsidRDefault="002E2F1E" w:rsidP="002E2F1E">
                    <w:pPr>
                      <w:snapToGrid w:val="0"/>
                      <w:rPr>
                        <w:rFonts w:ascii="KaiTi" w:eastAsia="KaiTi" w:hAnsi="KaiTi"/>
                        <w:sz w:val="18"/>
                      </w:rPr>
                    </w:pPr>
                    <w:r w:rsidRPr="00F25205">
                      <w:rPr>
                        <w:rFonts w:ascii="KaiTi" w:eastAsia="KaiTi" w:hAnsi="KaiTi"/>
                        <w:sz w:val="18"/>
                      </w:rPr>
                      <w:t xml:space="preserve">第 </w:t>
                    </w:r>
                    <w:r w:rsidRPr="00F25205">
                      <w:rPr>
                        <w:rFonts w:ascii="KaiTi" w:eastAsia="KaiTi" w:hAnsi="KaiTi"/>
                        <w:sz w:val="18"/>
                      </w:rPr>
                      <w:fldChar w:fldCharType="begin"/>
                    </w:r>
                    <w:r w:rsidRPr="00F25205">
                      <w:rPr>
                        <w:rFonts w:ascii="KaiTi" w:eastAsia="KaiTi" w:hAnsi="KaiTi"/>
                        <w:sz w:val="18"/>
                      </w:rPr>
                      <w:instrText xml:space="preserve"> PAGE  \* MERGEFORMAT </w:instrText>
                    </w:r>
                    <w:r w:rsidRPr="00F25205">
                      <w:rPr>
                        <w:rFonts w:ascii="KaiTi" w:eastAsia="KaiTi" w:hAnsi="KaiTi"/>
                        <w:sz w:val="18"/>
                      </w:rPr>
                      <w:fldChar w:fldCharType="separate"/>
                    </w:r>
                    <w:r w:rsidRPr="00F25205">
                      <w:rPr>
                        <w:rFonts w:ascii="KaiTi" w:eastAsia="KaiTi" w:hAnsi="KaiTi"/>
                        <w:sz w:val="18"/>
                      </w:rPr>
                      <w:t>1</w:t>
                    </w:r>
                    <w:r w:rsidRPr="00F25205">
                      <w:rPr>
                        <w:rFonts w:ascii="KaiTi" w:eastAsia="KaiTi" w:hAnsi="KaiTi"/>
                        <w:sz w:val="18"/>
                      </w:rPr>
                      <w:fldChar w:fldCharType="end"/>
                    </w:r>
                    <w:r w:rsidRPr="00F25205">
                      <w:rPr>
                        <w:rFonts w:ascii="KaiTi" w:eastAsia="KaiTi" w:hAnsi="KaiTi"/>
                        <w:sz w:val="18"/>
                      </w:rPr>
                      <w:t xml:space="preserve"> 页 共 </w:t>
                    </w:r>
                    <w:r w:rsidRPr="00F25205">
                      <w:rPr>
                        <w:rFonts w:ascii="KaiTi" w:eastAsia="KaiTi" w:hAnsi="KaiTi"/>
                        <w:sz w:val="18"/>
                      </w:rPr>
                      <w:fldChar w:fldCharType="begin"/>
                    </w:r>
                    <w:r w:rsidRPr="00F25205">
                      <w:rPr>
                        <w:rFonts w:ascii="KaiTi" w:eastAsia="KaiTi" w:hAnsi="KaiTi"/>
                        <w:sz w:val="18"/>
                      </w:rPr>
                      <w:instrText xml:space="preserve"> NUMPAGES  \* MERGEFORMAT </w:instrText>
                    </w:r>
                    <w:r w:rsidRPr="00F25205">
                      <w:rPr>
                        <w:rFonts w:ascii="KaiTi" w:eastAsia="KaiTi" w:hAnsi="KaiTi"/>
                        <w:sz w:val="18"/>
                      </w:rPr>
                      <w:fldChar w:fldCharType="separate"/>
                    </w:r>
                    <w:r w:rsidRPr="00F25205">
                      <w:rPr>
                        <w:rFonts w:ascii="KaiTi" w:eastAsia="KaiTi" w:hAnsi="KaiTi"/>
                        <w:sz w:val="18"/>
                      </w:rPr>
                      <w:t>2</w:t>
                    </w:r>
                    <w:r w:rsidRPr="00F25205">
                      <w:rPr>
                        <w:rFonts w:ascii="KaiTi" w:eastAsia="KaiTi" w:hAnsi="KaiTi"/>
                        <w:sz w:val="18"/>
                      </w:rPr>
                      <w:fldChar w:fldCharType="end"/>
                    </w:r>
                    <w:r w:rsidRPr="00F25205">
                      <w:rPr>
                        <w:rFonts w:ascii="KaiTi" w:eastAsia="KaiTi" w:hAnsi="KaiTi"/>
                        <w:sz w:val="18"/>
                      </w:rPr>
                      <w:t xml:space="preserve"> 页</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1B5B4" w14:textId="77777777" w:rsidR="00E629F3" w:rsidRDefault="00E629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8E10" w14:textId="77777777" w:rsidR="00795995" w:rsidRDefault="00795995">
      <w:r>
        <w:separator/>
      </w:r>
    </w:p>
  </w:footnote>
  <w:footnote w:type="continuationSeparator" w:id="0">
    <w:p w14:paraId="28075CB5" w14:textId="77777777" w:rsidR="00795995" w:rsidRDefault="00795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EA1CE" w14:textId="77777777" w:rsidR="00E629F3" w:rsidRDefault="00E629F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D1953" w14:textId="6DF3185C" w:rsidR="00E629F3" w:rsidRDefault="00020BAB" w:rsidP="00292794">
    <w:pPr>
      <w:pStyle w:val="a9"/>
      <w:pBdr>
        <w:bottom w:val="single" w:sz="4" w:space="31" w:color="0070C0"/>
      </w:pBdr>
      <w:tabs>
        <w:tab w:val="clear" w:pos="4153"/>
        <w:tab w:val="clear" w:pos="8306"/>
        <w:tab w:val="left" w:pos="1657"/>
      </w:tabs>
      <w:ind w:firstLine="360"/>
      <w:jc w:val="both"/>
    </w:pPr>
    <w:r>
      <w:rPr>
        <w:noProof/>
      </w:rPr>
      <w:drawing>
        <wp:anchor distT="0" distB="0" distL="114300" distR="114300" simplePos="0" relativeHeight="251662848" behindDoc="0" locked="0" layoutInCell="1" allowOverlap="1" wp14:anchorId="21FA6F92" wp14:editId="257875A1">
          <wp:simplePos x="0" y="0"/>
          <wp:positionH relativeFrom="column">
            <wp:posOffset>57150</wp:posOffset>
          </wp:positionH>
          <wp:positionV relativeFrom="paragraph">
            <wp:posOffset>348615</wp:posOffset>
          </wp:positionV>
          <wp:extent cx="508000" cy="190016"/>
          <wp:effectExtent l="0" t="0" r="6350" b="63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190016"/>
                  </a:xfrm>
                  <a:prstGeom prst="rect">
                    <a:avLst/>
                  </a:prstGeom>
                  <a:noFill/>
                  <a:ln>
                    <a:noFill/>
                  </a:ln>
                </pic:spPr>
              </pic:pic>
            </a:graphicData>
          </a:graphic>
        </wp:anchor>
      </w:drawing>
    </w:r>
    <w:r w:rsidR="00292794">
      <w:tab/>
    </w:r>
    <w:r w:rsidR="00292794">
      <w:tab/>
    </w:r>
    <w:r w:rsidR="00573FF2">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6B2C5" w14:textId="77777777" w:rsidR="00E629F3" w:rsidRDefault="00E629F3">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D1F"/>
    <w:rsid w:val="00001297"/>
    <w:rsid w:val="000018F1"/>
    <w:rsid w:val="00001B7D"/>
    <w:rsid w:val="0000227C"/>
    <w:rsid w:val="000076C7"/>
    <w:rsid w:val="00007B23"/>
    <w:rsid w:val="00007FB2"/>
    <w:rsid w:val="00011458"/>
    <w:rsid w:val="000156CE"/>
    <w:rsid w:val="00020BAB"/>
    <w:rsid w:val="00036D1F"/>
    <w:rsid w:val="000411E2"/>
    <w:rsid w:val="00043BCD"/>
    <w:rsid w:val="00046A14"/>
    <w:rsid w:val="0005121B"/>
    <w:rsid w:val="00054029"/>
    <w:rsid w:val="00055D16"/>
    <w:rsid w:val="000560CE"/>
    <w:rsid w:val="000607EA"/>
    <w:rsid w:val="00063A7D"/>
    <w:rsid w:val="00065851"/>
    <w:rsid w:val="00065868"/>
    <w:rsid w:val="000673A3"/>
    <w:rsid w:val="000704E3"/>
    <w:rsid w:val="000707D7"/>
    <w:rsid w:val="000722EE"/>
    <w:rsid w:val="00075C60"/>
    <w:rsid w:val="00076EE6"/>
    <w:rsid w:val="00082674"/>
    <w:rsid w:val="000835FD"/>
    <w:rsid w:val="00083AB5"/>
    <w:rsid w:val="00084DAC"/>
    <w:rsid w:val="0008654F"/>
    <w:rsid w:val="00087597"/>
    <w:rsid w:val="00090D22"/>
    <w:rsid w:val="000915B6"/>
    <w:rsid w:val="00091A8C"/>
    <w:rsid w:val="00093412"/>
    <w:rsid w:val="000944DE"/>
    <w:rsid w:val="00095055"/>
    <w:rsid w:val="00096237"/>
    <w:rsid w:val="00096C6F"/>
    <w:rsid w:val="000A0B21"/>
    <w:rsid w:val="000A5174"/>
    <w:rsid w:val="000A7B89"/>
    <w:rsid w:val="000B0276"/>
    <w:rsid w:val="000B5842"/>
    <w:rsid w:val="000B724F"/>
    <w:rsid w:val="000C3BFF"/>
    <w:rsid w:val="000C497D"/>
    <w:rsid w:val="000D3C32"/>
    <w:rsid w:val="000D5090"/>
    <w:rsid w:val="000D69FF"/>
    <w:rsid w:val="000E06A6"/>
    <w:rsid w:val="000E1D71"/>
    <w:rsid w:val="000E3BFC"/>
    <w:rsid w:val="000E5449"/>
    <w:rsid w:val="000E5CD1"/>
    <w:rsid w:val="000E7E57"/>
    <w:rsid w:val="000F3C33"/>
    <w:rsid w:val="000F4ECB"/>
    <w:rsid w:val="000F66D4"/>
    <w:rsid w:val="00101324"/>
    <w:rsid w:val="0010342A"/>
    <w:rsid w:val="00104484"/>
    <w:rsid w:val="00105C4B"/>
    <w:rsid w:val="00107512"/>
    <w:rsid w:val="00114446"/>
    <w:rsid w:val="0011685D"/>
    <w:rsid w:val="001173FD"/>
    <w:rsid w:val="00117CD3"/>
    <w:rsid w:val="00120774"/>
    <w:rsid w:val="001218B3"/>
    <w:rsid w:val="001245D0"/>
    <w:rsid w:val="00126537"/>
    <w:rsid w:val="00127156"/>
    <w:rsid w:val="00127803"/>
    <w:rsid w:val="00134933"/>
    <w:rsid w:val="00135AA8"/>
    <w:rsid w:val="001372CB"/>
    <w:rsid w:val="001374CE"/>
    <w:rsid w:val="00143EFC"/>
    <w:rsid w:val="00144221"/>
    <w:rsid w:val="0015059D"/>
    <w:rsid w:val="00151290"/>
    <w:rsid w:val="00152754"/>
    <w:rsid w:val="00154C9A"/>
    <w:rsid w:val="00155A90"/>
    <w:rsid w:val="0016001B"/>
    <w:rsid w:val="00165982"/>
    <w:rsid w:val="00170322"/>
    <w:rsid w:val="0017368C"/>
    <w:rsid w:val="00175046"/>
    <w:rsid w:val="00175DB8"/>
    <w:rsid w:val="00177AFB"/>
    <w:rsid w:val="0018144D"/>
    <w:rsid w:val="00183321"/>
    <w:rsid w:val="00190EC9"/>
    <w:rsid w:val="001942C9"/>
    <w:rsid w:val="0019477F"/>
    <w:rsid w:val="00196EF4"/>
    <w:rsid w:val="001A4EEB"/>
    <w:rsid w:val="001B09A2"/>
    <w:rsid w:val="001B1FC5"/>
    <w:rsid w:val="001B38A8"/>
    <w:rsid w:val="001B4A49"/>
    <w:rsid w:val="001B5154"/>
    <w:rsid w:val="001C195C"/>
    <w:rsid w:val="001C573C"/>
    <w:rsid w:val="001C58F9"/>
    <w:rsid w:val="001D184A"/>
    <w:rsid w:val="001D18F5"/>
    <w:rsid w:val="001D204C"/>
    <w:rsid w:val="001E0A79"/>
    <w:rsid w:val="001E3DA1"/>
    <w:rsid w:val="001E45D4"/>
    <w:rsid w:val="00204A58"/>
    <w:rsid w:val="00204B6C"/>
    <w:rsid w:val="002063A1"/>
    <w:rsid w:val="00207AE0"/>
    <w:rsid w:val="00213476"/>
    <w:rsid w:val="00213CC7"/>
    <w:rsid w:val="00214C13"/>
    <w:rsid w:val="00215CB2"/>
    <w:rsid w:val="00217853"/>
    <w:rsid w:val="00222095"/>
    <w:rsid w:val="00224AC5"/>
    <w:rsid w:val="00227048"/>
    <w:rsid w:val="00235D36"/>
    <w:rsid w:val="00237265"/>
    <w:rsid w:val="00246E62"/>
    <w:rsid w:val="002513AA"/>
    <w:rsid w:val="00253933"/>
    <w:rsid w:val="002554EE"/>
    <w:rsid w:val="00256087"/>
    <w:rsid w:val="00261860"/>
    <w:rsid w:val="00267EA3"/>
    <w:rsid w:val="00274475"/>
    <w:rsid w:val="00281E0D"/>
    <w:rsid w:val="00284A4B"/>
    <w:rsid w:val="002904A6"/>
    <w:rsid w:val="002920FE"/>
    <w:rsid w:val="00292794"/>
    <w:rsid w:val="002A5238"/>
    <w:rsid w:val="002A551F"/>
    <w:rsid w:val="002B45B1"/>
    <w:rsid w:val="002B4C5E"/>
    <w:rsid w:val="002B58F9"/>
    <w:rsid w:val="002B5CE8"/>
    <w:rsid w:val="002B7560"/>
    <w:rsid w:val="002C0159"/>
    <w:rsid w:val="002C2C92"/>
    <w:rsid w:val="002C4206"/>
    <w:rsid w:val="002D0010"/>
    <w:rsid w:val="002D02F7"/>
    <w:rsid w:val="002D0731"/>
    <w:rsid w:val="002D11E7"/>
    <w:rsid w:val="002E0066"/>
    <w:rsid w:val="002E2F1E"/>
    <w:rsid w:val="002E509B"/>
    <w:rsid w:val="002E5DF1"/>
    <w:rsid w:val="002E643E"/>
    <w:rsid w:val="002E706C"/>
    <w:rsid w:val="002E7B73"/>
    <w:rsid w:val="002F1643"/>
    <w:rsid w:val="002F1A57"/>
    <w:rsid w:val="002F479C"/>
    <w:rsid w:val="002F58DB"/>
    <w:rsid w:val="002F72D1"/>
    <w:rsid w:val="00303E0E"/>
    <w:rsid w:val="00305AD5"/>
    <w:rsid w:val="00310420"/>
    <w:rsid w:val="003104A3"/>
    <w:rsid w:val="00311D61"/>
    <w:rsid w:val="00312958"/>
    <w:rsid w:val="00314229"/>
    <w:rsid w:val="00315236"/>
    <w:rsid w:val="00316855"/>
    <w:rsid w:val="00320710"/>
    <w:rsid w:val="00321BDB"/>
    <w:rsid w:val="00322885"/>
    <w:rsid w:val="00325FD5"/>
    <w:rsid w:val="00334331"/>
    <w:rsid w:val="003403B5"/>
    <w:rsid w:val="00340AD3"/>
    <w:rsid w:val="00341CEA"/>
    <w:rsid w:val="003425FF"/>
    <w:rsid w:val="00342F99"/>
    <w:rsid w:val="00352D38"/>
    <w:rsid w:val="00352F98"/>
    <w:rsid w:val="003570F5"/>
    <w:rsid w:val="003625AD"/>
    <w:rsid w:val="003635F5"/>
    <w:rsid w:val="0036576E"/>
    <w:rsid w:val="003671E9"/>
    <w:rsid w:val="003732B8"/>
    <w:rsid w:val="00380497"/>
    <w:rsid w:val="00382F51"/>
    <w:rsid w:val="00383F93"/>
    <w:rsid w:val="00387583"/>
    <w:rsid w:val="00391F7F"/>
    <w:rsid w:val="00393256"/>
    <w:rsid w:val="00393307"/>
    <w:rsid w:val="00393E28"/>
    <w:rsid w:val="003945C5"/>
    <w:rsid w:val="00397142"/>
    <w:rsid w:val="003B3A2F"/>
    <w:rsid w:val="003B680A"/>
    <w:rsid w:val="003B778B"/>
    <w:rsid w:val="003D2D9D"/>
    <w:rsid w:val="003D3595"/>
    <w:rsid w:val="003E5500"/>
    <w:rsid w:val="003E5A40"/>
    <w:rsid w:val="003F1F57"/>
    <w:rsid w:val="00401F7E"/>
    <w:rsid w:val="004062D9"/>
    <w:rsid w:val="004120A5"/>
    <w:rsid w:val="004120A8"/>
    <w:rsid w:val="00412BD3"/>
    <w:rsid w:val="0041636E"/>
    <w:rsid w:val="004165AD"/>
    <w:rsid w:val="004217F4"/>
    <w:rsid w:val="004226D0"/>
    <w:rsid w:val="00424BAD"/>
    <w:rsid w:val="00430EFD"/>
    <w:rsid w:val="00431589"/>
    <w:rsid w:val="00432331"/>
    <w:rsid w:val="00432335"/>
    <w:rsid w:val="00432834"/>
    <w:rsid w:val="00432B36"/>
    <w:rsid w:val="004337CF"/>
    <w:rsid w:val="0043393F"/>
    <w:rsid w:val="004368B9"/>
    <w:rsid w:val="004372EF"/>
    <w:rsid w:val="0044622E"/>
    <w:rsid w:val="0045477C"/>
    <w:rsid w:val="00457F2B"/>
    <w:rsid w:val="00460CF4"/>
    <w:rsid w:val="00461170"/>
    <w:rsid w:val="00461CD6"/>
    <w:rsid w:val="00464619"/>
    <w:rsid w:val="00467C79"/>
    <w:rsid w:val="00473CEC"/>
    <w:rsid w:val="00476F3A"/>
    <w:rsid w:val="00481F03"/>
    <w:rsid w:val="00483B62"/>
    <w:rsid w:val="00484231"/>
    <w:rsid w:val="00484A8A"/>
    <w:rsid w:val="00486478"/>
    <w:rsid w:val="00493E3E"/>
    <w:rsid w:val="00494967"/>
    <w:rsid w:val="00494A14"/>
    <w:rsid w:val="0049551F"/>
    <w:rsid w:val="004A6C86"/>
    <w:rsid w:val="004B08F8"/>
    <w:rsid w:val="004B7885"/>
    <w:rsid w:val="004C0FD3"/>
    <w:rsid w:val="004C134A"/>
    <w:rsid w:val="004C6A2A"/>
    <w:rsid w:val="004D0640"/>
    <w:rsid w:val="004D299B"/>
    <w:rsid w:val="004D52C3"/>
    <w:rsid w:val="004D76D1"/>
    <w:rsid w:val="004D7A02"/>
    <w:rsid w:val="004E194E"/>
    <w:rsid w:val="004E2A0B"/>
    <w:rsid w:val="004E4F97"/>
    <w:rsid w:val="004E5F9C"/>
    <w:rsid w:val="004F0A15"/>
    <w:rsid w:val="004F2804"/>
    <w:rsid w:val="004F3F44"/>
    <w:rsid w:val="0050119B"/>
    <w:rsid w:val="00501FF2"/>
    <w:rsid w:val="005038D5"/>
    <w:rsid w:val="005070C7"/>
    <w:rsid w:val="00515C28"/>
    <w:rsid w:val="00516DF3"/>
    <w:rsid w:val="005178AD"/>
    <w:rsid w:val="005228FC"/>
    <w:rsid w:val="0052793D"/>
    <w:rsid w:val="00533266"/>
    <w:rsid w:val="00533B89"/>
    <w:rsid w:val="00541C28"/>
    <w:rsid w:val="00541D9F"/>
    <w:rsid w:val="00550A40"/>
    <w:rsid w:val="00552ED3"/>
    <w:rsid w:val="005541E6"/>
    <w:rsid w:val="00555ED8"/>
    <w:rsid w:val="00561E6A"/>
    <w:rsid w:val="005633FC"/>
    <w:rsid w:val="00563AF1"/>
    <w:rsid w:val="00564BFC"/>
    <w:rsid w:val="00572C1C"/>
    <w:rsid w:val="00573FF2"/>
    <w:rsid w:val="0057498D"/>
    <w:rsid w:val="00574C88"/>
    <w:rsid w:val="005807A9"/>
    <w:rsid w:val="00582D4B"/>
    <w:rsid w:val="00583D53"/>
    <w:rsid w:val="0058501B"/>
    <w:rsid w:val="00590EF1"/>
    <w:rsid w:val="00593DC4"/>
    <w:rsid w:val="0059419D"/>
    <w:rsid w:val="005967B1"/>
    <w:rsid w:val="00596FDA"/>
    <w:rsid w:val="005A41A0"/>
    <w:rsid w:val="005A682A"/>
    <w:rsid w:val="005B0D0E"/>
    <w:rsid w:val="005B18B4"/>
    <w:rsid w:val="005B1D5A"/>
    <w:rsid w:val="005B2502"/>
    <w:rsid w:val="005B26F4"/>
    <w:rsid w:val="005B28C5"/>
    <w:rsid w:val="005C053C"/>
    <w:rsid w:val="005C0656"/>
    <w:rsid w:val="005C3BDB"/>
    <w:rsid w:val="005C5CD9"/>
    <w:rsid w:val="005C64A7"/>
    <w:rsid w:val="005D14AA"/>
    <w:rsid w:val="005D351C"/>
    <w:rsid w:val="005E2D17"/>
    <w:rsid w:val="005E3713"/>
    <w:rsid w:val="005E7DEB"/>
    <w:rsid w:val="005F5F0C"/>
    <w:rsid w:val="006021A1"/>
    <w:rsid w:val="00602C0E"/>
    <w:rsid w:val="006044F0"/>
    <w:rsid w:val="006049B9"/>
    <w:rsid w:val="0060602E"/>
    <w:rsid w:val="00610BFE"/>
    <w:rsid w:val="006125B5"/>
    <w:rsid w:val="00612884"/>
    <w:rsid w:val="00612DCF"/>
    <w:rsid w:val="00614916"/>
    <w:rsid w:val="00614B2A"/>
    <w:rsid w:val="00614CFC"/>
    <w:rsid w:val="00616495"/>
    <w:rsid w:val="00617FB8"/>
    <w:rsid w:val="00620DF5"/>
    <w:rsid w:val="00620F34"/>
    <w:rsid w:val="00625E6E"/>
    <w:rsid w:val="006266B3"/>
    <w:rsid w:val="00627AD9"/>
    <w:rsid w:val="006310A0"/>
    <w:rsid w:val="006311EB"/>
    <w:rsid w:val="00631A49"/>
    <w:rsid w:val="0063465F"/>
    <w:rsid w:val="00641951"/>
    <w:rsid w:val="00651A33"/>
    <w:rsid w:val="00652952"/>
    <w:rsid w:val="00652BCE"/>
    <w:rsid w:val="00654A8F"/>
    <w:rsid w:val="00657553"/>
    <w:rsid w:val="0066015F"/>
    <w:rsid w:val="0066060E"/>
    <w:rsid w:val="0066297A"/>
    <w:rsid w:val="00663467"/>
    <w:rsid w:val="006643D5"/>
    <w:rsid w:val="00664DCE"/>
    <w:rsid w:val="0067276F"/>
    <w:rsid w:val="00673A0B"/>
    <w:rsid w:val="0067445F"/>
    <w:rsid w:val="00682B16"/>
    <w:rsid w:val="006831C2"/>
    <w:rsid w:val="00685221"/>
    <w:rsid w:val="006872E5"/>
    <w:rsid w:val="00691956"/>
    <w:rsid w:val="0069208F"/>
    <w:rsid w:val="006922CE"/>
    <w:rsid w:val="00695ACA"/>
    <w:rsid w:val="00696947"/>
    <w:rsid w:val="00696BFF"/>
    <w:rsid w:val="006A16E2"/>
    <w:rsid w:val="006A3EEB"/>
    <w:rsid w:val="006A74FC"/>
    <w:rsid w:val="006B21AC"/>
    <w:rsid w:val="006C0DFD"/>
    <w:rsid w:val="006C31CA"/>
    <w:rsid w:val="006C34A0"/>
    <w:rsid w:val="006C37E1"/>
    <w:rsid w:val="006D2ECB"/>
    <w:rsid w:val="006D604E"/>
    <w:rsid w:val="006D628A"/>
    <w:rsid w:val="006D653F"/>
    <w:rsid w:val="006E1292"/>
    <w:rsid w:val="006F1980"/>
    <w:rsid w:val="006F298B"/>
    <w:rsid w:val="00700ECB"/>
    <w:rsid w:val="00701FE4"/>
    <w:rsid w:val="0071030B"/>
    <w:rsid w:val="0072042D"/>
    <w:rsid w:val="00724D15"/>
    <w:rsid w:val="007276F8"/>
    <w:rsid w:val="00732F39"/>
    <w:rsid w:val="00733480"/>
    <w:rsid w:val="00734E48"/>
    <w:rsid w:val="00735011"/>
    <w:rsid w:val="00740ADB"/>
    <w:rsid w:val="00741A34"/>
    <w:rsid w:val="00743651"/>
    <w:rsid w:val="00744566"/>
    <w:rsid w:val="00746853"/>
    <w:rsid w:val="00751C7D"/>
    <w:rsid w:val="00755188"/>
    <w:rsid w:val="00755E5B"/>
    <w:rsid w:val="0075615A"/>
    <w:rsid w:val="007579F2"/>
    <w:rsid w:val="00765192"/>
    <w:rsid w:val="00766E8D"/>
    <w:rsid w:val="0076733A"/>
    <w:rsid w:val="00767ACD"/>
    <w:rsid w:val="007753ED"/>
    <w:rsid w:val="00777145"/>
    <w:rsid w:val="00780B2D"/>
    <w:rsid w:val="00780DA4"/>
    <w:rsid w:val="00785455"/>
    <w:rsid w:val="007908D0"/>
    <w:rsid w:val="00792A18"/>
    <w:rsid w:val="00795995"/>
    <w:rsid w:val="00795D46"/>
    <w:rsid w:val="00796886"/>
    <w:rsid w:val="007A189E"/>
    <w:rsid w:val="007A7834"/>
    <w:rsid w:val="007B22D7"/>
    <w:rsid w:val="007B2EAD"/>
    <w:rsid w:val="007B323E"/>
    <w:rsid w:val="007B3982"/>
    <w:rsid w:val="007B3E3E"/>
    <w:rsid w:val="007B78A5"/>
    <w:rsid w:val="007C0CCA"/>
    <w:rsid w:val="007C5C85"/>
    <w:rsid w:val="007C7FDA"/>
    <w:rsid w:val="007D1B72"/>
    <w:rsid w:val="007E13D9"/>
    <w:rsid w:val="007E752A"/>
    <w:rsid w:val="007F15A3"/>
    <w:rsid w:val="007F7635"/>
    <w:rsid w:val="007F7D84"/>
    <w:rsid w:val="00800BB1"/>
    <w:rsid w:val="00802AB5"/>
    <w:rsid w:val="00810CBB"/>
    <w:rsid w:val="00812746"/>
    <w:rsid w:val="00813ADA"/>
    <w:rsid w:val="0081506C"/>
    <w:rsid w:val="00821699"/>
    <w:rsid w:val="008247DA"/>
    <w:rsid w:val="008265CA"/>
    <w:rsid w:val="00826C39"/>
    <w:rsid w:val="008324EC"/>
    <w:rsid w:val="00833920"/>
    <w:rsid w:val="008357B4"/>
    <w:rsid w:val="008367B8"/>
    <w:rsid w:val="008424FB"/>
    <w:rsid w:val="00844037"/>
    <w:rsid w:val="00845BB0"/>
    <w:rsid w:val="0084630D"/>
    <w:rsid w:val="00850305"/>
    <w:rsid w:val="0085110C"/>
    <w:rsid w:val="00860895"/>
    <w:rsid w:val="00862E0C"/>
    <w:rsid w:val="00864E3A"/>
    <w:rsid w:val="00870DEC"/>
    <w:rsid w:val="00872909"/>
    <w:rsid w:val="008730C9"/>
    <w:rsid w:val="00883481"/>
    <w:rsid w:val="008858E0"/>
    <w:rsid w:val="00885E1F"/>
    <w:rsid w:val="00885EEA"/>
    <w:rsid w:val="0088621E"/>
    <w:rsid w:val="00896EA3"/>
    <w:rsid w:val="00896EE2"/>
    <w:rsid w:val="008A396A"/>
    <w:rsid w:val="008A58F4"/>
    <w:rsid w:val="008A681D"/>
    <w:rsid w:val="008B3C70"/>
    <w:rsid w:val="008B49E6"/>
    <w:rsid w:val="008B4D3E"/>
    <w:rsid w:val="008B7B61"/>
    <w:rsid w:val="008C0342"/>
    <w:rsid w:val="008C1216"/>
    <w:rsid w:val="008C2912"/>
    <w:rsid w:val="008C3D3F"/>
    <w:rsid w:val="008E0B63"/>
    <w:rsid w:val="008E3CD3"/>
    <w:rsid w:val="008E42E6"/>
    <w:rsid w:val="008E5E58"/>
    <w:rsid w:val="008F7D52"/>
    <w:rsid w:val="00910DA2"/>
    <w:rsid w:val="00911821"/>
    <w:rsid w:val="00915DA8"/>
    <w:rsid w:val="00940605"/>
    <w:rsid w:val="009431CC"/>
    <w:rsid w:val="00943771"/>
    <w:rsid w:val="00944635"/>
    <w:rsid w:val="0094565D"/>
    <w:rsid w:val="009466C4"/>
    <w:rsid w:val="00946B32"/>
    <w:rsid w:val="00952B0A"/>
    <w:rsid w:val="00954ECC"/>
    <w:rsid w:val="009600A8"/>
    <w:rsid w:val="0096065A"/>
    <w:rsid w:val="00960B88"/>
    <w:rsid w:val="00960F6C"/>
    <w:rsid w:val="00960F80"/>
    <w:rsid w:val="0097114B"/>
    <w:rsid w:val="0097428D"/>
    <w:rsid w:val="00986AA6"/>
    <w:rsid w:val="009909DE"/>
    <w:rsid w:val="009913C7"/>
    <w:rsid w:val="0099329F"/>
    <w:rsid w:val="009977E7"/>
    <w:rsid w:val="009A2EDD"/>
    <w:rsid w:val="009A595D"/>
    <w:rsid w:val="009A6D65"/>
    <w:rsid w:val="009C680C"/>
    <w:rsid w:val="009D2A88"/>
    <w:rsid w:val="009E04DE"/>
    <w:rsid w:val="009E1CC1"/>
    <w:rsid w:val="009E3370"/>
    <w:rsid w:val="009E34C9"/>
    <w:rsid w:val="009F3A07"/>
    <w:rsid w:val="009F76A2"/>
    <w:rsid w:val="00A0082F"/>
    <w:rsid w:val="00A0469D"/>
    <w:rsid w:val="00A11D41"/>
    <w:rsid w:val="00A13830"/>
    <w:rsid w:val="00A141D5"/>
    <w:rsid w:val="00A22DC0"/>
    <w:rsid w:val="00A243AA"/>
    <w:rsid w:val="00A27B91"/>
    <w:rsid w:val="00A33D44"/>
    <w:rsid w:val="00A3512E"/>
    <w:rsid w:val="00A374B2"/>
    <w:rsid w:val="00A4062D"/>
    <w:rsid w:val="00A44F24"/>
    <w:rsid w:val="00A45497"/>
    <w:rsid w:val="00A468EE"/>
    <w:rsid w:val="00A51C94"/>
    <w:rsid w:val="00A5588B"/>
    <w:rsid w:val="00A56CE1"/>
    <w:rsid w:val="00A57DA8"/>
    <w:rsid w:val="00A600CC"/>
    <w:rsid w:val="00A63231"/>
    <w:rsid w:val="00A64F15"/>
    <w:rsid w:val="00A7022F"/>
    <w:rsid w:val="00A7196F"/>
    <w:rsid w:val="00A77196"/>
    <w:rsid w:val="00A80239"/>
    <w:rsid w:val="00A80C57"/>
    <w:rsid w:val="00A854F0"/>
    <w:rsid w:val="00A859E2"/>
    <w:rsid w:val="00A867A0"/>
    <w:rsid w:val="00A86EC4"/>
    <w:rsid w:val="00A9015B"/>
    <w:rsid w:val="00A9298A"/>
    <w:rsid w:val="00A96F54"/>
    <w:rsid w:val="00AA6468"/>
    <w:rsid w:val="00AB33D8"/>
    <w:rsid w:val="00AB59DA"/>
    <w:rsid w:val="00AC0134"/>
    <w:rsid w:val="00AC4E5F"/>
    <w:rsid w:val="00AD06C6"/>
    <w:rsid w:val="00AD5F33"/>
    <w:rsid w:val="00AD7FBB"/>
    <w:rsid w:val="00AE10E3"/>
    <w:rsid w:val="00AE3D99"/>
    <w:rsid w:val="00AE6B78"/>
    <w:rsid w:val="00AF125C"/>
    <w:rsid w:val="00AF324D"/>
    <w:rsid w:val="00AF66F1"/>
    <w:rsid w:val="00B005FE"/>
    <w:rsid w:val="00B022D2"/>
    <w:rsid w:val="00B03103"/>
    <w:rsid w:val="00B04F94"/>
    <w:rsid w:val="00B05742"/>
    <w:rsid w:val="00B07DFA"/>
    <w:rsid w:val="00B14F99"/>
    <w:rsid w:val="00B17890"/>
    <w:rsid w:val="00B2533F"/>
    <w:rsid w:val="00B271BD"/>
    <w:rsid w:val="00B32E1E"/>
    <w:rsid w:val="00B403BE"/>
    <w:rsid w:val="00B40A63"/>
    <w:rsid w:val="00B40DFC"/>
    <w:rsid w:val="00B430D2"/>
    <w:rsid w:val="00B50632"/>
    <w:rsid w:val="00B52E15"/>
    <w:rsid w:val="00B538D7"/>
    <w:rsid w:val="00B539F3"/>
    <w:rsid w:val="00B545F3"/>
    <w:rsid w:val="00B548DE"/>
    <w:rsid w:val="00B61DA1"/>
    <w:rsid w:val="00B632A9"/>
    <w:rsid w:val="00B63E6A"/>
    <w:rsid w:val="00B662E7"/>
    <w:rsid w:val="00B66617"/>
    <w:rsid w:val="00B67267"/>
    <w:rsid w:val="00B6781F"/>
    <w:rsid w:val="00B749C8"/>
    <w:rsid w:val="00B76AB3"/>
    <w:rsid w:val="00B770DA"/>
    <w:rsid w:val="00B86B70"/>
    <w:rsid w:val="00B8759D"/>
    <w:rsid w:val="00B92740"/>
    <w:rsid w:val="00B92EE1"/>
    <w:rsid w:val="00B93DD3"/>
    <w:rsid w:val="00B940C6"/>
    <w:rsid w:val="00B95EE0"/>
    <w:rsid w:val="00B9694E"/>
    <w:rsid w:val="00B96E73"/>
    <w:rsid w:val="00BA0C9F"/>
    <w:rsid w:val="00BA0DF7"/>
    <w:rsid w:val="00BA585A"/>
    <w:rsid w:val="00BA7C06"/>
    <w:rsid w:val="00BB1733"/>
    <w:rsid w:val="00BB17A2"/>
    <w:rsid w:val="00BB27D5"/>
    <w:rsid w:val="00BC05A3"/>
    <w:rsid w:val="00BC2108"/>
    <w:rsid w:val="00BC4259"/>
    <w:rsid w:val="00BC7ED0"/>
    <w:rsid w:val="00BE0E1F"/>
    <w:rsid w:val="00BE14A6"/>
    <w:rsid w:val="00BE5461"/>
    <w:rsid w:val="00BE6BDC"/>
    <w:rsid w:val="00BE7CB3"/>
    <w:rsid w:val="00BF0CC0"/>
    <w:rsid w:val="00BF12FA"/>
    <w:rsid w:val="00BF75BF"/>
    <w:rsid w:val="00C018C3"/>
    <w:rsid w:val="00C01C30"/>
    <w:rsid w:val="00C03D35"/>
    <w:rsid w:val="00C0507B"/>
    <w:rsid w:val="00C1310E"/>
    <w:rsid w:val="00C2305E"/>
    <w:rsid w:val="00C25006"/>
    <w:rsid w:val="00C25145"/>
    <w:rsid w:val="00C26DAC"/>
    <w:rsid w:val="00C31F83"/>
    <w:rsid w:val="00C43841"/>
    <w:rsid w:val="00C46049"/>
    <w:rsid w:val="00C51D4C"/>
    <w:rsid w:val="00C52B40"/>
    <w:rsid w:val="00C55BBE"/>
    <w:rsid w:val="00C55F2B"/>
    <w:rsid w:val="00C608B5"/>
    <w:rsid w:val="00C610D0"/>
    <w:rsid w:val="00C63250"/>
    <w:rsid w:val="00C633C2"/>
    <w:rsid w:val="00C675E0"/>
    <w:rsid w:val="00C74057"/>
    <w:rsid w:val="00C74D91"/>
    <w:rsid w:val="00C7765D"/>
    <w:rsid w:val="00C77EA9"/>
    <w:rsid w:val="00C82393"/>
    <w:rsid w:val="00C845DC"/>
    <w:rsid w:val="00C877DD"/>
    <w:rsid w:val="00C900C9"/>
    <w:rsid w:val="00C90784"/>
    <w:rsid w:val="00C90A90"/>
    <w:rsid w:val="00C94D2E"/>
    <w:rsid w:val="00CA4989"/>
    <w:rsid w:val="00CB0A29"/>
    <w:rsid w:val="00CB2986"/>
    <w:rsid w:val="00CB50BC"/>
    <w:rsid w:val="00CC2A21"/>
    <w:rsid w:val="00CD077E"/>
    <w:rsid w:val="00CD4A9F"/>
    <w:rsid w:val="00CD5DE1"/>
    <w:rsid w:val="00CD7CD5"/>
    <w:rsid w:val="00CE27BB"/>
    <w:rsid w:val="00CE423D"/>
    <w:rsid w:val="00CE6A20"/>
    <w:rsid w:val="00CF025C"/>
    <w:rsid w:val="00CF0AEA"/>
    <w:rsid w:val="00CF12E0"/>
    <w:rsid w:val="00CF2505"/>
    <w:rsid w:val="00CF7EF7"/>
    <w:rsid w:val="00D04A9B"/>
    <w:rsid w:val="00D04D05"/>
    <w:rsid w:val="00D158E6"/>
    <w:rsid w:val="00D25E1C"/>
    <w:rsid w:val="00D30914"/>
    <w:rsid w:val="00D31407"/>
    <w:rsid w:val="00D3524C"/>
    <w:rsid w:val="00D369DA"/>
    <w:rsid w:val="00D37979"/>
    <w:rsid w:val="00D41A33"/>
    <w:rsid w:val="00D42809"/>
    <w:rsid w:val="00D43608"/>
    <w:rsid w:val="00D43B2A"/>
    <w:rsid w:val="00D53E25"/>
    <w:rsid w:val="00D60AA5"/>
    <w:rsid w:val="00D61323"/>
    <w:rsid w:val="00D626BE"/>
    <w:rsid w:val="00D627D9"/>
    <w:rsid w:val="00D63386"/>
    <w:rsid w:val="00D63CA7"/>
    <w:rsid w:val="00D64B1F"/>
    <w:rsid w:val="00D661B3"/>
    <w:rsid w:val="00D732FD"/>
    <w:rsid w:val="00D7545C"/>
    <w:rsid w:val="00D768EA"/>
    <w:rsid w:val="00D81EA5"/>
    <w:rsid w:val="00D820E9"/>
    <w:rsid w:val="00D878D9"/>
    <w:rsid w:val="00D924CB"/>
    <w:rsid w:val="00D934F2"/>
    <w:rsid w:val="00D93683"/>
    <w:rsid w:val="00D9785F"/>
    <w:rsid w:val="00DA631B"/>
    <w:rsid w:val="00DA6529"/>
    <w:rsid w:val="00DB20E6"/>
    <w:rsid w:val="00DB2393"/>
    <w:rsid w:val="00DB530F"/>
    <w:rsid w:val="00DD0AE4"/>
    <w:rsid w:val="00DD4127"/>
    <w:rsid w:val="00DE4B20"/>
    <w:rsid w:val="00DF3279"/>
    <w:rsid w:val="00DF4A1B"/>
    <w:rsid w:val="00E01A81"/>
    <w:rsid w:val="00E041F3"/>
    <w:rsid w:val="00E10964"/>
    <w:rsid w:val="00E14AD4"/>
    <w:rsid w:val="00E17286"/>
    <w:rsid w:val="00E2209D"/>
    <w:rsid w:val="00E25247"/>
    <w:rsid w:val="00E26FA9"/>
    <w:rsid w:val="00E27824"/>
    <w:rsid w:val="00E3347E"/>
    <w:rsid w:val="00E34770"/>
    <w:rsid w:val="00E3678A"/>
    <w:rsid w:val="00E403A6"/>
    <w:rsid w:val="00E4074A"/>
    <w:rsid w:val="00E43866"/>
    <w:rsid w:val="00E44368"/>
    <w:rsid w:val="00E516D5"/>
    <w:rsid w:val="00E5560A"/>
    <w:rsid w:val="00E60CD6"/>
    <w:rsid w:val="00E61B53"/>
    <w:rsid w:val="00E61ED7"/>
    <w:rsid w:val="00E61F5D"/>
    <w:rsid w:val="00E6200D"/>
    <w:rsid w:val="00E629F3"/>
    <w:rsid w:val="00E63AC6"/>
    <w:rsid w:val="00E656A5"/>
    <w:rsid w:val="00E75B5A"/>
    <w:rsid w:val="00E77D05"/>
    <w:rsid w:val="00E8080E"/>
    <w:rsid w:val="00E80E7C"/>
    <w:rsid w:val="00E836BD"/>
    <w:rsid w:val="00E838C4"/>
    <w:rsid w:val="00E845E9"/>
    <w:rsid w:val="00E85D2A"/>
    <w:rsid w:val="00E86352"/>
    <w:rsid w:val="00EA14BC"/>
    <w:rsid w:val="00EA20B5"/>
    <w:rsid w:val="00EC0150"/>
    <w:rsid w:val="00EC1770"/>
    <w:rsid w:val="00EC6CB0"/>
    <w:rsid w:val="00ED3537"/>
    <w:rsid w:val="00ED48BD"/>
    <w:rsid w:val="00ED64D9"/>
    <w:rsid w:val="00EE3443"/>
    <w:rsid w:val="00EE7F41"/>
    <w:rsid w:val="00EF3751"/>
    <w:rsid w:val="00EF64E4"/>
    <w:rsid w:val="00EF73F4"/>
    <w:rsid w:val="00F04650"/>
    <w:rsid w:val="00F0672E"/>
    <w:rsid w:val="00F1166B"/>
    <w:rsid w:val="00F12DCC"/>
    <w:rsid w:val="00F158CD"/>
    <w:rsid w:val="00F21E57"/>
    <w:rsid w:val="00F22DC3"/>
    <w:rsid w:val="00F22FB6"/>
    <w:rsid w:val="00F235DD"/>
    <w:rsid w:val="00F24C82"/>
    <w:rsid w:val="00F252EE"/>
    <w:rsid w:val="00F25E39"/>
    <w:rsid w:val="00F27C04"/>
    <w:rsid w:val="00F331FF"/>
    <w:rsid w:val="00F33294"/>
    <w:rsid w:val="00F408F4"/>
    <w:rsid w:val="00F41494"/>
    <w:rsid w:val="00F42C12"/>
    <w:rsid w:val="00F4346C"/>
    <w:rsid w:val="00F44456"/>
    <w:rsid w:val="00F4552B"/>
    <w:rsid w:val="00F45B02"/>
    <w:rsid w:val="00F45D19"/>
    <w:rsid w:val="00F46C20"/>
    <w:rsid w:val="00F4733D"/>
    <w:rsid w:val="00F47A81"/>
    <w:rsid w:val="00F532F2"/>
    <w:rsid w:val="00F551BE"/>
    <w:rsid w:val="00F62B02"/>
    <w:rsid w:val="00F85009"/>
    <w:rsid w:val="00F861CE"/>
    <w:rsid w:val="00F92880"/>
    <w:rsid w:val="00F953CF"/>
    <w:rsid w:val="00FA105E"/>
    <w:rsid w:val="00FA1D6C"/>
    <w:rsid w:val="00FA3478"/>
    <w:rsid w:val="00FA6D52"/>
    <w:rsid w:val="00FB07A6"/>
    <w:rsid w:val="00FB1BE8"/>
    <w:rsid w:val="00FB3C1F"/>
    <w:rsid w:val="00FB75FC"/>
    <w:rsid w:val="00FB7BED"/>
    <w:rsid w:val="00FC1DD8"/>
    <w:rsid w:val="00FC6EC2"/>
    <w:rsid w:val="00FC79A5"/>
    <w:rsid w:val="00FD0E5C"/>
    <w:rsid w:val="00FD56CB"/>
    <w:rsid w:val="00FE02F8"/>
    <w:rsid w:val="00FE159C"/>
    <w:rsid w:val="00FE4BA8"/>
    <w:rsid w:val="00FE4EF7"/>
    <w:rsid w:val="00FE5328"/>
    <w:rsid w:val="00FE743D"/>
    <w:rsid w:val="00FF05E9"/>
    <w:rsid w:val="00FF1122"/>
    <w:rsid w:val="00FF1D53"/>
    <w:rsid w:val="00FF2747"/>
    <w:rsid w:val="00FF2C85"/>
    <w:rsid w:val="00FF7200"/>
    <w:rsid w:val="454E03D3"/>
    <w:rsid w:val="55FD1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0A3F34"/>
  <w15:docId w15:val="{213BF0C3-042F-4FB5-A5F2-98519AF6F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spacing w:before="120" w:after="120"/>
      <w:jc w:val="center"/>
      <w:outlineLvl w:val="0"/>
    </w:pPr>
    <w:rPr>
      <w:b/>
      <w:bCs/>
      <w:kern w:val="44"/>
      <w:sz w:val="30"/>
      <w:szCs w:val="44"/>
    </w:rPr>
  </w:style>
  <w:style w:type="paragraph" w:styleId="2">
    <w:name w:val="heading 2"/>
    <w:basedOn w:val="a"/>
    <w:next w:val="a"/>
    <w:link w:val="20"/>
    <w:uiPriority w:val="9"/>
    <w:unhideWhenUsed/>
    <w:qFormat/>
    <w:pPr>
      <w:keepNext/>
      <w:keepLines/>
      <w:spacing w:before="120" w:after="120"/>
      <w:outlineLvl w:val="1"/>
    </w:pPr>
    <w:rPr>
      <w:rFonts w:asciiTheme="majorHAnsi" w:hAnsiTheme="majorHAnsi" w:cstheme="majorBidi"/>
      <w:b/>
      <w:bCs/>
      <w:sz w:val="30"/>
      <w:szCs w:val="32"/>
    </w:rPr>
  </w:style>
  <w:style w:type="paragraph" w:styleId="3">
    <w:name w:val="heading 3"/>
    <w:basedOn w:val="a"/>
    <w:next w:val="a"/>
    <w:link w:val="30"/>
    <w:uiPriority w:val="9"/>
    <w:unhideWhenUsed/>
    <w:qFormat/>
    <w:pPr>
      <w:keepNext/>
      <w:keepLines/>
      <w:spacing w:before="120" w:after="120"/>
      <w:outlineLvl w:val="2"/>
    </w:pPr>
    <w:rPr>
      <w:b/>
      <w:bCs/>
      <w:sz w:val="28"/>
      <w:szCs w:val="32"/>
    </w:rPr>
  </w:style>
  <w:style w:type="paragraph" w:styleId="4">
    <w:name w:val="heading 4"/>
    <w:basedOn w:val="a"/>
    <w:next w:val="a"/>
    <w:link w:val="40"/>
    <w:uiPriority w:val="9"/>
    <w:unhideWhenUsed/>
    <w:qFormat/>
    <w:pPr>
      <w:keepNext/>
      <w:keepLines/>
      <w:spacing w:before="120" w:after="12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val="0"/>
      <w:spacing w:beforeAutospacing="1" w:afterAutospacing="1" w:line="300" w:lineRule="auto"/>
      <w:ind w:firstLineChars="200" w:firstLine="200"/>
    </w:pPr>
    <w:rPr>
      <w:rFonts w:ascii="Calibri" w:eastAsia="楷体" w:hAnsi="Calibri" w:cs="Times New Roman"/>
    </w:rPr>
  </w:style>
  <w:style w:type="paragraph" w:styleId="ac">
    <w:name w:val="annotation subject"/>
    <w:basedOn w:val="a3"/>
    <w:next w:val="a3"/>
    <w:link w:val="ad"/>
    <w:uiPriority w:val="99"/>
    <w:semiHidden/>
    <w:unhideWhenUsed/>
    <w:rPr>
      <w:b/>
      <w:bCs/>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Pr>
      <w:color w:val="0563C1" w:themeColor="hyperlink"/>
      <w:u w:val="single"/>
    </w:rPr>
  </w:style>
  <w:style w:type="character" w:styleId="af0">
    <w:name w:val="annotation reference"/>
    <w:basedOn w:val="a0"/>
    <w:uiPriority w:val="99"/>
    <w:semiHidden/>
    <w:unhideWhenUsed/>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styleId="af1">
    <w:name w:val="List Paragraph"/>
    <w:basedOn w:val="a"/>
    <w:uiPriority w:val="34"/>
    <w:pPr>
      <w:ind w:firstLine="420"/>
    </w:pPr>
    <w:rPr>
      <w:szCs w:val="22"/>
    </w:rPr>
  </w:style>
  <w:style w:type="paragraph" w:customStyle="1" w:styleId="0174">
    <w:name w:val="017讲义4级标题 一、"/>
    <w:basedOn w:val="4"/>
    <w:pPr>
      <w:spacing w:line="360" w:lineRule="auto"/>
      <w:textAlignment w:val="center"/>
    </w:pPr>
    <w:rPr>
      <w:rFonts w:ascii="Times New Roman" w:hAnsi="Times New Roman" w:cs="Times New Roman"/>
      <w:sz w:val="22"/>
      <w:szCs w:val="25"/>
    </w:rPr>
  </w:style>
  <w:style w:type="character" w:customStyle="1" w:styleId="40">
    <w:name w:val="标题 4 字符"/>
    <w:basedOn w:val="a0"/>
    <w:link w:val="4"/>
    <w:uiPriority w:val="9"/>
    <w:qFormat/>
    <w:rPr>
      <w:rFonts w:asciiTheme="majorHAnsi" w:eastAsia="楷体" w:hAnsiTheme="majorHAnsi" w:cstheme="majorBidi"/>
      <w:b/>
      <w:bCs/>
      <w:kern w:val="2"/>
      <w:sz w:val="24"/>
      <w:szCs w:val="28"/>
    </w:rPr>
  </w:style>
  <w:style w:type="character" w:customStyle="1" w:styleId="10">
    <w:name w:val="标题 1 字符"/>
    <w:basedOn w:val="a0"/>
    <w:link w:val="1"/>
    <w:uiPriority w:val="9"/>
    <w:qFormat/>
    <w:rPr>
      <w:rFonts w:ascii="Calibri" w:eastAsia="楷体" w:hAnsi="Calibri" w:cs="Times New Roman"/>
      <w:b/>
      <w:bCs/>
      <w:kern w:val="44"/>
      <w:sz w:val="30"/>
      <w:szCs w:val="44"/>
    </w:rPr>
  </w:style>
  <w:style w:type="character" w:customStyle="1" w:styleId="20">
    <w:name w:val="标题 2 字符"/>
    <w:basedOn w:val="a0"/>
    <w:link w:val="2"/>
    <w:uiPriority w:val="9"/>
    <w:qFormat/>
    <w:rPr>
      <w:rFonts w:asciiTheme="majorHAnsi" w:eastAsia="楷体" w:hAnsiTheme="majorHAnsi" w:cstheme="majorBidi"/>
      <w:b/>
      <w:bCs/>
      <w:kern w:val="2"/>
      <w:sz w:val="30"/>
      <w:szCs w:val="32"/>
    </w:rPr>
  </w:style>
  <w:style w:type="paragraph" w:customStyle="1" w:styleId="el-menu-item">
    <w:name w:val="el-menu-item"/>
    <w:basedOn w:val="a"/>
    <w:pPr>
      <w:spacing w:before="100" w:beforeAutospacing="1" w:after="100" w:afterAutospacing="1"/>
    </w:pPr>
  </w:style>
  <w:style w:type="character" w:customStyle="1" w:styleId="30">
    <w:name w:val="标题 3 字符"/>
    <w:basedOn w:val="a0"/>
    <w:link w:val="3"/>
    <w:uiPriority w:val="9"/>
    <w:rPr>
      <w:rFonts w:ascii="Calibri" w:eastAsia="楷体" w:hAnsi="Calibri" w:cs="Times New Roman"/>
      <w:b/>
      <w:bCs/>
      <w:kern w:val="2"/>
      <w:sz w:val="28"/>
      <w:szCs w:val="32"/>
    </w:rPr>
  </w:style>
  <w:style w:type="table" w:customStyle="1" w:styleId="4-11">
    <w:name w:val="网格表 4 - 着色 11"/>
    <w:basedOn w:val="a1"/>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4">
    <w:name w:val="批注文字 字符"/>
    <w:basedOn w:val="a0"/>
    <w:link w:val="a3"/>
    <w:uiPriority w:val="99"/>
    <w:semiHidden/>
    <w:rPr>
      <w:rFonts w:ascii="Calibri" w:eastAsia="楷体" w:hAnsi="Calibri" w:cs="Times New Roman"/>
      <w:kern w:val="2"/>
      <w:sz w:val="24"/>
      <w:szCs w:val="24"/>
    </w:rPr>
  </w:style>
  <w:style w:type="character" w:customStyle="1" w:styleId="ad">
    <w:name w:val="批注主题 字符"/>
    <w:basedOn w:val="a4"/>
    <w:link w:val="ac"/>
    <w:uiPriority w:val="99"/>
    <w:semiHidden/>
    <w:rPr>
      <w:rFonts w:ascii="Calibri" w:eastAsia="楷体" w:hAnsi="Calibri" w:cs="Times New Roman"/>
      <w:b/>
      <w:bCs/>
      <w:kern w:val="2"/>
      <w:sz w:val="24"/>
      <w:szCs w:val="24"/>
    </w:rPr>
  </w:style>
  <w:style w:type="character" w:customStyle="1" w:styleId="a6">
    <w:name w:val="批注框文本 字符"/>
    <w:basedOn w:val="a0"/>
    <w:link w:val="a5"/>
    <w:uiPriority w:val="99"/>
    <w:semiHidden/>
    <w:rPr>
      <w:rFonts w:ascii="Calibri" w:eastAsia="楷体" w:hAnsi="Calibri" w:cs="Times New Roman"/>
      <w:kern w:val="2"/>
      <w:sz w:val="18"/>
      <w:szCs w:val="18"/>
    </w:rPr>
  </w:style>
  <w:style w:type="paragraph" w:customStyle="1" w:styleId="0172">
    <w:name w:val="017讲义2级标题 章"/>
    <w:basedOn w:val="2"/>
    <w:link w:val="0172Char"/>
    <w:qFormat/>
    <w:pPr>
      <w:keepNext w:val="0"/>
      <w:keepLines w:val="0"/>
      <w:spacing w:beforeLines="100" w:before="312" w:afterLines="50" w:after="156" w:line="360" w:lineRule="auto"/>
      <w:ind w:firstLine="480"/>
      <w:jc w:val="center"/>
      <w:textAlignment w:val="center"/>
    </w:pPr>
    <w:rPr>
      <w:rFonts w:ascii="微软雅黑" w:eastAsia="微软雅黑" w:hAnsi="微软雅黑" w:cs="Times New Roman"/>
      <w:bCs w:val="0"/>
      <w:sz w:val="32"/>
      <w:szCs w:val="29"/>
    </w:rPr>
  </w:style>
  <w:style w:type="character" w:customStyle="1" w:styleId="0172Char">
    <w:name w:val="017讲义2级标题 章 Char"/>
    <w:basedOn w:val="a0"/>
    <w:link w:val="0172"/>
    <w:qFormat/>
    <w:rPr>
      <w:rFonts w:ascii="微软雅黑" w:eastAsia="微软雅黑" w:hAnsi="微软雅黑" w:cs="Times New Roman"/>
      <w:b/>
      <w:sz w:val="32"/>
      <w:szCs w:val="29"/>
    </w:rPr>
  </w:style>
  <w:style w:type="paragraph" w:customStyle="1" w:styleId="01761">
    <w:name w:val="017讲义6级标题 1."/>
    <w:basedOn w:val="6"/>
    <w:link w:val="01761Char"/>
    <w:qFormat/>
    <w:pPr>
      <w:spacing w:before="0" w:after="0" w:line="360" w:lineRule="auto"/>
      <w:ind w:firstLine="482"/>
      <w:textAlignment w:val="center"/>
    </w:pPr>
    <w:rPr>
      <w:rFonts w:ascii="KaiTi" w:eastAsia="KaiTi" w:hAnsi="KaiTi" w:cs="Arial"/>
    </w:rPr>
  </w:style>
  <w:style w:type="character" w:customStyle="1" w:styleId="01761Char">
    <w:name w:val="017讲义6级标题 1. Char"/>
    <w:basedOn w:val="a0"/>
    <w:link w:val="01761"/>
    <w:qFormat/>
    <w:rPr>
      <w:rFonts w:ascii="KaiTi" w:eastAsia="KaiTi" w:hAnsi="KaiTi" w:cs="Arial"/>
      <w:b/>
      <w:bCs/>
      <w:sz w:val="24"/>
      <w:szCs w:val="24"/>
    </w:rPr>
  </w:style>
  <w:style w:type="paragraph" w:customStyle="1" w:styleId="017">
    <w:name w:val="017讲义正文"/>
    <w:basedOn w:val="a"/>
    <w:link w:val="017Char"/>
    <w:qFormat/>
    <w:pPr>
      <w:spacing w:line="360" w:lineRule="auto"/>
      <w:textAlignment w:val="center"/>
    </w:pPr>
    <w:rPr>
      <w:rFonts w:ascii="KaiTi" w:eastAsia="KaiTi" w:hAnsi="KaiTi"/>
    </w:rPr>
  </w:style>
  <w:style w:type="character" w:customStyle="1" w:styleId="017Char">
    <w:name w:val="017讲义正文 Char"/>
    <w:link w:val="017"/>
    <w:qFormat/>
    <w:rPr>
      <w:rFonts w:ascii="KaiTi" w:eastAsia="KaiTi" w:hAnsi="KaiTi" w:cs="宋体"/>
      <w:sz w:val="24"/>
      <w:szCs w:val="24"/>
    </w:rPr>
  </w:style>
  <w:style w:type="character" w:customStyle="1" w:styleId="60">
    <w:name w:val="标题 6 字符"/>
    <w:basedOn w:val="a0"/>
    <w:link w:val="6"/>
    <w:uiPriority w:val="9"/>
    <w:semiHidden/>
    <w:rPr>
      <w:rFonts w:asciiTheme="majorHAnsi" w:eastAsiaTheme="majorEastAsia" w:hAnsiTheme="majorHAnsi" w:cstheme="majorBidi"/>
      <w:b/>
      <w:bCs/>
      <w:kern w:val="2"/>
      <w:sz w:val="24"/>
      <w:szCs w:val="24"/>
    </w:rPr>
  </w:style>
  <w:style w:type="paragraph" w:customStyle="1" w:styleId="0175">
    <w:name w:val="017讲义5级标题 （一）"/>
    <w:basedOn w:val="5"/>
    <w:link w:val="0175Char"/>
    <w:qFormat/>
    <w:pPr>
      <w:spacing w:before="0" w:after="0" w:line="240" w:lineRule="auto"/>
      <w:textAlignment w:val="center"/>
    </w:pPr>
    <w:rPr>
      <w:rFonts w:ascii="Times New Roman" w:hAnsi="Times New Roman"/>
      <w:b w:val="0"/>
      <w:sz w:val="22"/>
      <w:szCs w:val="23"/>
    </w:rPr>
  </w:style>
  <w:style w:type="character" w:customStyle="1" w:styleId="0175Char">
    <w:name w:val="017讲义5级标题 （一） Char"/>
    <w:basedOn w:val="a0"/>
    <w:link w:val="0175"/>
    <w:qFormat/>
    <w:rPr>
      <w:rFonts w:ascii="Times New Roman" w:eastAsia="宋体" w:hAnsi="Times New Roman" w:cs="Times New Roman"/>
      <w:bCs/>
      <w:sz w:val="22"/>
      <w:szCs w:val="23"/>
    </w:rPr>
  </w:style>
  <w:style w:type="paragraph" w:customStyle="1" w:styleId="af2">
    <w:name w:val="小标题"/>
    <w:basedOn w:val="a"/>
    <w:link w:val="af3"/>
    <w:qFormat/>
    <w:pPr>
      <w:spacing w:beforeLines="50" w:before="50" w:afterLines="50" w:after="50"/>
    </w:pPr>
    <w:rPr>
      <w:rFonts w:cs="微软雅黑"/>
      <w:b/>
      <w:color w:val="000000" w:themeColor="text1"/>
    </w:rPr>
  </w:style>
  <w:style w:type="character" w:customStyle="1" w:styleId="af3">
    <w:name w:val="小标题 字符"/>
    <w:basedOn w:val="a0"/>
    <w:link w:val="af2"/>
    <w:rPr>
      <w:rFonts w:ascii="宋体" w:eastAsia="宋体" w:hAnsi="宋体" w:cs="微软雅黑"/>
      <w:b/>
      <w:color w:val="000000" w:themeColor="text1"/>
      <w:kern w:val="2"/>
      <w:sz w:val="24"/>
      <w:szCs w:val="24"/>
    </w:rPr>
  </w:style>
  <w:style w:type="character" w:customStyle="1" w:styleId="50">
    <w:name w:val="标题 5 字符"/>
    <w:basedOn w:val="a0"/>
    <w:link w:val="5"/>
    <w:uiPriority w:val="9"/>
    <w:semiHidden/>
    <w:rPr>
      <w:rFonts w:ascii="Calibri" w:eastAsia="楷体" w:hAnsi="Calibri" w:cs="Times New Roman"/>
      <w:b/>
      <w:bCs/>
      <w:kern w:val="2"/>
      <w:sz w:val="28"/>
      <w:szCs w:val="28"/>
    </w:rPr>
  </w:style>
  <w:style w:type="paragraph" w:customStyle="1" w:styleId="123">
    <w:name w:val="小标题123"/>
    <w:basedOn w:val="a"/>
    <w:link w:val="1230"/>
    <w:qFormat/>
    <w:pPr>
      <w:spacing w:beforeLines="50" w:before="190" w:afterLines="50" w:after="190" w:line="360" w:lineRule="auto"/>
    </w:pPr>
    <w:rPr>
      <w:rFonts w:cs="微软雅黑"/>
      <w:b/>
      <w:color w:val="000000" w:themeColor="text1"/>
    </w:rPr>
  </w:style>
  <w:style w:type="character" w:customStyle="1" w:styleId="1230">
    <w:name w:val="小标题123 字符"/>
    <w:basedOn w:val="a0"/>
    <w:link w:val="123"/>
    <w:rPr>
      <w:rFonts w:ascii="宋体" w:eastAsia="宋体" w:hAnsi="宋体" w:cs="微软雅黑"/>
      <w:b/>
      <w:color w:val="000000" w:themeColor="text1"/>
      <w:kern w:val="2"/>
      <w:sz w:val="24"/>
      <w:szCs w:val="24"/>
    </w:rPr>
  </w:style>
  <w:style w:type="character" w:customStyle="1" w:styleId="11">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ockpage.10jqka.com.c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 坤</dc:creator>
  <cp:lastModifiedBy>cc li</cp:lastModifiedBy>
  <cp:revision>5</cp:revision>
  <dcterms:created xsi:type="dcterms:W3CDTF">2021-05-14T22:34:00Z</dcterms:created>
  <dcterms:modified xsi:type="dcterms:W3CDTF">2021-09-06T04:41:00Z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