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2"/>
        <w:spacing w:before="326" w:after="163"/>
        <w:rPr>
          <w:rFonts w:ascii="KaiTi" w:hAnsi="KaiTi" w:eastAsia="KaiTi"/>
        </w:rPr>
      </w:pPr>
      <w:r>
        <w:rPr>
          <w:rFonts w:ascii="KaiTi" w:hAnsi="KaiTi" w:eastAsia="KaiTi"/>
        </w:rPr>
        <w:t>第18周</w:t>
      </w:r>
      <w:r>
        <w:rPr>
          <w:rFonts w:hint="eastAsia" w:ascii="KaiTi" w:hAnsi="KaiTi" w:eastAsia="KaiTi"/>
        </w:rPr>
        <w:t>作业（手机版）</w:t>
      </w:r>
    </w:p>
    <w:p>
      <w:pPr>
        <w:pStyle w:val="3"/>
        <w:widowControl w:val="0"/>
        <w:spacing w:line="360" w:lineRule="auto"/>
        <w:jc w:val="both"/>
        <w:rPr>
          <w:rFonts w:ascii="KaiTi" w:hAnsi="KaiTi" w:eastAsia="KaiTi"/>
          <w:kern w:val="2"/>
        </w:rPr>
      </w:pPr>
      <w:r>
        <w:rPr>
          <w:rFonts w:hint="eastAsia" w:ascii="KaiTi" w:hAnsi="KaiTi" w:eastAsia="KaiTi"/>
          <w:kern w:val="2"/>
        </w:rPr>
        <w:t>案例一</w:t>
      </w:r>
      <w:r>
        <w:rPr>
          <w:rFonts w:ascii="KaiTi" w:hAnsi="KaiTi" w:eastAsia="KaiTi"/>
          <w:kern w:val="2"/>
        </w:rPr>
        <w:t xml:space="preserve"> ：</w:t>
      </w:r>
    </w:p>
    <w:p>
      <w:pPr>
        <w:pStyle w:val="36"/>
      </w:pPr>
      <w:r>
        <w:t>根据洋河股份近五年年报的现金流量表项目，分析一下公司的造血能力、增长潜力、现金分红情况、公司所属类型、现金增长情况、以及公司可用现金总额，简单评价一下洋河股份这家公司。（100 分）</w:t>
      </w:r>
    </w:p>
    <w:p>
      <w:pPr>
        <w:spacing w:line="360" w:lineRule="auto"/>
        <w:rPr>
          <w:rFonts w:ascii="KaiTi" w:hAnsi="KaiTi" w:eastAsia="KaiTi"/>
          <w:b/>
          <w:bCs/>
          <w:color w:val="FF0000"/>
        </w:rPr>
      </w:pPr>
      <w:r>
        <w:rPr>
          <w:rFonts w:hint="eastAsia" w:ascii="KaiTi" w:hAnsi="KaiTi" w:eastAsia="KaiTi"/>
          <w:b/>
          <w:bCs/>
          <w:color w:val="FF0000"/>
        </w:rPr>
        <w:t>提示：年报中查找的数据单位为“元”，填到表格时注意换算为“亿元”</w:t>
      </w:r>
      <w:r>
        <w:drawing>
          <wp:anchor distT="0" distB="0" distL="114300" distR="114300" simplePos="0" relativeHeight="251659264" behindDoc="0" locked="0" layoutInCell="1" allowOverlap="1">
            <wp:simplePos x="0" y="0"/>
            <wp:positionH relativeFrom="column">
              <wp:posOffset>0</wp:posOffset>
            </wp:positionH>
            <wp:positionV relativeFrom="paragraph">
              <wp:posOffset>413385</wp:posOffset>
            </wp:positionV>
            <wp:extent cx="5295900" cy="370014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95900" cy="3700145"/>
                    </a:xfrm>
                    <a:prstGeom prst="rect">
                      <a:avLst/>
                    </a:prstGeom>
                    <a:noFill/>
                    <a:ln>
                      <a:noFill/>
                    </a:ln>
                  </pic:spPr>
                </pic:pic>
              </a:graphicData>
            </a:graphic>
          </wp:anchor>
        </w:drawing>
      </w:r>
    </w:p>
    <w:p>
      <w:pPr>
        <w:pStyle w:val="4"/>
        <w:spacing w:line="360" w:lineRule="auto"/>
        <w:rPr>
          <w:rFonts w:ascii="KaiTi" w:hAnsi="KaiTi" w:eastAsia="KaiTi"/>
        </w:rPr>
      </w:pPr>
      <w:r>
        <w:rPr>
          <w:rFonts w:hint="eastAsia" w:ascii="KaiTi" w:hAnsi="KaiTi" w:eastAsia="KaiTi"/>
        </w:rPr>
        <w:t>第一步、看经营活动产生的现金流量净额</w:t>
      </w:r>
    </w:p>
    <w:p>
      <w:pPr>
        <w:pStyle w:val="34"/>
        <w:spacing w:line="360" w:lineRule="auto"/>
      </w:pPr>
      <w:r>
        <w:rPr>
          <w:rFonts w:hint="eastAsia"/>
        </w:rPr>
        <w:t>1</w:t>
      </w:r>
      <w:r>
        <w:t>.分析思路：</w:t>
      </w:r>
    </w:p>
    <w:p>
      <w:pPr>
        <w:spacing w:line="360" w:lineRule="auto"/>
        <w:rPr>
          <w:rFonts w:ascii="KaiTi" w:hAnsi="KaiTi" w:eastAsia="KaiTi"/>
        </w:rPr>
      </w:pPr>
      <w:r>
        <w:rPr>
          <w:rFonts w:ascii="KaiTi" w:hAnsi="KaiTi" w:eastAsia="KaiTi"/>
          <w:b/>
        </w:rPr>
        <w:drawing>
          <wp:inline distT="0" distB="0" distL="0" distR="0">
            <wp:extent cx="5156200" cy="2111375"/>
            <wp:effectExtent l="0" t="0" r="635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0398" cy="2158502"/>
                    </a:xfrm>
                    <a:prstGeom prst="rect">
                      <a:avLst/>
                    </a:prstGeom>
                    <a:noFill/>
                    <a:ln>
                      <a:noFill/>
                    </a:ln>
                  </pic:spPr>
                </pic:pic>
              </a:graphicData>
            </a:graphic>
          </wp:inline>
        </w:drawing>
      </w:r>
    </w:p>
    <w:p>
      <w:pPr>
        <w:pStyle w:val="34"/>
        <w:spacing w:line="360" w:lineRule="auto"/>
      </w:pPr>
      <w:r>
        <w:rPr>
          <w:rFonts w:hint="eastAsia"/>
        </w:rPr>
        <w:t>2.数据收集汇总：</w:t>
      </w:r>
      <w:bookmarkStart w:id="0" w:name="_Hlk52286765"/>
      <w:r>
        <w:rPr>
          <w:rFonts w:hint="eastAsia"/>
        </w:rPr>
        <w:t>经营活动产生的现金流量净额</w:t>
      </w:r>
      <w:bookmarkEnd w:id="0"/>
      <w:r>
        <w:rPr>
          <w:rFonts w:hint="eastAsia"/>
        </w:rPr>
        <w:t>，并计算经营活动产生的现金流量净额增长率</w:t>
      </w:r>
    </w:p>
    <w:p>
      <w:pPr>
        <w:spacing w:line="360" w:lineRule="auto"/>
        <w:rPr>
          <w:rFonts w:ascii="KaiTi" w:hAnsi="KaiTi" w:eastAsia="KaiTi"/>
          <w:b/>
          <w:bCs/>
        </w:rPr>
      </w:pPr>
      <w:r>
        <w:rPr>
          <w:rFonts w:ascii="KaiTi" w:hAnsi="KaiTi" w:eastAsia="KaiTi"/>
        </w:rPr>
        <w:t xml:space="preserve">                                                      </w:t>
      </w:r>
      <w:r>
        <w:rPr>
          <w:rFonts w:hint="eastAsia" w:ascii="KaiTi" w:hAnsi="KaiTi" w:eastAsia="KaiTi"/>
          <w:b/>
          <w:bCs/>
        </w:rPr>
        <w:t>单位：亿元</w:t>
      </w:r>
    </w:p>
    <w:tbl>
      <w:tblPr>
        <w:tblStyle w:val="14"/>
        <w:tblW w:w="9923" w:type="dxa"/>
        <w:tblInd w:w="-289" w:type="dxa"/>
        <w:tblLayout w:type="fixed"/>
        <w:tblCellMar>
          <w:top w:w="0" w:type="dxa"/>
          <w:left w:w="108" w:type="dxa"/>
          <w:bottom w:w="0" w:type="dxa"/>
          <w:right w:w="108" w:type="dxa"/>
        </w:tblCellMar>
      </w:tblPr>
      <w:tblGrid>
        <w:gridCol w:w="2581"/>
        <w:gridCol w:w="1216"/>
        <w:gridCol w:w="1131"/>
        <w:gridCol w:w="1131"/>
        <w:gridCol w:w="1131"/>
        <w:gridCol w:w="1174"/>
        <w:gridCol w:w="1559"/>
      </w:tblGrid>
      <w:tr>
        <w:tblPrEx>
          <w:tblLayout w:type="fixed"/>
          <w:tblCellMar>
            <w:top w:w="0" w:type="dxa"/>
            <w:left w:w="108" w:type="dxa"/>
            <w:bottom w:w="0" w:type="dxa"/>
            <w:right w:w="108" w:type="dxa"/>
          </w:tblCellMar>
        </w:tblPrEx>
        <w:trPr>
          <w:trHeight w:val="454" w:hRule="atLeast"/>
        </w:trPr>
        <w:tc>
          <w:tcPr>
            <w:tcW w:w="2581" w:type="dxa"/>
            <w:tcBorders>
              <w:top w:val="single" w:color="auto" w:sz="4" w:space="0"/>
              <w:left w:val="single" w:color="auto" w:sz="4" w:space="0"/>
              <w:bottom w:val="single" w:color="auto" w:sz="4" w:space="0"/>
              <w:right w:val="single" w:color="auto" w:sz="4" w:space="0"/>
            </w:tcBorders>
            <w:shd w:val="clear" w:color="000000" w:fill="4F81BD"/>
            <w:vAlign w:val="center"/>
          </w:tcPr>
          <w:p>
            <w:pPr>
              <w:spacing w:line="360" w:lineRule="auto"/>
              <w:jc w:val="center"/>
              <w:rPr>
                <w:rFonts w:ascii="KaiTi" w:hAnsi="KaiTi" w:eastAsia="KaiTi"/>
                <w:b/>
                <w:bCs/>
                <w:color w:val="FFFFFF"/>
                <w:sz w:val="20"/>
                <w:szCs w:val="20"/>
              </w:rPr>
            </w:pPr>
            <w:r>
              <w:rPr>
                <w:rFonts w:hint="eastAsia" w:ascii="KaiTi" w:hAnsi="KaiTi" w:eastAsia="KaiTi"/>
                <w:b/>
                <w:bCs/>
                <w:color w:val="FFFFFF"/>
                <w:sz w:val="20"/>
                <w:szCs w:val="20"/>
              </w:rPr>
              <w:t>经营活动产生的现金流</w:t>
            </w:r>
          </w:p>
        </w:tc>
        <w:tc>
          <w:tcPr>
            <w:tcW w:w="1216" w:type="dxa"/>
            <w:tcBorders>
              <w:top w:val="single" w:color="auto" w:sz="4" w:space="0"/>
              <w:left w:val="nil"/>
              <w:bottom w:val="single" w:color="auto" w:sz="4" w:space="0"/>
              <w:right w:val="single" w:color="auto" w:sz="4" w:space="0"/>
            </w:tcBorders>
            <w:shd w:val="clear" w:color="000000" w:fill="4F81BD"/>
            <w:vAlign w:val="center"/>
          </w:tcPr>
          <w:p>
            <w:pPr>
              <w:spacing w:line="360" w:lineRule="auto"/>
              <w:jc w:val="center"/>
              <w:rPr>
                <w:rFonts w:ascii="KaiTi" w:hAnsi="KaiTi" w:eastAsia="KaiTi"/>
                <w:b/>
                <w:bCs/>
                <w:color w:val="FFFFFF"/>
                <w:sz w:val="20"/>
                <w:szCs w:val="20"/>
              </w:rPr>
            </w:pPr>
            <w:r>
              <w:rPr>
                <w:rFonts w:hint="eastAsia" w:ascii="KaiTi" w:hAnsi="KaiTi" w:eastAsia="KaiTi"/>
                <w:b/>
                <w:bCs/>
                <w:color w:val="FFFFFF"/>
                <w:sz w:val="20"/>
                <w:szCs w:val="20"/>
              </w:rPr>
              <w:t>2016</w:t>
            </w:r>
          </w:p>
        </w:tc>
        <w:tc>
          <w:tcPr>
            <w:tcW w:w="1131" w:type="dxa"/>
            <w:tcBorders>
              <w:top w:val="single" w:color="auto" w:sz="4" w:space="0"/>
              <w:left w:val="nil"/>
              <w:bottom w:val="single" w:color="auto" w:sz="4" w:space="0"/>
              <w:right w:val="single" w:color="auto" w:sz="4" w:space="0"/>
            </w:tcBorders>
            <w:shd w:val="clear" w:color="000000" w:fill="4F81BD"/>
            <w:vAlign w:val="center"/>
          </w:tcPr>
          <w:p>
            <w:pPr>
              <w:spacing w:line="360" w:lineRule="auto"/>
              <w:jc w:val="center"/>
              <w:rPr>
                <w:rFonts w:ascii="KaiTi" w:hAnsi="KaiTi" w:eastAsia="KaiTi"/>
                <w:b/>
                <w:bCs/>
                <w:color w:val="FFFFFF"/>
                <w:sz w:val="20"/>
                <w:szCs w:val="20"/>
              </w:rPr>
            </w:pPr>
            <w:r>
              <w:rPr>
                <w:rFonts w:hint="eastAsia" w:ascii="KaiTi" w:hAnsi="KaiTi" w:eastAsia="KaiTi"/>
                <w:b/>
                <w:bCs/>
                <w:color w:val="FFFFFF"/>
                <w:sz w:val="20"/>
                <w:szCs w:val="20"/>
              </w:rPr>
              <w:t>2017</w:t>
            </w:r>
          </w:p>
        </w:tc>
        <w:tc>
          <w:tcPr>
            <w:tcW w:w="1131" w:type="dxa"/>
            <w:tcBorders>
              <w:top w:val="single" w:color="auto" w:sz="4" w:space="0"/>
              <w:left w:val="nil"/>
              <w:bottom w:val="single" w:color="auto" w:sz="4" w:space="0"/>
              <w:right w:val="single" w:color="auto" w:sz="4" w:space="0"/>
            </w:tcBorders>
            <w:shd w:val="clear" w:color="000000" w:fill="4F81BD"/>
            <w:vAlign w:val="center"/>
          </w:tcPr>
          <w:p>
            <w:pPr>
              <w:spacing w:line="360" w:lineRule="auto"/>
              <w:jc w:val="center"/>
              <w:rPr>
                <w:rFonts w:ascii="KaiTi" w:hAnsi="KaiTi" w:eastAsia="KaiTi"/>
                <w:b/>
                <w:bCs/>
                <w:color w:val="FFFFFF"/>
                <w:sz w:val="20"/>
                <w:szCs w:val="20"/>
              </w:rPr>
            </w:pPr>
            <w:r>
              <w:rPr>
                <w:rFonts w:hint="eastAsia" w:ascii="KaiTi" w:hAnsi="KaiTi" w:eastAsia="KaiTi"/>
                <w:b/>
                <w:bCs/>
                <w:color w:val="FFFFFF"/>
                <w:sz w:val="20"/>
                <w:szCs w:val="20"/>
              </w:rPr>
              <w:t>2018</w:t>
            </w:r>
          </w:p>
        </w:tc>
        <w:tc>
          <w:tcPr>
            <w:tcW w:w="1131" w:type="dxa"/>
            <w:tcBorders>
              <w:top w:val="single" w:color="auto" w:sz="4" w:space="0"/>
              <w:left w:val="nil"/>
              <w:bottom w:val="single" w:color="auto" w:sz="4" w:space="0"/>
              <w:right w:val="single" w:color="auto" w:sz="4" w:space="0"/>
            </w:tcBorders>
            <w:shd w:val="clear" w:color="000000" w:fill="4F81BD"/>
            <w:vAlign w:val="center"/>
          </w:tcPr>
          <w:p>
            <w:pPr>
              <w:spacing w:line="360" w:lineRule="auto"/>
              <w:jc w:val="center"/>
              <w:rPr>
                <w:rFonts w:ascii="KaiTi" w:hAnsi="KaiTi" w:eastAsia="KaiTi"/>
                <w:b/>
                <w:bCs/>
                <w:color w:val="FFFFFF"/>
                <w:sz w:val="20"/>
                <w:szCs w:val="20"/>
              </w:rPr>
            </w:pPr>
            <w:r>
              <w:rPr>
                <w:rFonts w:hint="eastAsia" w:ascii="KaiTi" w:hAnsi="KaiTi" w:eastAsia="KaiTi"/>
                <w:b/>
                <w:bCs/>
                <w:color w:val="FFFFFF"/>
                <w:sz w:val="20"/>
                <w:szCs w:val="20"/>
              </w:rPr>
              <w:t>2019</w:t>
            </w:r>
          </w:p>
        </w:tc>
        <w:tc>
          <w:tcPr>
            <w:tcW w:w="1174" w:type="dxa"/>
            <w:tcBorders>
              <w:top w:val="single" w:color="auto" w:sz="4" w:space="0"/>
              <w:left w:val="nil"/>
              <w:bottom w:val="single" w:color="auto" w:sz="4" w:space="0"/>
              <w:right w:val="single" w:color="auto" w:sz="4" w:space="0"/>
            </w:tcBorders>
            <w:shd w:val="clear" w:color="000000" w:fill="4F81BD"/>
            <w:vAlign w:val="center"/>
          </w:tcPr>
          <w:p>
            <w:pPr>
              <w:spacing w:line="360" w:lineRule="auto"/>
              <w:jc w:val="center"/>
              <w:rPr>
                <w:rFonts w:ascii="KaiTi" w:hAnsi="KaiTi" w:eastAsia="KaiTi"/>
                <w:b/>
                <w:bCs/>
                <w:color w:val="FFFFFF"/>
                <w:sz w:val="20"/>
                <w:szCs w:val="20"/>
              </w:rPr>
            </w:pPr>
            <w:r>
              <w:rPr>
                <w:rFonts w:hint="eastAsia" w:ascii="KaiTi" w:hAnsi="KaiTi" w:eastAsia="KaiTi"/>
                <w:b/>
                <w:bCs/>
                <w:color w:val="FFFFFF"/>
                <w:sz w:val="20"/>
                <w:szCs w:val="20"/>
              </w:rPr>
              <w:t>2020</w:t>
            </w:r>
          </w:p>
        </w:tc>
        <w:tc>
          <w:tcPr>
            <w:tcW w:w="1559" w:type="dxa"/>
            <w:tcBorders>
              <w:top w:val="nil"/>
              <w:left w:val="nil"/>
              <w:bottom w:val="nil"/>
              <w:right w:val="nil"/>
            </w:tcBorders>
            <w:shd w:val="clear" w:color="auto" w:fill="auto"/>
            <w:noWrap/>
            <w:vAlign w:val="bottom"/>
          </w:tcPr>
          <w:p>
            <w:pPr>
              <w:spacing w:line="360" w:lineRule="auto"/>
              <w:jc w:val="center"/>
              <w:rPr>
                <w:rFonts w:ascii="KaiTi" w:hAnsi="KaiTi" w:eastAsia="KaiTi"/>
                <w:b/>
                <w:bCs/>
                <w:color w:val="FFFFFF"/>
                <w:sz w:val="20"/>
                <w:szCs w:val="20"/>
              </w:rPr>
            </w:pPr>
          </w:p>
        </w:tc>
      </w:tr>
      <w:tr>
        <w:tblPrEx>
          <w:tblLayout w:type="fixed"/>
        </w:tblPrEx>
        <w:trPr>
          <w:trHeight w:val="454" w:hRule="atLeast"/>
        </w:trPr>
        <w:tc>
          <w:tcPr>
            <w:tcW w:w="2581" w:type="dxa"/>
            <w:tcBorders>
              <w:top w:val="nil"/>
              <w:left w:val="single" w:color="auto" w:sz="4" w:space="0"/>
              <w:bottom w:val="single" w:color="auto" w:sz="4" w:space="0"/>
              <w:right w:val="single" w:color="auto" w:sz="4" w:space="0"/>
            </w:tcBorders>
            <w:shd w:val="clear" w:color="auto" w:fill="auto"/>
            <w:vAlign w:val="center"/>
          </w:tcPr>
          <w:p>
            <w:pPr>
              <w:jc w:val="center"/>
              <w:rPr>
                <w:rFonts w:ascii="KaiTi" w:hAnsi="KaiTi" w:eastAsia="KaiTi"/>
                <w:sz w:val="18"/>
                <w:szCs w:val="18"/>
              </w:rPr>
            </w:pPr>
            <w:r>
              <w:rPr>
                <w:rFonts w:hint="eastAsia" w:ascii="KaiTi" w:hAnsi="KaiTi" w:eastAsia="KaiTi"/>
                <w:sz w:val="18"/>
                <w:szCs w:val="18"/>
              </w:rPr>
              <w:t>经营活动产生的现金流量净额</w:t>
            </w:r>
          </w:p>
        </w:tc>
        <w:tc>
          <w:tcPr>
            <w:tcW w:w="1216" w:type="dxa"/>
            <w:tcBorders>
              <w:top w:val="nil"/>
              <w:left w:val="nil"/>
              <w:bottom w:val="single" w:color="auto" w:sz="4" w:space="0"/>
              <w:right w:val="single" w:color="auto" w:sz="4" w:space="0"/>
            </w:tcBorders>
            <w:shd w:val="clear" w:color="000000" w:fill="FFFFFF"/>
            <w:noWrap/>
            <w:vAlign w:val="center"/>
          </w:tcPr>
          <w:p>
            <w:pPr>
              <w:ind w:right="200"/>
              <w:jc w:val="right"/>
              <w:rPr>
                <w:rFonts w:ascii="KaiTi" w:hAnsi="KaiTi" w:eastAsia="KaiTi" w:cs="Arial"/>
                <w:sz w:val="20"/>
                <w:szCs w:val="20"/>
              </w:rPr>
            </w:pPr>
            <w:r>
              <w:rPr>
                <w:rFonts w:ascii="KaiTi" w:hAnsi="KaiTi" w:eastAsia="KaiTi" w:cs="Arial"/>
                <w:sz w:val="20"/>
                <w:szCs w:val="20"/>
              </w:rPr>
              <w:t>74.05</w:t>
            </w:r>
          </w:p>
        </w:tc>
        <w:tc>
          <w:tcPr>
            <w:tcW w:w="1131"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r>
              <w:rPr>
                <w:rFonts w:ascii="KaiTi" w:hAnsi="KaiTi" w:eastAsia="KaiTi" w:cs="Arial"/>
                <w:sz w:val="20"/>
                <w:szCs w:val="20"/>
              </w:rPr>
              <w:t>68.83</w:t>
            </w:r>
          </w:p>
        </w:tc>
        <w:tc>
          <w:tcPr>
            <w:tcW w:w="1131"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r>
              <w:rPr>
                <w:rFonts w:ascii="KaiTi" w:hAnsi="KaiTi" w:eastAsia="KaiTi" w:cs="Arial"/>
                <w:sz w:val="20"/>
                <w:szCs w:val="20"/>
              </w:rPr>
              <w:t>90.57</w:t>
            </w:r>
          </w:p>
        </w:tc>
        <w:tc>
          <w:tcPr>
            <w:tcW w:w="1131"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r>
              <w:rPr>
                <w:rFonts w:ascii="KaiTi" w:hAnsi="KaiTi" w:eastAsia="KaiTi" w:cs="Arial"/>
                <w:sz w:val="20"/>
                <w:szCs w:val="20"/>
              </w:rPr>
              <w:t>67.98</w:t>
            </w:r>
          </w:p>
        </w:tc>
        <w:tc>
          <w:tcPr>
            <w:tcW w:w="1174" w:type="dxa"/>
            <w:tcBorders>
              <w:top w:val="nil"/>
              <w:left w:val="nil"/>
              <w:bottom w:val="single" w:color="auto" w:sz="4" w:space="0"/>
              <w:right w:val="single" w:color="auto" w:sz="4" w:space="0"/>
            </w:tcBorders>
            <w:shd w:val="clear" w:color="000000" w:fill="FFFF00"/>
            <w:noWrap/>
            <w:vAlign w:val="center"/>
          </w:tcPr>
          <w:p>
            <w:pPr>
              <w:jc w:val="right"/>
              <w:rPr>
                <w:rFonts w:ascii="KaiTi" w:hAnsi="KaiTi" w:eastAsia="KaiTi" w:cs="Arial"/>
                <w:sz w:val="20"/>
                <w:szCs w:val="20"/>
              </w:rPr>
            </w:pPr>
          </w:p>
        </w:tc>
        <w:tc>
          <w:tcPr>
            <w:tcW w:w="1559" w:type="dxa"/>
            <w:tcBorders>
              <w:top w:val="nil"/>
              <w:left w:val="nil"/>
              <w:bottom w:val="nil"/>
              <w:right w:val="nil"/>
            </w:tcBorders>
            <w:shd w:val="clear" w:color="auto" w:fill="auto"/>
            <w:noWrap/>
            <w:vAlign w:val="bottom"/>
          </w:tcPr>
          <w:p>
            <w:pPr>
              <w:rPr>
                <w:rFonts w:ascii="KaiTi" w:hAnsi="KaiTi" w:eastAsia="KaiTi"/>
                <w:color w:val="2F75B5"/>
                <w:sz w:val="22"/>
                <w:szCs w:val="22"/>
              </w:rPr>
            </w:pPr>
            <w:r>
              <w:rPr>
                <w:rFonts w:hint="eastAsia" w:ascii="KaiTi" w:hAnsi="KaiTi" w:eastAsia="KaiTi"/>
                <w:color w:val="2F75B5"/>
                <w:sz w:val="22"/>
                <w:szCs w:val="22"/>
              </w:rPr>
              <w:t>解析1</w:t>
            </w:r>
          </w:p>
        </w:tc>
      </w:tr>
      <w:tr>
        <w:tblPrEx>
          <w:tblLayout w:type="fixed"/>
          <w:tblCellMar>
            <w:top w:w="0" w:type="dxa"/>
            <w:left w:w="108" w:type="dxa"/>
            <w:bottom w:w="0" w:type="dxa"/>
            <w:right w:w="108" w:type="dxa"/>
          </w:tblCellMar>
        </w:tblPrEx>
        <w:trPr>
          <w:trHeight w:val="454" w:hRule="atLeast"/>
        </w:trPr>
        <w:tc>
          <w:tcPr>
            <w:tcW w:w="2581" w:type="dxa"/>
            <w:tcBorders>
              <w:top w:val="nil"/>
              <w:left w:val="single" w:color="auto" w:sz="4" w:space="0"/>
              <w:bottom w:val="single" w:color="auto" w:sz="4" w:space="0"/>
              <w:right w:val="single" w:color="auto" w:sz="4" w:space="0"/>
            </w:tcBorders>
            <w:shd w:val="clear" w:color="auto" w:fill="auto"/>
            <w:vAlign w:val="center"/>
          </w:tcPr>
          <w:p>
            <w:pPr>
              <w:jc w:val="center"/>
              <w:rPr>
                <w:rFonts w:ascii="KaiTi" w:hAnsi="KaiTi" w:eastAsia="KaiTi"/>
                <w:sz w:val="18"/>
                <w:szCs w:val="18"/>
              </w:rPr>
            </w:pPr>
            <w:r>
              <w:rPr>
                <w:rFonts w:hint="eastAsia" w:ascii="KaiTi" w:hAnsi="KaiTi" w:eastAsia="KaiTi"/>
                <w:sz w:val="18"/>
                <w:szCs w:val="18"/>
              </w:rPr>
              <w:t>经营活动产生的现金流量净额增长率</w:t>
            </w:r>
          </w:p>
        </w:tc>
        <w:tc>
          <w:tcPr>
            <w:tcW w:w="1216" w:type="dxa"/>
            <w:tcBorders>
              <w:top w:val="nil"/>
              <w:left w:val="nil"/>
              <w:bottom w:val="single" w:color="auto" w:sz="4" w:space="0"/>
              <w:right w:val="single" w:color="auto" w:sz="4" w:space="0"/>
            </w:tcBorders>
            <w:shd w:val="clear" w:color="000000" w:fill="FFFFFF"/>
            <w:noWrap/>
            <w:vAlign w:val="center"/>
          </w:tcPr>
          <w:p>
            <w:pPr>
              <w:ind w:right="400"/>
              <w:jc w:val="right"/>
              <w:rPr>
                <w:rFonts w:ascii="KaiTi" w:hAnsi="KaiTi" w:eastAsia="KaiTi" w:cs="Arial"/>
                <w:sz w:val="20"/>
                <w:szCs w:val="20"/>
              </w:rPr>
            </w:pPr>
            <w:r>
              <w:rPr>
                <w:rFonts w:ascii="KaiTi" w:hAnsi="KaiTi" w:eastAsia="KaiTi" w:cs="Arial"/>
                <w:sz w:val="20"/>
                <w:szCs w:val="20"/>
              </w:rPr>
              <w:t>26.88%</w:t>
            </w:r>
          </w:p>
        </w:tc>
        <w:tc>
          <w:tcPr>
            <w:tcW w:w="1131"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r>
              <w:rPr>
                <w:rFonts w:ascii="KaiTi" w:hAnsi="KaiTi" w:eastAsia="KaiTi" w:cs="Arial"/>
                <w:sz w:val="20"/>
                <w:szCs w:val="20"/>
              </w:rPr>
              <w:t>-7.05%</w:t>
            </w:r>
          </w:p>
        </w:tc>
        <w:tc>
          <w:tcPr>
            <w:tcW w:w="1131"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r>
              <w:rPr>
                <w:rFonts w:ascii="KaiTi" w:hAnsi="KaiTi" w:eastAsia="KaiTi" w:cs="Arial"/>
                <w:sz w:val="20"/>
                <w:szCs w:val="20"/>
              </w:rPr>
              <w:t>31.58%</w:t>
            </w:r>
          </w:p>
        </w:tc>
        <w:tc>
          <w:tcPr>
            <w:tcW w:w="1131"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r>
              <w:rPr>
                <w:rFonts w:ascii="KaiTi" w:hAnsi="KaiTi" w:eastAsia="KaiTi" w:cs="Arial"/>
                <w:sz w:val="20"/>
                <w:szCs w:val="20"/>
              </w:rPr>
              <w:t>-24.94%</w:t>
            </w:r>
          </w:p>
        </w:tc>
        <w:tc>
          <w:tcPr>
            <w:tcW w:w="1174" w:type="dxa"/>
            <w:tcBorders>
              <w:top w:val="nil"/>
              <w:left w:val="nil"/>
              <w:bottom w:val="single" w:color="auto" w:sz="4" w:space="0"/>
              <w:right w:val="single" w:color="auto" w:sz="4" w:space="0"/>
            </w:tcBorders>
            <w:shd w:val="clear" w:color="000000" w:fill="FFFF00"/>
            <w:noWrap/>
            <w:vAlign w:val="center"/>
          </w:tcPr>
          <w:p>
            <w:pPr>
              <w:jc w:val="right"/>
              <w:rPr>
                <w:rFonts w:ascii="KaiTi" w:hAnsi="KaiTi" w:eastAsia="KaiTi" w:cs="Arial"/>
                <w:sz w:val="20"/>
                <w:szCs w:val="20"/>
              </w:rPr>
            </w:pPr>
          </w:p>
        </w:tc>
        <w:tc>
          <w:tcPr>
            <w:tcW w:w="1559" w:type="dxa"/>
            <w:tcBorders>
              <w:top w:val="nil"/>
              <w:left w:val="nil"/>
              <w:bottom w:val="nil"/>
              <w:right w:val="nil"/>
            </w:tcBorders>
            <w:shd w:val="clear" w:color="auto" w:fill="auto"/>
            <w:noWrap/>
            <w:vAlign w:val="bottom"/>
          </w:tcPr>
          <w:p>
            <w:pPr>
              <w:rPr>
                <w:rFonts w:ascii="KaiTi" w:hAnsi="KaiTi" w:eastAsia="KaiTi"/>
                <w:color w:val="2F75B5"/>
                <w:sz w:val="22"/>
                <w:szCs w:val="22"/>
              </w:rPr>
            </w:pPr>
            <w:r>
              <w:rPr>
                <w:rFonts w:hint="eastAsia" w:ascii="KaiTi" w:hAnsi="KaiTi" w:eastAsia="KaiTi"/>
                <w:color w:val="2F75B5"/>
                <w:sz w:val="22"/>
                <w:szCs w:val="22"/>
              </w:rPr>
              <w:t>下面有公式</w:t>
            </w:r>
          </w:p>
        </w:tc>
      </w:tr>
    </w:tbl>
    <w:p>
      <w:pPr>
        <w:rPr>
          <w:rFonts w:ascii="KaiTi" w:hAnsi="KaiTi" w:eastAsia="KaiTi"/>
          <w:b/>
          <w:bCs/>
        </w:rPr>
      </w:pPr>
    </w:p>
    <w:p>
      <w:pPr>
        <w:rPr>
          <w:rFonts w:ascii="KaiTi" w:hAnsi="KaiTi" w:eastAsia="KaiTi"/>
          <w:b/>
          <w:bCs/>
          <w:color w:val="4472C4" w:themeColor="accent1"/>
          <w14:textFill>
            <w14:solidFill>
              <w14:schemeClr w14:val="accent1"/>
            </w14:solidFill>
          </w14:textFill>
        </w:rPr>
      </w:pPr>
      <w:r>
        <w:rPr>
          <w:rFonts w:hint="eastAsia" w:ascii="KaiTi" w:hAnsi="KaiTi" w:eastAsia="KaiTi"/>
          <w:b/>
          <w:bCs/>
          <w:color w:val="4472C4" w:themeColor="accent1"/>
          <w14:textFill>
            <w14:solidFill>
              <w14:schemeClr w14:val="accent1"/>
            </w14:solidFill>
          </w14:textFill>
        </w:rPr>
        <w:t>计算公式：①经营活动产生的现金流量净额增长率=（本期经营活动产生的现金流量净额-上期经营活动产生的现金流量净额）/上期经营活动产生的现金流量净额</w:t>
      </w:r>
    </w:p>
    <w:p>
      <w:pPr>
        <w:pStyle w:val="34"/>
        <w:spacing w:line="360" w:lineRule="auto"/>
      </w:pPr>
      <w:r>
        <w:rPr>
          <w:rFonts w:hint="eastAsia"/>
        </w:rPr>
        <w:t>3.分析各年变化趋势</w:t>
      </w:r>
    </w:p>
    <w:p>
      <w:pPr>
        <w:spacing w:line="360" w:lineRule="auto"/>
        <w:ind w:firstLine="480"/>
        <w:rPr>
          <w:rFonts w:ascii="KaiTi" w:hAnsi="KaiTi" w:eastAsia="KaiTi"/>
          <w:b/>
          <w:bCs/>
          <w:color w:val="C55A11" w:themeColor="accent2" w:themeShade="BF"/>
        </w:rPr>
      </w:pPr>
      <w:r>
        <w:rPr>
          <w:rFonts w:hint="eastAsia" w:ascii="KaiTi" w:hAnsi="KaiTi" w:eastAsia="KaiTi"/>
        </w:rPr>
        <w:t>从上表可以看出，洋河股份</w:t>
      </w:r>
      <w:r>
        <w:rPr>
          <w:rFonts w:ascii="KaiTi" w:hAnsi="KaiTi" w:eastAsia="KaiTi"/>
        </w:rPr>
        <w:t>2016-2020年的经营活动产生的现金流量净额分别是：</w:t>
      </w:r>
      <w:r>
        <w:rPr>
          <w:rFonts w:hint="eastAsia" w:ascii="KaiTi" w:hAnsi="KaiTi" w:eastAsia="KaiTi"/>
          <w:u w:val="single"/>
        </w:rPr>
        <w:t xml:space="preserve"> </w:t>
      </w:r>
      <w:r>
        <w:rPr>
          <w:rFonts w:ascii="KaiTi" w:hAnsi="KaiTi" w:eastAsia="KaiTi"/>
          <w:u w:val="single"/>
        </w:rPr>
        <w:t xml:space="preserve">     </w:t>
      </w:r>
      <w:r>
        <w:rPr>
          <w:rFonts w:ascii="KaiTi" w:hAnsi="KaiTi" w:eastAsia="KaiTi"/>
        </w:rPr>
        <w:t>亿、</w:t>
      </w:r>
      <w:r>
        <w:rPr>
          <w:rFonts w:hint="eastAsia" w:ascii="KaiTi" w:hAnsi="KaiTi" w:eastAsia="KaiTi"/>
          <w:u w:val="single"/>
        </w:rPr>
        <w:t xml:space="preserve"> </w:t>
      </w:r>
      <w:r>
        <w:rPr>
          <w:rFonts w:ascii="KaiTi" w:hAnsi="KaiTi" w:eastAsia="KaiTi"/>
          <w:u w:val="single"/>
        </w:rPr>
        <w:t xml:space="preserve">    </w:t>
      </w:r>
      <w:r>
        <w:rPr>
          <w:rFonts w:ascii="KaiTi" w:hAnsi="KaiTi" w:eastAsia="KaiTi"/>
        </w:rPr>
        <w:t>亿、</w:t>
      </w:r>
      <w:r>
        <w:rPr>
          <w:rFonts w:hint="eastAsia" w:ascii="KaiTi" w:hAnsi="KaiTi" w:eastAsia="KaiTi"/>
          <w:u w:val="single"/>
        </w:rPr>
        <w:t xml:space="preserve"> </w:t>
      </w:r>
      <w:r>
        <w:rPr>
          <w:rFonts w:ascii="KaiTi" w:hAnsi="KaiTi" w:eastAsia="KaiTi"/>
          <w:u w:val="single"/>
        </w:rPr>
        <w:t xml:space="preserve">    </w:t>
      </w:r>
      <w:r>
        <w:rPr>
          <w:rFonts w:ascii="KaiTi" w:hAnsi="KaiTi" w:eastAsia="KaiTi"/>
        </w:rPr>
        <w:t>亿、</w:t>
      </w:r>
      <w:r>
        <w:rPr>
          <w:rFonts w:hint="eastAsia" w:ascii="KaiTi" w:hAnsi="KaiTi" w:eastAsia="KaiTi"/>
          <w:u w:val="single"/>
        </w:rPr>
        <w:t xml:space="preserve"> </w:t>
      </w:r>
      <w:r>
        <w:rPr>
          <w:rFonts w:ascii="KaiTi" w:hAnsi="KaiTi" w:eastAsia="KaiTi"/>
          <w:u w:val="single"/>
        </w:rPr>
        <w:t xml:space="preserve">    </w:t>
      </w:r>
      <w:r>
        <w:rPr>
          <w:rFonts w:ascii="KaiTi" w:hAnsi="KaiTi" w:eastAsia="KaiTi"/>
        </w:rPr>
        <w:t>亿</w:t>
      </w:r>
      <w:r>
        <w:rPr>
          <w:rFonts w:hint="eastAsia" w:ascii="KaiTi" w:hAnsi="KaiTi" w:eastAsia="KaiTi"/>
        </w:rPr>
        <w:t>、</w:t>
      </w:r>
      <w:r>
        <w:rPr>
          <w:rFonts w:hint="eastAsia" w:ascii="KaiTi" w:hAnsi="KaiTi" w:eastAsia="KaiTi"/>
          <w:u w:val="single"/>
        </w:rPr>
        <w:t xml:space="preserve"> </w:t>
      </w:r>
      <w:r>
        <w:rPr>
          <w:rFonts w:ascii="KaiTi" w:hAnsi="KaiTi" w:eastAsia="KaiTi"/>
          <w:u w:val="single"/>
        </w:rPr>
        <w:t xml:space="preserve">   </w:t>
      </w:r>
      <w:r>
        <w:rPr>
          <w:rFonts w:hint="eastAsia" w:ascii="KaiTi" w:hAnsi="KaiTi" w:eastAsia="KaiTi"/>
          <w:u w:val="single"/>
        </w:rPr>
        <w:t xml:space="preserve"> </w:t>
      </w:r>
      <w:r>
        <w:rPr>
          <w:rFonts w:hint="eastAsia" w:ascii="KaiTi" w:hAnsi="KaiTi" w:eastAsia="KaiTi"/>
        </w:rPr>
        <w:t>亿，均</w:t>
      </w:r>
      <w:r>
        <w:rPr>
          <w:rFonts w:hint="eastAsia" w:ascii="KaiTi" w:hAnsi="KaiTi" w:eastAsia="KaiTi"/>
          <w:u w:val="single"/>
        </w:rPr>
        <w:t xml:space="preserve"> </w:t>
      </w:r>
      <w:r>
        <w:rPr>
          <w:rFonts w:ascii="KaiTi" w:hAnsi="KaiTi" w:eastAsia="KaiTi"/>
          <w:u w:val="single"/>
        </w:rPr>
        <w:t xml:space="preserve">     </w:t>
      </w:r>
      <w:r>
        <w:rPr>
          <w:rFonts w:hint="eastAsia" w:ascii="KaiTi" w:hAnsi="KaiTi" w:eastAsia="KaiTi"/>
          <w:b/>
          <w:bCs/>
          <w:color w:val="C55A11" w:themeColor="accent2" w:themeShade="BF"/>
        </w:rPr>
        <w:t>（选项：大于0或小于0）。</w:t>
      </w:r>
    </w:p>
    <w:p>
      <w:pPr>
        <w:spacing w:line="360" w:lineRule="auto"/>
        <w:ind w:firstLine="480"/>
        <w:rPr>
          <w:rFonts w:ascii="KaiTi" w:hAnsi="KaiTi" w:eastAsia="KaiTi"/>
          <w:b/>
          <w:bCs/>
          <w:color w:val="C55A11" w:themeColor="accent2" w:themeShade="BF"/>
        </w:rPr>
      </w:pPr>
      <w:r>
        <w:rPr>
          <w:rFonts w:hint="eastAsia" w:ascii="KaiTi" w:hAnsi="KaiTi" w:eastAsia="KaiTi"/>
        </w:rPr>
        <w:t>2</w:t>
      </w:r>
      <w:r>
        <w:rPr>
          <w:rFonts w:ascii="KaiTi" w:hAnsi="KaiTi" w:eastAsia="KaiTi"/>
        </w:rPr>
        <w:t>020</w:t>
      </w:r>
      <w:r>
        <w:rPr>
          <w:rFonts w:hint="eastAsia" w:ascii="KaiTi" w:hAnsi="KaiTi" w:eastAsia="KaiTi"/>
        </w:rPr>
        <w:t>年之前，</w:t>
      </w:r>
      <w:r>
        <w:rPr>
          <w:rFonts w:ascii="KaiTi" w:hAnsi="KaiTi" w:eastAsia="KaiTi"/>
        </w:rPr>
        <w:t>经营活动产生的现金流量净额</w:t>
      </w:r>
      <w:r>
        <w:rPr>
          <w:rFonts w:hint="eastAsia" w:ascii="KaiTi" w:hAnsi="KaiTi" w:eastAsia="KaiTi"/>
        </w:rPr>
        <w:t>维持在</w:t>
      </w:r>
      <w:r>
        <w:rPr>
          <w:rFonts w:hint="eastAsia" w:ascii="KaiTi" w:hAnsi="KaiTi" w:eastAsia="KaiTi"/>
          <w:u w:val="single"/>
        </w:rPr>
        <w:t xml:space="preserve"> </w:t>
      </w:r>
      <w:r>
        <w:rPr>
          <w:rFonts w:ascii="KaiTi" w:hAnsi="KaiTi" w:eastAsia="KaiTi"/>
          <w:u w:val="single"/>
        </w:rPr>
        <w:t xml:space="preserve">    </w:t>
      </w:r>
      <w:r>
        <w:rPr>
          <w:rFonts w:hint="eastAsia" w:ascii="KaiTi" w:hAnsi="KaiTi" w:eastAsia="KaiTi"/>
        </w:rPr>
        <w:t>亿以上，2</w:t>
      </w:r>
      <w:r>
        <w:rPr>
          <w:rFonts w:ascii="KaiTi" w:hAnsi="KaiTi" w:eastAsia="KaiTi"/>
        </w:rPr>
        <w:t>020</w:t>
      </w:r>
      <w:r>
        <w:rPr>
          <w:rFonts w:hint="eastAsia" w:ascii="KaiTi" w:hAnsi="KaiTi" w:eastAsia="KaiTi"/>
        </w:rPr>
        <w:t>年出现了大幅度的下滑，但仍然处于较高水平，说明</w:t>
      </w:r>
      <w:r>
        <w:rPr>
          <w:rFonts w:ascii="KaiTi" w:hAnsi="KaiTi" w:eastAsia="KaiTi"/>
        </w:rPr>
        <w:t>洋河股份造血能力</w:t>
      </w:r>
      <w:r>
        <w:rPr>
          <w:rFonts w:hint="eastAsia" w:ascii="KaiTi" w:hAnsi="KaiTi" w:eastAsia="KaiTi"/>
          <w:u w:val="single"/>
        </w:rPr>
        <w:t xml:space="preserve"> </w:t>
      </w:r>
      <w:r>
        <w:rPr>
          <w:rFonts w:ascii="KaiTi" w:hAnsi="KaiTi" w:eastAsia="KaiTi"/>
          <w:u w:val="single"/>
        </w:rPr>
        <w:t xml:space="preserve">    </w:t>
      </w:r>
      <w:r>
        <w:rPr>
          <w:rFonts w:hint="eastAsia" w:ascii="KaiTi" w:hAnsi="KaiTi" w:eastAsia="KaiTi"/>
          <w:b/>
          <w:bCs/>
          <w:color w:val="C55A11" w:themeColor="accent2" w:themeShade="BF"/>
        </w:rPr>
        <w:t>（参照以上经营活动产生的现金流量净额的思维导图得出结论，选项：较强或较弱）。</w:t>
      </w:r>
    </w:p>
    <w:p>
      <w:pPr>
        <w:spacing w:line="360" w:lineRule="auto"/>
        <w:ind w:firstLine="480"/>
        <w:rPr>
          <w:rFonts w:ascii="KaiTi" w:hAnsi="KaiTi" w:eastAsia="KaiTi"/>
        </w:rPr>
      </w:pPr>
      <w:r>
        <w:rPr>
          <w:rFonts w:ascii="KaiTi" w:hAnsi="KaiTi" w:eastAsia="KaiTi"/>
        </w:rPr>
        <w:t>2020</w:t>
      </w:r>
      <w:r>
        <w:rPr>
          <w:rFonts w:hint="eastAsia" w:ascii="KaiTi" w:hAnsi="KaiTi" w:eastAsia="KaiTi"/>
        </w:rPr>
        <w:t>年，洋河股份经营活动产生的现金流量净额增长率为</w:t>
      </w:r>
      <w:r>
        <w:rPr>
          <w:rFonts w:hint="eastAsia" w:ascii="KaiTi" w:hAnsi="KaiTi" w:eastAsia="KaiTi"/>
          <w:u w:val="single"/>
        </w:rPr>
        <w:t xml:space="preserve"> </w:t>
      </w:r>
      <w:r>
        <w:rPr>
          <w:rFonts w:ascii="KaiTi" w:hAnsi="KaiTi" w:eastAsia="KaiTi"/>
          <w:u w:val="single"/>
        </w:rPr>
        <w:t xml:space="preserve">    </w:t>
      </w:r>
      <w:r>
        <w:rPr>
          <w:rFonts w:hint="eastAsia" w:ascii="KaiTi" w:hAnsi="KaiTi" w:eastAsia="KaiTi"/>
        </w:rPr>
        <w:t>，说明洋河股份的造血能力在</w:t>
      </w:r>
      <w:r>
        <w:rPr>
          <w:rFonts w:hint="eastAsia" w:ascii="KaiTi" w:hAnsi="KaiTi" w:eastAsia="KaiTi"/>
          <w:u w:val="single"/>
        </w:rPr>
        <w:t xml:space="preserve"> </w:t>
      </w:r>
      <w:r>
        <w:rPr>
          <w:rFonts w:ascii="KaiTi" w:hAnsi="KaiTi" w:eastAsia="KaiTi"/>
          <w:u w:val="single"/>
        </w:rPr>
        <w:t xml:space="preserve">    </w:t>
      </w:r>
      <w:r>
        <w:rPr>
          <w:rFonts w:hint="eastAsia" w:ascii="KaiTi" w:hAnsi="KaiTi" w:eastAsia="KaiTi"/>
          <w:b/>
          <w:bCs/>
          <w:color w:val="C55A11" w:themeColor="accent2" w:themeShade="BF"/>
        </w:rPr>
        <w:t>（参照以上经营活动产生的现金流量净额的思维导图得出结论，选项：增强或下降）</w:t>
      </w:r>
      <w:r>
        <w:rPr>
          <w:rFonts w:hint="eastAsia" w:ascii="KaiTi" w:hAnsi="KaiTi" w:eastAsia="KaiTi"/>
        </w:rPr>
        <w:t>，需要查找一下原因。</w:t>
      </w:r>
    </w:p>
    <w:p>
      <w:pPr>
        <w:spacing w:line="360" w:lineRule="auto"/>
        <w:jc w:val="center"/>
        <w:rPr>
          <w:rFonts w:ascii="KaiTi" w:hAnsi="KaiTi" w:eastAsia="KaiTi"/>
        </w:rPr>
      </w:pPr>
      <w:r>
        <w:rPr>
          <w:rFonts w:ascii="KaiTi" w:hAnsi="KaiTi" w:eastAsia="KaiTi"/>
        </w:rPr>
        <w:drawing>
          <wp:inline distT="0" distB="0" distL="0" distR="0">
            <wp:extent cx="5274310" cy="51022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74310" cy="5102225"/>
                    </a:xfrm>
                    <a:prstGeom prst="rect">
                      <a:avLst/>
                    </a:prstGeom>
                  </pic:spPr>
                </pic:pic>
              </a:graphicData>
            </a:graphic>
          </wp:inline>
        </w:drawing>
      </w:r>
    </w:p>
    <w:p>
      <w:pPr>
        <w:spacing w:line="360" w:lineRule="auto"/>
        <w:ind w:left="960" w:leftChars="200" w:hanging="480" w:hangingChars="200"/>
        <w:rPr>
          <w:rFonts w:ascii="KaiTi" w:hAnsi="KaiTi" w:eastAsia="KaiTi"/>
          <w:u w:val="single"/>
        </w:rPr>
      </w:pPr>
      <w:r>
        <w:rPr>
          <w:rFonts w:hint="eastAsia" w:ascii="KaiTi" w:hAnsi="KaiTi" w:eastAsia="KaiTi"/>
        </w:rPr>
        <w:t>在年报中搜索“经营活动产生的现金流量净额”，可以看到主要是本期</w:t>
      </w:r>
      <w:r>
        <w:rPr>
          <w:rFonts w:hint="eastAsia" w:ascii="KaiTi" w:hAnsi="KaiTi" w:eastAsia="KaiTi"/>
          <w:u w:val="single"/>
        </w:rPr>
        <w:t xml:space="preserve"> </w:t>
      </w:r>
      <w:r>
        <w:rPr>
          <w:rFonts w:ascii="KaiTi" w:hAnsi="KaiTi" w:eastAsia="KaiTi"/>
          <w:u w:val="single"/>
        </w:rPr>
        <w:t xml:space="preserve">  </w:t>
      </w:r>
    </w:p>
    <w:p>
      <w:pPr>
        <w:spacing w:line="360" w:lineRule="auto"/>
        <w:ind w:left="960" w:leftChars="200" w:hanging="480" w:hangingChars="200"/>
        <w:rPr>
          <w:rFonts w:ascii="KaiTi" w:hAnsi="KaiTi" w:eastAsia="KaiTi"/>
        </w:rPr>
      </w:pPr>
      <w:r>
        <w:rPr>
          <w:rFonts w:ascii="KaiTi" w:hAnsi="KaiTi" w:eastAsia="KaiTi"/>
          <w:u w:val="single"/>
        </w:rPr>
        <w:t xml:space="preserve"> </w:t>
      </w:r>
      <w:r>
        <w:rPr>
          <w:rFonts w:hint="eastAsia" w:ascii="KaiTi" w:hAnsi="KaiTi" w:eastAsia="KaiTi"/>
          <w:u w:val="single"/>
        </w:rPr>
        <w:t xml:space="preserve"> </w:t>
      </w:r>
      <w:r>
        <w:rPr>
          <w:rFonts w:ascii="KaiTi" w:hAnsi="KaiTi" w:eastAsia="KaiTi"/>
          <w:u w:val="single"/>
        </w:rPr>
        <w:t xml:space="preserve">  </w:t>
      </w:r>
      <w:r>
        <w:rPr>
          <w:rFonts w:hint="eastAsia" w:ascii="KaiTi" w:hAnsi="KaiTi" w:eastAsia="KaiTi"/>
          <w:u w:val="single"/>
        </w:rPr>
        <w:t xml:space="preserve"> </w:t>
      </w:r>
      <w:r>
        <w:rPr>
          <w:rFonts w:ascii="KaiTi" w:hAnsi="KaiTi" w:eastAsia="KaiTi"/>
          <w:u w:val="single"/>
        </w:rPr>
        <w:t xml:space="preserve">  </w:t>
      </w:r>
      <w:r>
        <w:rPr>
          <w:rFonts w:hint="eastAsia" w:ascii="KaiTi" w:hAnsi="KaiTi" w:eastAsia="KaiTi"/>
          <w:u w:val="single"/>
        </w:rPr>
        <w:t xml:space="preserve"> </w:t>
      </w:r>
      <w:r>
        <w:rPr>
          <w:rFonts w:ascii="KaiTi" w:hAnsi="KaiTi" w:eastAsia="KaiTi"/>
          <w:u w:val="single"/>
        </w:rPr>
        <w:t xml:space="preserve">  </w:t>
      </w:r>
      <w:r>
        <w:rPr>
          <w:rFonts w:hint="eastAsia" w:ascii="KaiTi" w:hAnsi="KaiTi" w:eastAsia="KaiTi"/>
        </w:rPr>
        <w:t>项目下降导致了经营活动产生的现金流量净额的下降。</w:t>
      </w:r>
    </w:p>
    <w:p>
      <w:pPr>
        <w:spacing w:line="360" w:lineRule="auto"/>
        <w:ind w:firstLine="480" w:firstLineChars="200"/>
        <w:rPr>
          <w:rFonts w:ascii="KaiTi" w:hAnsi="KaiTi" w:eastAsia="KaiTi"/>
        </w:rPr>
      </w:pPr>
      <w:r>
        <w:rPr>
          <w:rFonts w:hint="eastAsia" w:ascii="KaiTi" w:hAnsi="KaiTi" w:eastAsia="KaiTi"/>
        </w:rPr>
        <w:t>关于营业收入的下降的原因我们已在1</w:t>
      </w:r>
      <w:r>
        <w:rPr>
          <w:rFonts w:ascii="KaiTi" w:hAnsi="KaiTi" w:eastAsia="KaiTi"/>
        </w:rPr>
        <w:t>7</w:t>
      </w:r>
      <w:r>
        <w:rPr>
          <w:rFonts w:hint="eastAsia" w:ascii="KaiTi" w:hAnsi="KaiTi" w:eastAsia="KaiTi"/>
        </w:rPr>
        <w:t>周作业中分析过：1、省内和省外的白酒市场都不同程度的被竞争对手挤占。2、疫情期间人们减少了对白酒的消费。</w:t>
      </w:r>
    </w:p>
    <w:p>
      <w:pPr>
        <w:spacing w:line="360" w:lineRule="auto"/>
        <w:ind w:firstLine="480" w:firstLineChars="200"/>
        <w:rPr>
          <w:rFonts w:ascii="KaiTi" w:hAnsi="KaiTi" w:eastAsia="KaiTi"/>
        </w:rPr>
      </w:pPr>
      <w:r>
        <w:rPr>
          <w:rFonts w:hint="eastAsia" w:ascii="KaiTi" w:hAnsi="KaiTi" w:eastAsia="KaiTi"/>
        </w:rPr>
        <w:t>2</w:t>
      </w:r>
      <w:r>
        <w:rPr>
          <w:rFonts w:ascii="KaiTi" w:hAnsi="KaiTi" w:eastAsia="KaiTi"/>
        </w:rPr>
        <w:t>018</w:t>
      </w:r>
      <w:r>
        <w:rPr>
          <w:rFonts w:hint="eastAsia" w:ascii="KaiTi" w:hAnsi="KaiTi" w:eastAsia="KaiTi"/>
        </w:rPr>
        <w:t>年经营活动产生的现金流量净额上涨了</w:t>
      </w:r>
      <w:r>
        <w:rPr>
          <w:rFonts w:ascii="KaiTi" w:hAnsi="KaiTi" w:eastAsia="KaiTi"/>
          <w:u w:val="single"/>
        </w:rPr>
        <w:t xml:space="preserve">    </w:t>
      </w:r>
      <w:r>
        <w:rPr>
          <w:rFonts w:hint="eastAsia" w:ascii="KaiTi" w:hAnsi="KaiTi" w:eastAsia="KaiTi"/>
        </w:rPr>
        <w:t>%，增幅较大，我们也查找一下原因。</w:t>
      </w:r>
    </w:p>
    <w:p>
      <w:pPr>
        <w:pStyle w:val="36"/>
      </w:pPr>
      <w:r>
        <w:rPr>
          <w:rFonts w:hint="eastAsia"/>
        </w:rPr>
        <w:t>我们先来查看2018年合并现金流量表</w:t>
      </w:r>
    </w:p>
    <w:p>
      <w:pPr>
        <w:adjustRightInd w:val="0"/>
        <w:snapToGrid w:val="0"/>
        <w:spacing w:line="360" w:lineRule="auto"/>
        <w:rPr>
          <w:rFonts w:ascii="KaiTi" w:hAnsi="KaiTi" w:eastAsia="KaiTi"/>
          <w:bCs/>
          <w:color w:val="000000" w:themeColor="text1"/>
          <w14:textFill>
            <w14:solidFill>
              <w14:schemeClr w14:val="tx1"/>
            </w14:solidFill>
          </w14:textFill>
        </w:rPr>
      </w:pPr>
      <w:r>
        <w:rPr>
          <w:rFonts w:ascii="KaiTi" w:hAnsi="KaiTi" w:eastAsia="KaiTi"/>
          <w:bCs/>
          <w:color w:val="000000" w:themeColor="text1"/>
          <w14:textFill>
            <w14:solidFill>
              <w14:schemeClr w14:val="tx1"/>
            </w14:solidFill>
          </w14:textFill>
        </w:rPr>
        <w:drawing>
          <wp:inline distT="0" distB="0" distL="0" distR="0">
            <wp:extent cx="5285740" cy="4140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304311" cy="4154652"/>
                    </a:xfrm>
                    <a:prstGeom prst="rect">
                      <a:avLst/>
                    </a:prstGeom>
                    <a:noFill/>
                    <a:ln>
                      <a:noFill/>
                    </a:ln>
                  </pic:spPr>
                </pic:pic>
              </a:graphicData>
            </a:graphic>
          </wp:inline>
        </w:drawing>
      </w:r>
    </w:p>
    <w:p>
      <w:pPr>
        <w:pStyle w:val="36"/>
        <w:ind w:left="120" w:leftChars="50"/>
      </w:pPr>
      <w:r>
        <w:rPr>
          <w:rFonts w:hint="eastAsia"/>
          <w:color w:val="000000" w:themeColor="text1"/>
          <w14:textFill>
            <w14:solidFill>
              <w14:schemeClr w14:val="tx1"/>
            </w14:solidFill>
          </w14:textFill>
        </w:rPr>
        <w:t>2018年</w:t>
      </w:r>
      <w:r>
        <w:rPr>
          <w:rFonts w:hint="eastAsia"/>
        </w:rPr>
        <w:t>经营活动产生的现金流量净额同比增长较大主要系</w:t>
      </w:r>
      <w:r>
        <w:rPr>
          <w:rFonts w:hint="eastAsia"/>
          <w:u w:val="single"/>
        </w:rPr>
        <w:t xml:space="preserve"> </w:t>
      </w:r>
      <w:r>
        <w:rPr>
          <w:u w:val="single"/>
        </w:rPr>
        <w:t xml:space="preserve">         </w:t>
      </w:r>
      <w:r>
        <w:rPr>
          <w:rFonts w:hint="eastAsia"/>
        </w:rPr>
        <w:t>增加以及</w:t>
      </w:r>
      <w:r>
        <w:rPr>
          <w:rFonts w:hint="eastAsia"/>
          <w:u w:val="single"/>
        </w:rPr>
        <w:t xml:space="preserve"> </w:t>
      </w:r>
      <w:r>
        <w:rPr>
          <w:u w:val="single"/>
        </w:rPr>
        <w:t xml:space="preserve">          </w:t>
      </w:r>
      <w:r>
        <w:rPr>
          <w:rFonts w:hint="eastAsia"/>
        </w:rPr>
        <w:t>增加所致，</w:t>
      </w:r>
      <w:r>
        <w:rPr>
          <w:rFonts w:hint="eastAsia"/>
          <w:b/>
          <w:bCs/>
          <w:color w:val="C55A11" w:themeColor="accent2" w:themeShade="BF"/>
        </w:rPr>
        <w:t>（填合并现金流量表上的项目）</w:t>
      </w:r>
      <w:r>
        <w:rPr>
          <w:rFonts w:hint="eastAsia"/>
        </w:rPr>
        <w:t>我们重点关注一下增幅更大的</w:t>
      </w:r>
      <w:r>
        <w:rPr>
          <w:rFonts w:hint="eastAsia"/>
          <w:u w:val="single"/>
        </w:rPr>
        <w:t xml:space="preserve"> </w:t>
      </w:r>
      <w:r>
        <w:rPr>
          <w:u w:val="single"/>
        </w:rPr>
        <w:t xml:space="preserve">      </w:t>
      </w:r>
      <w:r>
        <w:rPr>
          <w:rFonts w:hint="eastAsia"/>
          <w:u w:val="single"/>
        </w:rPr>
        <w:t xml:space="preserve"> </w:t>
      </w:r>
      <w:r>
        <w:rPr>
          <w:u w:val="single"/>
        </w:rPr>
        <w:t xml:space="preserve"> </w:t>
      </w:r>
      <w:r>
        <w:rPr>
          <w:rFonts w:hint="eastAsia"/>
        </w:rPr>
        <w:t>有什么具体内容</w:t>
      </w:r>
      <w:r>
        <w:rPr>
          <w:rFonts w:hint="eastAsia"/>
          <w:b/>
          <w:bCs/>
          <w:color w:val="C55A11" w:themeColor="accent2" w:themeShade="BF"/>
        </w:rPr>
        <w:t>（填合并现金流量表上的项目）</w:t>
      </w:r>
      <w:r>
        <w:rPr>
          <w:rFonts w:hint="eastAsia"/>
        </w:rPr>
        <w:t>，搜索这个项目</w:t>
      </w:r>
    </w:p>
    <w:p>
      <w:pPr>
        <w:spacing w:line="360" w:lineRule="auto"/>
        <w:rPr>
          <w:rFonts w:ascii="KaiTi" w:hAnsi="KaiTi" w:eastAsia="KaiTi"/>
          <w:bCs/>
          <w:color w:val="000000" w:themeColor="text1"/>
          <w14:textFill>
            <w14:solidFill>
              <w14:schemeClr w14:val="tx1"/>
            </w14:solidFill>
          </w14:textFill>
        </w:rPr>
      </w:pPr>
      <w:r>
        <w:rPr>
          <w:rFonts w:ascii="KaiTi" w:hAnsi="KaiTi" w:eastAsia="KaiTi"/>
          <w:bCs/>
          <w:color w:val="000000" w:themeColor="text1"/>
          <w14:textFill>
            <w14:solidFill>
              <w14:schemeClr w14:val="tx1"/>
            </w14:solidFill>
          </w14:textFill>
        </w:rPr>
        <w:drawing>
          <wp:inline distT="0" distB="0" distL="0" distR="0">
            <wp:extent cx="5111750" cy="32842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119303" cy="3289372"/>
                    </a:xfrm>
                    <a:prstGeom prst="rect">
                      <a:avLst/>
                    </a:prstGeom>
                    <a:noFill/>
                    <a:ln>
                      <a:noFill/>
                    </a:ln>
                  </pic:spPr>
                </pic:pic>
              </a:graphicData>
            </a:graphic>
          </wp:inline>
        </w:drawing>
      </w:r>
    </w:p>
    <w:p>
      <w:pPr>
        <w:spacing w:line="360" w:lineRule="auto"/>
        <w:ind w:firstLine="480" w:firstLineChars="200"/>
        <w:rPr>
          <w:rFonts w:ascii="KaiTi" w:hAnsi="KaiTi" w:eastAsia="KaiTi"/>
          <w:bCs/>
          <w:color w:val="000000" w:themeColor="text1"/>
          <w14:textFill>
            <w14:solidFill>
              <w14:schemeClr w14:val="tx1"/>
            </w14:solidFill>
          </w14:textFill>
        </w:rPr>
      </w:pPr>
      <w:r>
        <w:rPr>
          <w:rFonts w:hint="eastAsia" w:ascii="KaiTi" w:hAnsi="KaiTi" w:eastAsia="KaiTi"/>
          <w:bCs/>
          <w:color w:val="000000" w:themeColor="text1"/>
          <w14:textFill>
            <w14:solidFill>
              <w14:schemeClr w14:val="tx1"/>
            </w14:solidFill>
          </w14:textFill>
        </w:rPr>
        <w:t>其中保证金占绝大部分，我们再来搜索“保证金”：</w:t>
      </w:r>
    </w:p>
    <w:p>
      <w:pPr>
        <w:spacing w:line="360" w:lineRule="auto"/>
        <w:rPr>
          <w:rFonts w:ascii="KaiTi" w:hAnsi="KaiTi" w:eastAsia="KaiTi"/>
          <w:bCs/>
          <w:color w:val="000000" w:themeColor="text1"/>
          <w14:textFill>
            <w14:solidFill>
              <w14:schemeClr w14:val="tx1"/>
            </w14:solidFill>
          </w14:textFill>
        </w:rPr>
      </w:pPr>
      <w:r>
        <w:rPr>
          <w:rFonts w:ascii="KaiTi" w:hAnsi="KaiTi" w:eastAsia="KaiTi"/>
          <w:bCs/>
          <w:color w:val="000000" w:themeColor="text1"/>
          <w14:textFill>
            <w14:solidFill>
              <w14:schemeClr w14:val="tx1"/>
            </w14:solidFill>
          </w14:textFill>
        </w:rPr>
        <w:drawing>
          <wp:inline distT="0" distB="0" distL="0" distR="0">
            <wp:extent cx="5107940" cy="25463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111463" cy="2548012"/>
                    </a:xfrm>
                    <a:prstGeom prst="rect">
                      <a:avLst/>
                    </a:prstGeom>
                    <a:noFill/>
                    <a:ln>
                      <a:noFill/>
                    </a:ln>
                  </pic:spPr>
                </pic:pic>
              </a:graphicData>
            </a:graphic>
          </wp:inline>
        </w:drawing>
      </w:r>
    </w:p>
    <w:p>
      <w:pPr>
        <w:pStyle w:val="36"/>
      </w:pPr>
      <w:r>
        <w:rPr>
          <w:rFonts w:hint="eastAsia"/>
        </w:rPr>
        <w:t>我们可以看出来增加的10亿保证金，主要系经销商保证金，是正常的。经销保证金，比如一个洋河酒厂供应一个区域的产品，这片区域主要有两个经销商：A和B，为了不让两个经销商恶意竞争、扰乱市场，需要向供应商交一笔保证金，一旦发现有违规操作，如A经销商过分降价销售（这种情况非常不利于品牌建立）供应商就要没收保证金。</w:t>
      </w:r>
    </w:p>
    <w:p>
      <w:pPr>
        <w:pStyle w:val="34"/>
        <w:spacing w:line="360" w:lineRule="auto"/>
      </w:pPr>
      <w:r>
        <w:rPr>
          <w:rFonts w:hint="eastAsia"/>
        </w:rPr>
        <w:t>4.根据分析得出结论</w:t>
      </w:r>
    </w:p>
    <w:p>
      <w:pPr>
        <w:pStyle w:val="36"/>
      </w:pPr>
      <w:r>
        <w:rPr>
          <w:rFonts w:hint="eastAsia"/>
          <w:color w:val="000000" w:themeColor="text1"/>
          <w14:textFill>
            <w14:solidFill>
              <w14:schemeClr w14:val="tx1"/>
            </w14:solidFill>
          </w14:textFill>
        </w:rPr>
        <w:t>洋河股份</w:t>
      </w:r>
      <w:r>
        <w:rPr>
          <w:rFonts w:hint="eastAsia"/>
        </w:rPr>
        <w:t>经营活动产生的现金流量净额表明其</w:t>
      </w:r>
      <w:r>
        <w:rPr>
          <w:rFonts w:hint="eastAsia"/>
          <w:u w:val="single"/>
        </w:rPr>
        <w:t xml:space="preserve"> </w:t>
      </w:r>
      <w:r>
        <w:rPr>
          <w:u w:val="single"/>
        </w:rPr>
        <w:t xml:space="preserve">    </w:t>
      </w:r>
      <w:r>
        <w:rPr>
          <w:rFonts w:hint="eastAsia"/>
          <w:b/>
          <w:bCs/>
          <w:color w:val="C55A11" w:themeColor="accent2" w:themeShade="BF"/>
        </w:rPr>
        <w:t>（参照以上经营活动产生的现金流量净额的思维导图得出结论，选项：具有造血能力或缺乏造血能力）</w:t>
      </w:r>
      <w:r>
        <w:rPr>
          <w:rFonts w:hint="eastAsia"/>
        </w:rPr>
        <w:t>，2</w:t>
      </w:r>
      <w:r>
        <w:t>020</w:t>
      </w:r>
      <w:r>
        <w:rPr>
          <w:rFonts w:hint="eastAsia"/>
        </w:rPr>
        <w:t>年造血能力有所</w:t>
      </w:r>
      <w:r>
        <w:rPr>
          <w:rFonts w:hint="eastAsia"/>
          <w:u w:val="single"/>
        </w:rPr>
        <w:t xml:space="preserve"> </w:t>
      </w:r>
      <w:r>
        <w:rPr>
          <w:u w:val="single"/>
        </w:rPr>
        <w:t xml:space="preserve">    </w:t>
      </w:r>
      <w:r>
        <w:rPr>
          <w:rFonts w:hint="eastAsia"/>
          <w:b/>
          <w:bCs/>
          <w:color w:val="C55A11" w:themeColor="accent2" w:themeShade="BF"/>
        </w:rPr>
        <w:t>（参照以上经营活动产生的现金流量净额的思维导图得出结论，选项：上升或下降）。</w:t>
      </w:r>
    </w:p>
    <w:p>
      <w:pPr>
        <w:pStyle w:val="4"/>
        <w:spacing w:line="360" w:lineRule="auto"/>
        <w:rPr>
          <w:rFonts w:ascii="KaiTi" w:hAnsi="KaiTi" w:eastAsia="KaiTi"/>
        </w:rPr>
      </w:pPr>
      <w:r>
        <w:rPr>
          <w:rFonts w:hint="eastAsia" w:ascii="KaiTi" w:hAnsi="KaiTi" w:eastAsia="KaiTi"/>
        </w:rPr>
        <w:t>第二步、看购建固定资产、无形资产和其他长期资产支付的现金</w:t>
      </w:r>
    </w:p>
    <w:p>
      <w:pPr>
        <w:pStyle w:val="34"/>
        <w:spacing w:line="360" w:lineRule="auto"/>
      </w:pPr>
      <w:r>
        <w:rPr>
          <w:rFonts w:hint="eastAsia"/>
        </w:rPr>
        <w:t>1</w:t>
      </w:r>
      <w:r>
        <w:t>.分析思路：</w:t>
      </w:r>
    </w:p>
    <w:p>
      <w:pPr>
        <w:spacing w:line="360" w:lineRule="auto"/>
        <w:rPr>
          <w:rFonts w:ascii="KaiTi" w:hAnsi="KaiTi" w:eastAsia="KaiTi"/>
        </w:rPr>
      </w:pPr>
      <w:r>
        <w:rPr>
          <w:rFonts w:ascii="KaiTi" w:hAnsi="KaiTi" w:eastAsia="KaiTi"/>
          <w:b/>
        </w:rPr>
        <w:drawing>
          <wp:inline distT="0" distB="0" distL="0" distR="0">
            <wp:extent cx="5236210" cy="17697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406263" cy="1827770"/>
                    </a:xfrm>
                    <a:prstGeom prst="rect">
                      <a:avLst/>
                    </a:prstGeom>
                    <a:noFill/>
                    <a:ln>
                      <a:noFill/>
                    </a:ln>
                  </pic:spPr>
                </pic:pic>
              </a:graphicData>
            </a:graphic>
          </wp:inline>
        </w:drawing>
      </w:r>
    </w:p>
    <w:p>
      <w:pPr>
        <w:pStyle w:val="34"/>
        <w:spacing w:line="360" w:lineRule="auto"/>
      </w:pPr>
      <w:r>
        <w:rPr>
          <w:rFonts w:hint="eastAsia"/>
        </w:rPr>
        <w:t>2</w:t>
      </w:r>
      <w:r>
        <w:t>.</w:t>
      </w:r>
      <w:bookmarkStart w:id="1" w:name="_Hlk45877664"/>
      <w:r>
        <w:rPr>
          <w:rFonts w:hint="eastAsia"/>
        </w:rPr>
        <w:t>数据收集汇总：</w:t>
      </w:r>
      <w:bookmarkEnd w:id="1"/>
      <w:r>
        <w:rPr>
          <w:rFonts w:hint="eastAsia"/>
        </w:rPr>
        <w:t>购建固定资产、无形资产和其他长期资产支付的现金、经营活动产生的现金流量净额，并计算购建固定资产、无形资产和其他长期资产支付的现金与经营活动产生的现金流量净额的比值</w:t>
      </w:r>
    </w:p>
    <w:p>
      <w:pPr>
        <w:spacing w:line="360" w:lineRule="auto"/>
        <w:ind w:firstLine="6486" w:firstLineChars="2700"/>
        <w:rPr>
          <w:rFonts w:ascii="KaiTi" w:hAnsi="KaiTi" w:eastAsia="KaiTi"/>
          <w:b/>
          <w:bCs/>
        </w:rPr>
      </w:pPr>
      <w:r>
        <w:rPr>
          <w:rFonts w:hint="eastAsia" w:ascii="KaiTi" w:hAnsi="KaiTi" w:eastAsia="KaiTi"/>
          <w:b/>
          <w:bCs/>
        </w:rPr>
        <w:t>单位：亿元</w:t>
      </w:r>
    </w:p>
    <w:tbl>
      <w:tblPr>
        <w:tblStyle w:val="14"/>
        <w:tblW w:w="9600" w:type="dxa"/>
        <w:tblInd w:w="0" w:type="dxa"/>
        <w:tblLayout w:type="fixed"/>
        <w:tblCellMar>
          <w:top w:w="0" w:type="dxa"/>
          <w:left w:w="108" w:type="dxa"/>
          <w:bottom w:w="0" w:type="dxa"/>
          <w:right w:w="108" w:type="dxa"/>
        </w:tblCellMar>
      </w:tblPr>
      <w:tblGrid>
        <w:gridCol w:w="2581"/>
        <w:gridCol w:w="957"/>
        <w:gridCol w:w="957"/>
        <w:gridCol w:w="957"/>
        <w:gridCol w:w="957"/>
        <w:gridCol w:w="957"/>
        <w:gridCol w:w="2234"/>
      </w:tblGrid>
      <w:tr>
        <w:tblPrEx>
          <w:tblLayout w:type="fixed"/>
          <w:tblCellMar>
            <w:top w:w="0" w:type="dxa"/>
            <w:left w:w="108" w:type="dxa"/>
            <w:bottom w:w="0" w:type="dxa"/>
            <w:right w:w="108" w:type="dxa"/>
          </w:tblCellMar>
        </w:tblPrEx>
        <w:trPr>
          <w:trHeight w:val="454" w:hRule="atLeast"/>
        </w:trPr>
        <w:tc>
          <w:tcPr>
            <w:tcW w:w="2581" w:type="dxa"/>
            <w:tcBorders>
              <w:top w:val="single" w:color="auto" w:sz="4" w:space="0"/>
              <w:left w:val="single" w:color="auto" w:sz="4" w:space="0"/>
              <w:bottom w:val="single" w:color="auto" w:sz="4" w:space="0"/>
              <w:right w:val="single" w:color="auto" w:sz="4" w:space="0"/>
            </w:tcBorders>
            <w:shd w:val="clear" w:color="000000" w:fill="4F81BD"/>
            <w:vAlign w:val="center"/>
          </w:tcPr>
          <w:p>
            <w:pPr>
              <w:jc w:val="center"/>
              <w:rPr>
                <w:rFonts w:ascii="KaiTi" w:hAnsi="KaiTi" w:eastAsia="KaiTi"/>
                <w:b/>
                <w:bCs/>
                <w:color w:val="FFFFFF"/>
                <w:sz w:val="20"/>
                <w:szCs w:val="20"/>
              </w:rPr>
            </w:pPr>
            <w:bookmarkStart w:id="2" w:name="_Hlk71660819"/>
            <w:r>
              <w:rPr>
                <w:rFonts w:hint="eastAsia" w:ascii="KaiTi" w:hAnsi="KaiTi" w:eastAsia="KaiTi"/>
                <w:b/>
                <w:bCs/>
                <w:color w:val="FFFFFF"/>
                <w:sz w:val="20"/>
                <w:szCs w:val="20"/>
              </w:rPr>
              <w:t>看公司增长潜力</w:t>
            </w:r>
          </w:p>
        </w:tc>
        <w:tc>
          <w:tcPr>
            <w:tcW w:w="957" w:type="dxa"/>
            <w:tcBorders>
              <w:top w:val="single" w:color="auto" w:sz="4" w:space="0"/>
              <w:left w:val="nil"/>
              <w:bottom w:val="single" w:color="auto" w:sz="4" w:space="0"/>
              <w:right w:val="single" w:color="auto" w:sz="4" w:space="0"/>
            </w:tcBorders>
            <w:shd w:val="clear" w:color="000000" w:fill="4F81BD"/>
            <w:vAlign w:val="center"/>
          </w:tcPr>
          <w:p>
            <w:pPr>
              <w:jc w:val="center"/>
              <w:rPr>
                <w:rFonts w:ascii="KaiTi" w:hAnsi="KaiTi" w:eastAsia="KaiTi"/>
                <w:b/>
                <w:bCs/>
                <w:color w:val="FFFFFF"/>
                <w:sz w:val="20"/>
                <w:szCs w:val="20"/>
              </w:rPr>
            </w:pPr>
            <w:r>
              <w:rPr>
                <w:rFonts w:hint="eastAsia" w:ascii="KaiTi" w:hAnsi="KaiTi" w:eastAsia="KaiTi"/>
                <w:b/>
                <w:bCs/>
                <w:color w:val="FFFFFF"/>
                <w:sz w:val="20"/>
                <w:szCs w:val="20"/>
              </w:rPr>
              <w:t>2016</w:t>
            </w:r>
          </w:p>
        </w:tc>
        <w:tc>
          <w:tcPr>
            <w:tcW w:w="957" w:type="dxa"/>
            <w:tcBorders>
              <w:top w:val="single" w:color="auto" w:sz="4" w:space="0"/>
              <w:left w:val="nil"/>
              <w:bottom w:val="single" w:color="auto" w:sz="4" w:space="0"/>
              <w:right w:val="single" w:color="auto" w:sz="4" w:space="0"/>
            </w:tcBorders>
            <w:shd w:val="clear" w:color="000000" w:fill="4F81BD"/>
            <w:vAlign w:val="center"/>
          </w:tcPr>
          <w:p>
            <w:pPr>
              <w:jc w:val="center"/>
              <w:rPr>
                <w:rFonts w:ascii="KaiTi" w:hAnsi="KaiTi" w:eastAsia="KaiTi"/>
                <w:b/>
                <w:bCs/>
                <w:color w:val="FFFFFF"/>
                <w:sz w:val="20"/>
                <w:szCs w:val="20"/>
              </w:rPr>
            </w:pPr>
            <w:r>
              <w:rPr>
                <w:rFonts w:hint="eastAsia" w:ascii="KaiTi" w:hAnsi="KaiTi" w:eastAsia="KaiTi"/>
                <w:b/>
                <w:bCs/>
                <w:color w:val="FFFFFF"/>
                <w:sz w:val="20"/>
                <w:szCs w:val="20"/>
              </w:rPr>
              <w:t>2017</w:t>
            </w:r>
          </w:p>
        </w:tc>
        <w:tc>
          <w:tcPr>
            <w:tcW w:w="957" w:type="dxa"/>
            <w:tcBorders>
              <w:top w:val="single" w:color="auto" w:sz="4" w:space="0"/>
              <w:left w:val="nil"/>
              <w:bottom w:val="single" w:color="auto" w:sz="4" w:space="0"/>
              <w:right w:val="single" w:color="auto" w:sz="4" w:space="0"/>
            </w:tcBorders>
            <w:shd w:val="clear" w:color="000000" w:fill="4F81BD"/>
            <w:vAlign w:val="center"/>
          </w:tcPr>
          <w:p>
            <w:pPr>
              <w:jc w:val="center"/>
              <w:rPr>
                <w:rFonts w:ascii="KaiTi" w:hAnsi="KaiTi" w:eastAsia="KaiTi"/>
                <w:b/>
                <w:bCs/>
                <w:color w:val="FFFFFF"/>
                <w:sz w:val="20"/>
                <w:szCs w:val="20"/>
              </w:rPr>
            </w:pPr>
            <w:r>
              <w:rPr>
                <w:rFonts w:hint="eastAsia" w:ascii="KaiTi" w:hAnsi="KaiTi" w:eastAsia="KaiTi"/>
                <w:b/>
                <w:bCs/>
                <w:color w:val="FFFFFF"/>
                <w:sz w:val="20"/>
                <w:szCs w:val="20"/>
              </w:rPr>
              <w:t>2018</w:t>
            </w:r>
          </w:p>
        </w:tc>
        <w:tc>
          <w:tcPr>
            <w:tcW w:w="957" w:type="dxa"/>
            <w:tcBorders>
              <w:top w:val="single" w:color="auto" w:sz="4" w:space="0"/>
              <w:left w:val="nil"/>
              <w:bottom w:val="single" w:color="auto" w:sz="4" w:space="0"/>
              <w:right w:val="single" w:color="auto" w:sz="4" w:space="0"/>
            </w:tcBorders>
            <w:shd w:val="clear" w:color="000000" w:fill="4F81BD"/>
            <w:vAlign w:val="center"/>
          </w:tcPr>
          <w:p>
            <w:pPr>
              <w:jc w:val="center"/>
              <w:rPr>
                <w:rFonts w:ascii="KaiTi" w:hAnsi="KaiTi" w:eastAsia="KaiTi"/>
                <w:b/>
                <w:bCs/>
                <w:color w:val="FFFFFF"/>
                <w:sz w:val="20"/>
                <w:szCs w:val="20"/>
              </w:rPr>
            </w:pPr>
            <w:r>
              <w:rPr>
                <w:rFonts w:hint="eastAsia" w:ascii="KaiTi" w:hAnsi="KaiTi" w:eastAsia="KaiTi"/>
                <w:b/>
                <w:bCs/>
                <w:color w:val="FFFFFF"/>
                <w:sz w:val="20"/>
                <w:szCs w:val="20"/>
              </w:rPr>
              <w:t>2019</w:t>
            </w:r>
          </w:p>
        </w:tc>
        <w:tc>
          <w:tcPr>
            <w:tcW w:w="957" w:type="dxa"/>
            <w:tcBorders>
              <w:top w:val="single" w:color="auto" w:sz="4" w:space="0"/>
              <w:left w:val="nil"/>
              <w:bottom w:val="single" w:color="auto" w:sz="4" w:space="0"/>
              <w:right w:val="single" w:color="auto" w:sz="4" w:space="0"/>
            </w:tcBorders>
            <w:shd w:val="clear" w:color="000000" w:fill="4F81BD"/>
            <w:vAlign w:val="center"/>
          </w:tcPr>
          <w:p>
            <w:pPr>
              <w:jc w:val="center"/>
              <w:rPr>
                <w:rFonts w:ascii="KaiTi" w:hAnsi="KaiTi" w:eastAsia="KaiTi"/>
                <w:b/>
                <w:bCs/>
                <w:color w:val="FFFFFF"/>
                <w:sz w:val="20"/>
                <w:szCs w:val="20"/>
              </w:rPr>
            </w:pPr>
            <w:r>
              <w:rPr>
                <w:rFonts w:hint="eastAsia" w:ascii="KaiTi" w:hAnsi="KaiTi" w:eastAsia="KaiTi"/>
                <w:b/>
                <w:bCs/>
                <w:color w:val="FFFFFF"/>
                <w:sz w:val="20"/>
                <w:szCs w:val="20"/>
              </w:rPr>
              <w:t>2020</w:t>
            </w:r>
          </w:p>
        </w:tc>
        <w:tc>
          <w:tcPr>
            <w:tcW w:w="2234" w:type="dxa"/>
            <w:tcBorders>
              <w:top w:val="nil"/>
              <w:left w:val="nil"/>
              <w:bottom w:val="nil"/>
              <w:right w:val="nil"/>
            </w:tcBorders>
            <w:shd w:val="clear" w:color="auto" w:fill="auto"/>
            <w:noWrap/>
            <w:vAlign w:val="bottom"/>
          </w:tcPr>
          <w:p>
            <w:pPr>
              <w:jc w:val="center"/>
              <w:rPr>
                <w:rFonts w:ascii="KaiTi" w:hAnsi="KaiTi" w:eastAsia="KaiTi"/>
                <w:b/>
                <w:bCs/>
                <w:color w:val="FFFFFF"/>
                <w:sz w:val="20"/>
                <w:szCs w:val="20"/>
              </w:rPr>
            </w:pPr>
          </w:p>
        </w:tc>
      </w:tr>
      <w:tr>
        <w:tblPrEx>
          <w:tblLayout w:type="fixed"/>
          <w:tblCellMar>
            <w:top w:w="0" w:type="dxa"/>
            <w:left w:w="108" w:type="dxa"/>
            <w:bottom w:w="0" w:type="dxa"/>
            <w:right w:w="108" w:type="dxa"/>
          </w:tblCellMar>
        </w:tblPrEx>
        <w:trPr>
          <w:trHeight w:val="454" w:hRule="atLeast"/>
        </w:trPr>
        <w:tc>
          <w:tcPr>
            <w:tcW w:w="2581" w:type="dxa"/>
            <w:tcBorders>
              <w:top w:val="nil"/>
              <w:left w:val="single" w:color="auto" w:sz="4" w:space="0"/>
              <w:bottom w:val="single" w:color="auto" w:sz="4" w:space="0"/>
              <w:right w:val="single" w:color="auto" w:sz="4" w:space="0"/>
            </w:tcBorders>
            <w:shd w:val="clear" w:color="auto" w:fill="auto"/>
            <w:vAlign w:val="center"/>
          </w:tcPr>
          <w:p>
            <w:pPr>
              <w:jc w:val="center"/>
              <w:rPr>
                <w:rFonts w:ascii="KaiTi" w:hAnsi="KaiTi" w:eastAsia="KaiTi"/>
                <w:color w:val="000000"/>
                <w:sz w:val="18"/>
                <w:szCs w:val="18"/>
              </w:rPr>
            </w:pPr>
            <w:r>
              <w:rPr>
                <w:rFonts w:hint="eastAsia" w:ascii="KaiTi" w:hAnsi="KaiTi" w:eastAsia="KaiTi"/>
                <w:color w:val="000000"/>
                <w:sz w:val="18"/>
                <w:szCs w:val="18"/>
              </w:rPr>
              <w:t>购建固定资产、无形资产和其他长期资产支付的现金</w:t>
            </w:r>
          </w:p>
        </w:tc>
        <w:tc>
          <w:tcPr>
            <w:tcW w:w="957"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olor w:val="000000"/>
                <w:sz w:val="18"/>
                <w:szCs w:val="18"/>
              </w:rPr>
            </w:pPr>
            <w:r>
              <w:rPr>
                <w:rFonts w:hint="eastAsia" w:ascii="KaiTi" w:hAnsi="KaiTi" w:eastAsia="KaiTi"/>
                <w:color w:val="000000"/>
                <w:sz w:val="18"/>
                <w:szCs w:val="18"/>
              </w:rPr>
              <w:t>4.8</w:t>
            </w:r>
          </w:p>
        </w:tc>
        <w:tc>
          <w:tcPr>
            <w:tcW w:w="957"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olor w:val="000000"/>
                <w:sz w:val="20"/>
                <w:szCs w:val="20"/>
              </w:rPr>
            </w:pPr>
            <w:r>
              <w:rPr>
                <w:rFonts w:hint="eastAsia" w:ascii="KaiTi" w:hAnsi="KaiTi" w:eastAsia="KaiTi"/>
                <w:color w:val="000000"/>
                <w:sz w:val="20"/>
                <w:szCs w:val="20"/>
              </w:rPr>
              <w:t>3.25</w:t>
            </w:r>
          </w:p>
        </w:tc>
        <w:tc>
          <w:tcPr>
            <w:tcW w:w="957"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olor w:val="000000"/>
                <w:sz w:val="20"/>
                <w:szCs w:val="20"/>
              </w:rPr>
            </w:pPr>
            <w:r>
              <w:rPr>
                <w:rFonts w:hint="eastAsia" w:ascii="KaiTi" w:hAnsi="KaiTi" w:eastAsia="KaiTi"/>
                <w:color w:val="000000"/>
                <w:sz w:val="20"/>
                <w:szCs w:val="20"/>
              </w:rPr>
              <w:t>4.71</w:t>
            </w:r>
          </w:p>
        </w:tc>
        <w:tc>
          <w:tcPr>
            <w:tcW w:w="957"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olor w:val="000000"/>
                <w:sz w:val="20"/>
                <w:szCs w:val="20"/>
              </w:rPr>
            </w:pPr>
            <w:r>
              <w:rPr>
                <w:rFonts w:hint="eastAsia" w:ascii="KaiTi" w:hAnsi="KaiTi" w:eastAsia="KaiTi"/>
                <w:color w:val="000000"/>
                <w:sz w:val="20"/>
                <w:szCs w:val="20"/>
              </w:rPr>
              <w:t>3.17</w:t>
            </w:r>
          </w:p>
        </w:tc>
        <w:tc>
          <w:tcPr>
            <w:tcW w:w="957" w:type="dxa"/>
            <w:tcBorders>
              <w:top w:val="nil"/>
              <w:left w:val="nil"/>
              <w:bottom w:val="single" w:color="auto" w:sz="4" w:space="0"/>
              <w:right w:val="single" w:color="auto" w:sz="4" w:space="0"/>
            </w:tcBorders>
            <w:shd w:val="clear" w:color="000000" w:fill="FFFF00"/>
            <w:noWrap/>
            <w:vAlign w:val="center"/>
          </w:tcPr>
          <w:p>
            <w:pPr>
              <w:jc w:val="right"/>
              <w:rPr>
                <w:rFonts w:ascii="KaiTi" w:hAnsi="KaiTi" w:eastAsia="KaiTi"/>
                <w:color w:val="000000"/>
                <w:sz w:val="20"/>
                <w:szCs w:val="20"/>
              </w:rPr>
            </w:pPr>
          </w:p>
        </w:tc>
        <w:tc>
          <w:tcPr>
            <w:tcW w:w="2234" w:type="dxa"/>
            <w:tcBorders>
              <w:top w:val="nil"/>
              <w:left w:val="nil"/>
              <w:bottom w:val="nil"/>
              <w:right w:val="nil"/>
            </w:tcBorders>
            <w:shd w:val="clear" w:color="auto" w:fill="auto"/>
            <w:noWrap/>
            <w:vAlign w:val="center"/>
          </w:tcPr>
          <w:p>
            <w:pPr>
              <w:rPr>
                <w:rFonts w:ascii="KaiTi" w:hAnsi="KaiTi" w:eastAsia="KaiTi"/>
                <w:color w:val="2F75B5"/>
                <w:sz w:val="22"/>
                <w:szCs w:val="22"/>
              </w:rPr>
            </w:pPr>
            <w:r>
              <w:rPr>
                <w:rFonts w:hint="eastAsia" w:ascii="KaiTi" w:hAnsi="KaiTi" w:eastAsia="KaiTi"/>
                <w:color w:val="2F75B5"/>
                <w:sz w:val="22"/>
                <w:szCs w:val="22"/>
              </w:rPr>
              <w:t xml:space="preserve"> 解析2 </w:t>
            </w:r>
          </w:p>
        </w:tc>
      </w:tr>
      <w:tr>
        <w:tblPrEx>
          <w:tblLayout w:type="fixed"/>
          <w:tblCellMar>
            <w:top w:w="0" w:type="dxa"/>
            <w:left w:w="108" w:type="dxa"/>
            <w:bottom w:w="0" w:type="dxa"/>
            <w:right w:w="108" w:type="dxa"/>
          </w:tblCellMar>
        </w:tblPrEx>
        <w:trPr>
          <w:trHeight w:val="454" w:hRule="atLeast"/>
        </w:trPr>
        <w:tc>
          <w:tcPr>
            <w:tcW w:w="2581" w:type="dxa"/>
            <w:tcBorders>
              <w:top w:val="nil"/>
              <w:left w:val="single" w:color="auto" w:sz="4" w:space="0"/>
              <w:bottom w:val="single" w:color="auto" w:sz="4" w:space="0"/>
              <w:right w:val="single" w:color="auto" w:sz="4" w:space="0"/>
            </w:tcBorders>
            <w:shd w:val="clear" w:color="auto" w:fill="auto"/>
            <w:vAlign w:val="center"/>
          </w:tcPr>
          <w:p>
            <w:pPr>
              <w:jc w:val="center"/>
              <w:rPr>
                <w:rFonts w:ascii="KaiTi" w:hAnsi="KaiTi" w:eastAsia="KaiTi"/>
                <w:color w:val="000000"/>
                <w:sz w:val="18"/>
                <w:szCs w:val="18"/>
              </w:rPr>
            </w:pPr>
            <w:r>
              <w:rPr>
                <w:rFonts w:hint="eastAsia" w:ascii="KaiTi" w:hAnsi="KaiTi" w:eastAsia="KaiTi"/>
                <w:color w:val="000000"/>
                <w:sz w:val="18"/>
                <w:szCs w:val="18"/>
              </w:rPr>
              <w:t>经营活动产生的现金流量净额</w:t>
            </w:r>
          </w:p>
        </w:tc>
        <w:tc>
          <w:tcPr>
            <w:tcW w:w="957"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olor w:val="000000"/>
                <w:sz w:val="20"/>
                <w:szCs w:val="20"/>
              </w:rPr>
            </w:pPr>
            <w:r>
              <w:rPr>
                <w:rFonts w:hint="eastAsia" w:ascii="KaiTi" w:hAnsi="KaiTi" w:eastAsia="KaiTi"/>
                <w:color w:val="000000"/>
                <w:sz w:val="20"/>
                <w:szCs w:val="20"/>
              </w:rPr>
              <w:t>74.05</w:t>
            </w:r>
          </w:p>
        </w:tc>
        <w:tc>
          <w:tcPr>
            <w:tcW w:w="957"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olor w:val="000000"/>
                <w:sz w:val="20"/>
                <w:szCs w:val="20"/>
              </w:rPr>
            </w:pPr>
            <w:r>
              <w:rPr>
                <w:rFonts w:hint="eastAsia" w:ascii="KaiTi" w:hAnsi="KaiTi" w:eastAsia="KaiTi"/>
                <w:color w:val="000000"/>
                <w:sz w:val="20"/>
                <w:szCs w:val="20"/>
              </w:rPr>
              <w:t>68.83</w:t>
            </w:r>
          </w:p>
        </w:tc>
        <w:tc>
          <w:tcPr>
            <w:tcW w:w="957"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olor w:val="000000"/>
                <w:sz w:val="20"/>
                <w:szCs w:val="20"/>
              </w:rPr>
            </w:pPr>
            <w:r>
              <w:rPr>
                <w:rFonts w:hint="eastAsia" w:ascii="KaiTi" w:hAnsi="KaiTi" w:eastAsia="KaiTi"/>
                <w:color w:val="000000"/>
                <w:sz w:val="20"/>
                <w:szCs w:val="20"/>
              </w:rPr>
              <w:t>90.57</w:t>
            </w:r>
          </w:p>
        </w:tc>
        <w:tc>
          <w:tcPr>
            <w:tcW w:w="957"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olor w:val="000000"/>
                <w:sz w:val="20"/>
                <w:szCs w:val="20"/>
              </w:rPr>
            </w:pPr>
            <w:r>
              <w:rPr>
                <w:rFonts w:hint="eastAsia" w:ascii="KaiTi" w:hAnsi="KaiTi" w:eastAsia="KaiTi"/>
                <w:color w:val="000000"/>
                <w:sz w:val="20"/>
                <w:szCs w:val="20"/>
              </w:rPr>
              <w:t>67.98</w:t>
            </w:r>
          </w:p>
        </w:tc>
        <w:tc>
          <w:tcPr>
            <w:tcW w:w="957" w:type="dxa"/>
            <w:tcBorders>
              <w:top w:val="nil"/>
              <w:left w:val="nil"/>
              <w:bottom w:val="single" w:color="auto" w:sz="4" w:space="0"/>
              <w:right w:val="single" w:color="auto" w:sz="4" w:space="0"/>
            </w:tcBorders>
            <w:shd w:val="clear" w:color="000000" w:fill="FFFF00"/>
            <w:noWrap/>
            <w:vAlign w:val="center"/>
          </w:tcPr>
          <w:p>
            <w:pPr>
              <w:jc w:val="right"/>
              <w:rPr>
                <w:rFonts w:ascii="KaiTi" w:hAnsi="KaiTi" w:eastAsia="KaiTi"/>
                <w:color w:val="000000"/>
                <w:sz w:val="20"/>
                <w:szCs w:val="20"/>
              </w:rPr>
            </w:pPr>
          </w:p>
        </w:tc>
        <w:tc>
          <w:tcPr>
            <w:tcW w:w="2234" w:type="dxa"/>
            <w:tcBorders>
              <w:top w:val="nil"/>
              <w:left w:val="nil"/>
              <w:bottom w:val="nil"/>
              <w:right w:val="nil"/>
            </w:tcBorders>
            <w:shd w:val="clear" w:color="auto" w:fill="auto"/>
            <w:noWrap/>
            <w:vAlign w:val="center"/>
          </w:tcPr>
          <w:p>
            <w:pPr>
              <w:rPr>
                <w:rFonts w:ascii="KaiTi" w:hAnsi="KaiTi" w:eastAsia="KaiTi"/>
                <w:color w:val="2F75B5"/>
                <w:sz w:val="22"/>
                <w:szCs w:val="22"/>
              </w:rPr>
            </w:pPr>
            <w:r>
              <w:rPr>
                <w:rFonts w:hint="eastAsia" w:ascii="KaiTi" w:hAnsi="KaiTi" w:eastAsia="KaiTi"/>
                <w:color w:val="2F75B5"/>
                <w:sz w:val="22"/>
                <w:szCs w:val="22"/>
              </w:rPr>
              <w:t xml:space="preserve"> 上一步已查找 </w:t>
            </w:r>
          </w:p>
        </w:tc>
      </w:tr>
      <w:tr>
        <w:tblPrEx>
          <w:tblLayout w:type="fixed"/>
          <w:tblCellMar>
            <w:top w:w="0" w:type="dxa"/>
            <w:left w:w="108" w:type="dxa"/>
            <w:bottom w:w="0" w:type="dxa"/>
            <w:right w:w="108" w:type="dxa"/>
          </w:tblCellMar>
        </w:tblPrEx>
        <w:trPr>
          <w:trHeight w:val="454" w:hRule="atLeast"/>
        </w:trPr>
        <w:tc>
          <w:tcPr>
            <w:tcW w:w="2581" w:type="dxa"/>
            <w:tcBorders>
              <w:top w:val="nil"/>
              <w:left w:val="single" w:color="auto" w:sz="4" w:space="0"/>
              <w:bottom w:val="single" w:color="auto" w:sz="4" w:space="0"/>
              <w:right w:val="single" w:color="auto" w:sz="4" w:space="0"/>
            </w:tcBorders>
            <w:shd w:val="clear" w:color="auto" w:fill="auto"/>
            <w:vAlign w:val="center"/>
          </w:tcPr>
          <w:p>
            <w:pPr>
              <w:jc w:val="center"/>
              <w:rPr>
                <w:rFonts w:ascii="KaiTi" w:hAnsi="KaiTi" w:eastAsia="KaiTi"/>
                <w:color w:val="000000"/>
                <w:sz w:val="18"/>
                <w:szCs w:val="18"/>
              </w:rPr>
            </w:pPr>
            <w:r>
              <w:rPr>
                <w:rFonts w:hint="eastAsia" w:ascii="KaiTi" w:hAnsi="KaiTi" w:eastAsia="KaiTi"/>
                <w:color w:val="000000"/>
                <w:sz w:val="18"/>
                <w:szCs w:val="18"/>
              </w:rPr>
              <w:t>投资占经营净现金流的比例</w:t>
            </w:r>
          </w:p>
        </w:tc>
        <w:tc>
          <w:tcPr>
            <w:tcW w:w="957"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olor w:val="000000"/>
                <w:sz w:val="20"/>
                <w:szCs w:val="20"/>
              </w:rPr>
            </w:pPr>
            <w:r>
              <w:rPr>
                <w:rFonts w:hint="eastAsia" w:ascii="KaiTi" w:hAnsi="KaiTi" w:eastAsia="KaiTi"/>
                <w:color w:val="000000"/>
                <w:sz w:val="20"/>
                <w:szCs w:val="20"/>
              </w:rPr>
              <w:t>6.48%</w:t>
            </w:r>
          </w:p>
        </w:tc>
        <w:tc>
          <w:tcPr>
            <w:tcW w:w="957"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olor w:val="000000"/>
                <w:sz w:val="20"/>
                <w:szCs w:val="20"/>
              </w:rPr>
            </w:pPr>
            <w:r>
              <w:rPr>
                <w:rFonts w:hint="eastAsia" w:ascii="KaiTi" w:hAnsi="KaiTi" w:eastAsia="KaiTi"/>
                <w:color w:val="000000"/>
                <w:sz w:val="20"/>
                <w:szCs w:val="20"/>
              </w:rPr>
              <w:t>4.73%</w:t>
            </w:r>
          </w:p>
        </w:tc>
        <w:tc>
          <w:tcPr>
            <w:tcW w:w="957"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olor w:val="000000"/>
                <w:sz w:val="20"/>
                <w:szCs w:val="20"/>
              </w:rPr>
            </w:pPr>
            <w:r>
              <w:rPr>
                <w:rFonts w:hint="eastAsia" w:ascii="KaiTi" w:hAnsi="KaiTi" w:eastAsia="KaiTi"/>
                <w:color w:val="000000"/>
                <w:sz w:val="20"/>
                <w:szCs w:val="20"/>
              </w:rPr>
              <w:t>5.20%</w:t>
            </w:r>
          </w:p>
        </w:tc>
        <w:tc>
          <w:tcPr>
            <w:tcW w:w="957"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olor w:val="000000"/>
                <w:sz w:val="20"/>
                <w:szCs w:val="20"/>
              </w:rPr>
            </w:pPr>
            <w:r>
              <w:rPr>
                <w:rFonts w:hint="eastAsia" w:ascii="KaiTi" w:hAnsi="KaiTi" w:eastAsia="KaiTi"/>
                <w:color w:val="000000"/>
                <w:sz w:val="20"/>
                <w:szCs w:val="20"/>
              </w:rPr>
              <w:t>4.67%</w:t>
            </w:r>
          </w:p>
        </w:tc>
        <w:tc>
          <w:tcPr>
            <w:tcW w:w="957" w:type="dxa"/>
            <w:tcBorders>
              <w:top w:val="nil"/>
              <w:left w:val="nil"/>
              <w:bottom w:val="single" w:color="auto" w:sz="4" w:space="0"/>
              <w:right w:val="single" w:color="auto" w:sz="4" w:space="0"/>
            </w:tcBorders>
            <w:shd w:val="clear" w:color="000000" w:fill="FFFF00"/>
            <w:noWrap/>
            <w:vAlign w:val="center"/>
          </w:tcPr>
          <w:p>
            <w:pPr>
              <w:jc w:val="right"/>
              <w:rPr>
                <w:rFonts w:ascii="KaiTi" w:hAnsi="KaiTi" w:eastAsia="KaiTi"/>
                <w:color w:val="000000"/>
                <w:sz w:val="20"/>
                <w:szCs w:val="20"/>
              </w:rPr>
            </w:pPr>
          </w:p>
        </w:tc>
        <w:tc>
          <w:tcPr>
            <w:tcW w:w="2234" w:type="dxa"/>
            <w:tcBorders>
              <w:top w:val="nil"/>
              <w:left w:val="nil"/>
              <w:bottom w:val="nil"/>
              <w:right w:val="nil"/>
            </w:tcBorders>
            <w:shd w:val="clear" w:color="auto" w:fill="auto"/>
            <w:noWrap/>
            <w:vAlign w:val="bottom"/>
          </w:tcPr>
          <w:p>
            <w:pPr>
              <w:jc w:val="right"/>
              <w:rPr>
                <w:rFonts w:ascii="KaiTi" w:hAnsi="KaiTi" w:eastAsia="KaiTi"/>
                <w:color w:val="000000"/>
                <w:sz w:val="20"/>
                <w:szCs w:val="20"/>
              </w:rPr>
            </w:pPr>
          </w:p>
        </w:tc>
      </w:tr>
      <w:tr>
        <w:tblPrEx>
          <w:tblLayout w:type="fixed"/>
          <w:tblCellMar>
            <w:top w:w="0" w:type="dxa"/>
            <w:left w:w="108" w:type="dxa"/>
            <w:bottom w:w="0" w:type="dxa"/>
            <w:right w:w="108" w:type="dxa"/>
          </w:tblCellMar>
        </w:tblPrEx>
        <w:trPr>
          <w:trHeight w:val="454" w:hRule="atLeast"/>
        </w:trPr>
        <w:tc>
          <w:tcPr>
            <w:tcW w:w="2581" w:type="dxa"/>
            <w:tcBorders>
              <w:top w:val="nil"/>
              <w:left w:val="single" w:color="auto" w:sz="4" w:space="0"/>
              <w:bottom w:val="single" w:color="auto" w:sz="4" w:space="0"/>
              <w:right w:val="single" w:color="auto" w:sz="4" w:space="0"/>
            </w:tcBorders>
            <w:shd w:val="clear" w:color="auto" w:fill="auto"/>
            <w:vAlign w:val="center"/>
          </w:tcPr>
          <w:p>
            <w:pPr>
              <w:jc w:val="center"/>
              <w:rPr>
                <w:rFonts w:ascii="KaiTi" w:hAnsi="KaiTi" w:eastAsia="KaiTi"/>
                <w:color w:val="000000"/>
                <w:sz w:val="18"/>
                <w:szCs w:val="18"/>
              </w:rPr>
            </w:pPr>
            <w:r>
              <w:rPr>
                <w:rFonts w:hint="eastAsia" w:ascii="KaiTi" w:hAnsi="KaiTi" w:eastAsia="KaiTi"/>
                <w:color w:val="000000"/>
                <w:sz w:val="18"/>
                <w:szCs w:val="18"/>
              </w:rPr>
              <w:t>销售商品提供劳务收到的现金</w:t>
            </w:r>
          </w:p>
        </w:tc>
        <w:tc>
          <w:tcPr>
            <w:tcW w:w="957"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olor w:val="000000"/>
                <w:sz w:val="20"/>
                <w:szCs w:val="20"/>
              </w:rPr>
            </w:pPr>
            <w:r>
              <w:rPr>
                <w:rFonts w:ascii="KaiTi" w:hAnsi="KaiTi" w:eastAsia="KaiTi"/>
                <w:color w:val="000000"/>
                <w:sz w:val="20"/>
                <w:szCs w:val="20"/>
              </w:rPr>
              <w:t>228.70</w:t>
            </w:r>
          </w:p>
        </w:tc>
        <w:tc>
          <w:tcPr>
            <w:tcW w:w="957"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olor w:val="000000"/>
                <w:sz w:val="20"/>
                <w:szCs w:val="20"/>
              </w:rPr>
            </w:pPr>
            <w:r>
              <w:rPr>
                <w:rFonts w:ascii="KaiTi" w:hAnsi="KaiTi" w:eastAsia="KaiTi"/>
                <w:color w:val="000000"/>
                <w:sz w:val="20"/>
                <w:szCs w:val="20"/>
              </w:rPr>
              <w:t>237.12</w:t>
            </w:r>
          </w:p>
        </w:tc>
        <w:tc>
          <w:tcPr>
            <w:tcW w:w="957"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olor w:val="000000"/>
                <w:sz w:val="20"/>
                <w:szCs w:val="20"/>
              </w:rPr>
            </w:pPr>
            <w:r>
              <w:rPr>
                <w:rFonts w:ascii="KaiTi" w:hAnsi="KaiTi" w:eastAsia="KaiTi"/>
                <w:color w:val="000000"/>
                <w:sz w:val="20"/>
                <w:szCs w:val="20"/>
              </w:rPr>
              <w:t>281.05</w:t>
            </w:r>
          </w:p>
        </w:tc>
        <w:tc>
          <w:tcPr>
            <w:tcW w:w="957"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olor w:val="000000"/>
                <w:sz w:val="20"/>
                <w:szCs w:val="20"/>
              </w:rPr>
            </w:pPr>
            <w:r>
              <w:rPr>
                <w:rFonts w:ascii="KaiTi" w:hAnsi="KaiTi" w:eastAsia="KaiTi"/>
                <w:color w:val="000000"/>
                <w:sz w:val="20"/>
                <w:szCs w:val="20"/>
              </w:rPr>
              <w:t>281.58</w:t>
            </w:r>
          </w:p>
        </w:tc>
        <w:tc>
          <w:tcPr>
            <w:tcW w:w="957"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olor w:val="000000"/>
                <w:sz w:val="20"/>
                <w:szCs w:val="20"/>
              </w:rPr>
            </w:pPr>
            <w:r>
              <w:rPr>
                <w:rFonts w:ascii="KaiTi" w:hAnsi="KaiTi" w:eastAsia="KaiTi"/>
                <w:color w:val="000000"/>
                <w:sz w:val="20"/>
                <w:szCs w:val="20"/>
              </w:rPr>
              <w:t>215.27</w:t>
            </w:r>
          </w:p>
        </w:tc>
        <w:tc>
          <w:tcPr>
            <w:tcW w:w="2234" w:type="dxa"/>
            <w:tcBorders>
              <w:top w:val="nil"/>
              <w:left w:val="nil"/>
              <w:bottom w:val="nil"/>
              <w:right w:val="nil"/>
            </w:tcBorders>
            <w:shd w:val="clear" w:color="auto" w:fill="auto"/>
            <w:noWrap/>
            <w:vAlign w:val="bottom"/>
          </w:tcPr>
          <w:p>
            <w:pPr>
              <w:jc w:val="right"/>
              <w:rPr>
                <w:rFonts w:ascii="KaiTi" w:hAnsi="KaiTi" w:eastAsia="KaiTi"/>
                <w:color w:val="000000"/>
                <w:sz w:val="20"/>
                <w:szCs w:val="20"/>
              </w:rPr>
            </w:pPr>
          </w:p>
        </w:tc>
      </w:tr>
      <w:bookmarkEnd w:id="2"/>
    </w:tbl>
    <w:p>
      <w:pPr>
        <w:spacing w:line="360" w:lineRule="auto"/>
        <w:rPr>
          <w:rFonts w:ascii="KaiTi" w:hAnsi="KaiTi" w:eastAsia="KaiTi"/>
          <w:color w:val="4472C4" w:themeColor="accent1"/>
          <w14:textFill>
            <w14:solidFill>
              <w14:schemeClr w14:val="accent1"/>
            </w14:solidFill>
          </w14:textFill>
        </w:rPr>
      </w:pPr>
    </w:p>
    <w:p>
      <w:pPr>
        <w:pStyle w:val="34"/>
      </w:pPr>
      <w:r>
        <w:rPr>
          <w:rFonts w:hint="eastAsia"/>
        </w:rPr>
        <w:t>3.分析各年变化趋势</w:t>
      </w:r>
    </w:p>
    <w:p>
      <w:pPr>
        <w:pStyle w:val="36"/>
      </w:pPr>
      <w:r>
        <w:rPr>
          <w:rFonts w:hint="eastAsia"/>
        </w:rPr>
        <w:t>通过计算我们可以得出，洋河股份201</w:t>
      </w:r>
      <w:r>
        <w:t>6</w:t>
      </w:r>
      <w:r>
        <w:rPr>
          <w:rFonts w:hint="eastAsia"/>
        </w:rPr>
        <w:t>-20</w:t>
      </w:r>
      <w:r>
        <w:t>20</w:t>
      </w:r>
      <w:r>
        <w:rPr>
          <w:rFonts w:hint="eastAsia"/>
        </w:rPr>
        <w:t>年的购建固定资产、无形资产和其他长期资产支付的现金与经营活动产生的现金流量净额的比值分别为</w:t>
      </w:r>
      <w:r>
        <w:rPr>
          <w:rFonts w:hint="eastAsia"/>
          <w:u w:val="single"/>
        </w:rPr>
        <w:t xml:space="preserve"> </w:t>
      </w:r>
      <w:r>
        <w:rPr>
          <w:u w:val="single"/>
        </w:rPr>
        <w:t xml:space="preserve">    </w:t>
      </w:r>
      <w:r>
        <w:rPr>
          <w:rFonts w:hint="eastAsia"/>
        </w:rPr>
        <w:t>%、</w:t>
      </w:r>
      <w:r>
        <w:rPr>
          <w:rFonts w:hint="eastAsia"/>
          <w:u w:val="single"/>
        </w:rPr>
        <w:t xml:space="preserve"> </w:t>
      </w:r>
      <w:r>
        <w:rPr>
          <w:u w:val="single"/>
        </w:rPr>
        <w:t xml:space="preserve">   </w:t>
      </w:r>
      <w:r>
        <w:t xml:space="preserve"> </w:t>
      </w:r>
      <w:r>
        <w:rPr>
          <w:rFonts w:hint="eastAsia"/>
        </w:rPr>
        <w:t xml:space="preserve">%、 </w:t>
      </w:r>
      <w:r>
        <w:rPr>
          <w:u w:val="single"/>
        </w:rPr>
        <w:t xml:space="preserve">    </w:t>
      </w:r>
      <w:r>
        <w:rPr>
          <w:rFonts w:hint="eastAsia"/>
        </w:rPr>
        <w:t>% 、</w:t>
      </w:r>
      <w:r>
        <w:t xml:space="preserve"> </w:t>
      </w:r>
      <w:r>
        <w:rPr>
          <w:u w:val="single"/>
        </w:rPr>
        <w:t xml:space="preserve">   </w:t>
      </w:r>
      <w:r>
        <w:rPr>
          <w:rFonts w:hint="eastAsia"/>
          <w:u w:val="single"/>
        </w:rPr>
        <w:t xml:space="preserve"> </w:t>
      </w:r>
      <w:r>
        <w:rPr>
          <w:rFonts w:hint="eastAsia"/>
        </w:rPr>
        <w:t>%、</w:t>
      </w:r>
      <w:r>
        <w:t xml:space="preserve"> </w:t>
      </w:r>
      <w:r>
        <w:rPr>
          <w:u w:val="single"/>
        </w:rPr>
        <w:t xml:space="preserve">     </w:t>
      </w:r>
      <w:r>
        <w:rPr>
          <w:rFonts w:hint="eastAsia"/>
        </w:rPr>
        <w:t>%，</w:t>
      </w:r>
    </w:p>
    <w:p>
      <w:pPr>
        <w:pStyle w:val="36"/>
        <w:rPr>
          <w:b/>
          <w:bCs/>
          <w:color w:val="C55A11" w:themeColor="accent2" w:themeShade="BF"/>
        </w:rPr>
      </w:pPr>
      <w:r>
        <w:rPr>
          <w:u w:val="single"/>
        </w:rPr>
        <w:t xml:space="preserve">     </w:t>
      </w:r>
      <w:r>
        <w:rPr>
          <w:rFonts w:hint="eastAsia"/>
        </w:rPr>
        <w:t>合理范围。</w:t>
      </w:r>
      <w:r>
        <w:rPr>
          <w:rFonts w:hint="eastAsia"/>
          <w:b/>
          <w:bCs/>
          <w:color w:val="C55A11" w:themeColor="accent2" w:themeShade="BF"/>
        </w:rPr>
        <w:t>（参照以上建固定资产、无形资产和其他长期资产支付的现金的思维导图得出结论，选项：处于或不处于）。</w:t>
      </w:r>
    </w:p>
    <w:p>
      <w:pPr>
        <w:pStyle w:val="12"/>
        <w:spacing w:line="360" w:lineRule="auto"/>
        <w:ind w:firstLine="480" w:firstLineChars="200"/>
      </w:pPr>
      <w:r>
        <w:rPr>
          <w:rFonts w:hint="eastAsia" w:ascii="KaiTi" w:hAnsi="KaiTi" w:eastAsia="KaiTi"/>
          <w:lang w:bidi="ar"/>
        </w:rPr>
        <w:t>卖货收到的现金，2016-2019年保持上涨，之后的2019年增长停滞，2020年开始出现明显下滑，这与2019年开始竞争对手抢占白酒市场，营业收入下降有关。</w:t>
      </w:r>
      <w:bookmarkStart w:id="3" w:name="_Hlk71661559"/>
      <w:r>
        <w:rPr>
          <w:rFonts w:hint="eastAsia" w:ascii="KaiTi" w:hAnsi="KaiTi" w:eastAsia="KaiTi"/>
          <w:lang w:bidi="ar"/>
        </w:rPr>
        <w:t>2020年投资占经营净现金流的比例</w:t>
      </w:r>
      <w:r>
        <w:rPr>
          <w:rFonts w:hint="eastAsia" w:ascii="KaiTi" w:hAnsi="KaiTi" w:eastAsia="KaiTi"/>
          <w:u w:val="single"/>
          <w:lang w:bidi="ar"/>
        </w:rPr>
        <w:t xml:space="preserve">     </w:t>
      </w:r>
      <w:r>
        <w:rPr>
          <w:rFonts w:hint="eastAsia" w:ascii="KaiTi" w:hAnsi="KaiTi" w:eastAsia="KaiTi"/>
          <w:b/>
          <w:color w:val="C45911"/>
          <w:lang w:bidi="ar"/>
        </w:rPr>
        <w:t>（选项：增加或减少）</w:t>
      </w:r>
      <w:r>
        <w:rPr>
          <w:rFonts w:hint="eastAsia" w:ascii="KaiTi" w:hAnsi="KaiTi" w:eastAsia="KaiTi"/>
          <w:lang w:bidi="ar"/>
        </w:rPr>
        <w:t>结合年报中对2021年的展望，可继续观察。</w:t>
      </w:r>
      <w:bookmarkEnd w:id="3"/>
    </w:p>
    <w:p>
      <w:pPr>
        <w:pStyle w:val="12"/>
        <w:spacing w:line="360" w:lineRule="auto"/>
      </w:pPr>
      <w:r>
        <w:drawing>
          <wp:inline distT="0" distB="0" distL="0" distR="0">
            <wp:extent cx="5274310" cy="67754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5274310" cy="677545"/>
                    </a:xfrm>
                    <a:prstGeom prst="rect">
                      <a:avLst/>
                    </a:prstGeom>
                  </pic:spPr>
                </pic:pic>
              </a:graphicData>
            </a:graphic>
          </wp:inline>
        </w:drawing>
      </w:r>
    </w:p>
    <w:p>
      <w:pPr>
        <w:pStyle w:val="34"/>
        <w:spacing w:line="360" w:lineRule="auto"/>
      </w:pPr>
      <w:r>
        <w:rPr>
          <w:rFonts w:hint="eastAsia"/>
        </w:rPr>
        <w:t>4</w:t>
      </w:r>
      <w:r>
        <w:t>.</w:t>
      </w:r>
      <w:r>
        <w:rPr>
          <w:rFonts w:hint="eastAsia"/>
        </w:rPr>
        <w:t>根据分析得出结论</w:t>
      </w:r>
    </w:p>
    <w:p>
      <w:pPr>
        <w:pStyle w:val="36"/>
        <w:rPr>
          <w:b/>
          <w:bCs/>
          <w:color w:val="C55A11" w:themeColor="accent2" w:themeShade="BF"/>
        </w:rPr>
      </w:pPr>
      <w:r>
        <w:rPr>
          <w:rFonts w:hint="eastAsia"/>
        </w:rPr>
        <w:t>洋河股份增长</w:t>
      </w:r>
      <w:r>
        <w:rPr>
          <w:rFonts w:hint="eastAsia"/>
          <w:u w:val="single"/>
        </w:rPr>
        <w:t xml:space="preserve"> </w:t>
      </w:r>
      <w:r>
        <w:rPr>
          <w:u w:val="single"/>
        </w:rPr>
        <w:t xml:space="preserve">   </w:t>
      </w:r>
      <w:r>
        <w:rPr>
          <w:rFonts w:hint="eastAsia"/>
          <w:u w:val="single"/>
        </w:rPr>
        <w:t xml:space="preserve"> </w:t>
      </w:r>
      <w:r>
        <w:rPr>
          <w:u w:val="single"/>
        </w:rPr>
        <w:t xml:space="preserve">   </w:t>
      </w:r>
      <w:r>
        <w:t xml:space="preserve"> </w:t>
      </w:r>
      <w:r>
        <w:rPr>
          <w:rFonts w:hint="eastAsia"/>
        </w:rPr>
        <w:t>，后续</w:t>
      </w:r>
      <w:r>
        <w:rPr>
          <w:rFonts w:hint="eastAsia"/>
          <w:u w:val="single"/>
        </w:rPr>
        <w:t xml:space="preserve"> </w:t>
      </w:r>
      <w:r>
        <w:rPr>
          <w:u w:val="single"/>
        </w:rPr>
        <w:t xml:space="preserve">    </w:t>
      </w:r>
      <w:r>
        <w:rPr>
          <w:rFonts w:hint="eastAsia"/>
          <w:b/>
          <w:bCs/>
          <w:color w:val="C55A11" w:themeColor="accent2" w:themeShade="BF"/>
        </w:rPr>
        <w:t>（参照以上分析得出结论，选项：加快或变慢）</w:t>
      </w:r>
    </w:p>
    <w:p>
      <w:pPr>
        <w:pStyle w:val="4"/>
        <w:spacing w:line="360" w:lineRule="auto"/>
        <w:rPr>
          <w:rFonts w:ascii="KaiTi" w:hAnsi="KaiTi" w:eastAsia="KaiTi"/>
        </w:rPr>
      </w:pPr>
      <w:r>
        <w:rPr>
          <w:rFonts w:hint="eastAsia" w:ascii="KaiTi" w:hAnsi="KaiTi" w:eastAsia="KaiTi"/>
        </w:rPr>
        <w:t>第三步、</w:t>
      </w:r>
      <w:bookmarkStart w:id="4" w:name="_Hlk71631790"/>
      <w:r>
        <w:rPr>
          <w:rFonts w:hint="eastAsia" w:ascii="KaiTi" w:hAnsi="KaiTi" w:eastAsia="KaiTi"/>
        </w:rPr>
        <w:t>看</w:t>
      </w:r>
      <w:bookmarkEnd w:id="4"/>
      <w:r>
        <w:rPr>
          <w:rFonts w:hint="default" w:ascii="KaiTi" w:hAnsi="KaiTi" w:eastAsia="KaiTi"/>
          <w:woUserID w:val="1"/>
        </w:rPr>
        <w:t>分红率</w:t>
      </w:r>
      <w:r>
        <w:rPr>
          <w:rFonts w:hint="eastAsia" w:ascii="KaiTi" w:hAnsi="KaiTi" w:eastAsia="KaiTi"/>
        </w:rPr>
        <w:t>（</w:t>
      </w:r>
      <w:r>
        <w:rPr>
          <w:rFonts w:ascii="KaiTi" w:hAnsi="KaiTi" w:eastAsia="KaiTi"/>
        </w:rPr>
        <w:t>20</w:t>
      </w:r>
      <w:r>
        <w:rPr>
          <w:rFonts w:hint="eastAsia" w:ascii="KaiTi" w:hAnsi="KaiTi" w:eastAsia="KaiTi"/>
        </w:rPr>
        <w:t>分）</w:t>
      </w:r>
    </w:p>
    <w:p>
      <w:pPr>
        <w:pStyle w:val="34"/>
        <w:spacing w:line="360" w:lineRule="auto"/>
      </w:pPr>
      <w:r>
        <w:rPr>
          <w:rFonts w:hint="eastAsia"/>
        </w:rPr>
        <w:t>1.分析思路</w:t>
      </w:r>
    </w:p>
    <w:p>
      <w:pPr>
        <w:spacing w:line="360" w:lineRule="auto"/>
        <w:rPr>
          <w:rFonts w:hint="default" w:ascii="KaiTi" w:hAnsi="KaiTi" w:eastAsia="KaiTi"/>
        </w:rPr>
      </w:pPr>
      <w:r>
        <w:rPr>
          <w:rFonts w:hint="default" w:ascii="KaiTi" w:hAnsi="KaiTi" w:eastAsia="KaiTi"/>
          <w:woUserID w:val="1"/>
        </w:rPr>
        <w:drawing>
          <wp:inline distT="0" distB="0" distL="114300" distR="114300">
            <wp:extent cx="5264150" cy="1807845"/>
            <wp:effectExtent l="0" t="0" r="1270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8"/>
                    <a:stretch>
                      <a:fillRect/>
                    </a:stretch>
                  </pic:blipFill>
                  <pic:spPr>
                    <a:xfrm>
                      <a:off x="0" y="0"/>
                      <a:ext cx="5264150" cy="1807845"/>
                    </a:xfrm>
                    <a:prstGeom prst="rect">
                      <a:avLst/>
                    </a:prstGeom>
                  </pic:spPr>
                </pic:pic>
              </a:graphicData>
            </a:graphic>
          </wp:inline>
        </w:drawing>
      </w:r>
    </w:p>
    <w:p>
      <w:pPr>
        <w:pStyle w:val="34"/>
        <w:spacing w:line="360" w:lineRule="auto"/>
      </w:pPr>
      <w:r>
        <w:rPr>
          <w:rFonts w:hint="eastAsia"/>
        </w:rPr>
        <w:t>2.数据收集汇总：</w:t>
      </w:r>
      <w:r>
        <w:rPr>
          <w:rFonts w:hint="default"/>
          <w:woUserID w:val="1"/>
        </w:rPr>
        <w:t>最近五年的分红</w:t>
      </w:r>
      <w:r>
        <w:rPr>
          <w:rFonts w:hint="eastAsia"/>
        </w:rPr>
        <w:t>率</w:t>
      </w:r>
    </w:p>
    <w:p>
      <w:pPr>
        <w:spacing w:line="360" w:lineRule="auto"/>
        <w:rPr>
          <w:rFonts w:ascii="KaiTi" w:hAnsi="KaiTi" w:eastAsia="KaiTi"/>
          <w:b/>
          <w:bCs/>
        </w:rPr>
      </w:pPr>
      <w:r>
        <w:rPr>
          <w:rFonts w:ascii="KaiTi" w:hAnsi="KaiTi" w:eastAsia="KaiTi"/>
        </w:rPr>
        <w:t xml:space="preserve">                                                      </w:t>
      </w:r>
    </w:p>
    <w:tbl>
      <w:tblPr>
        <w:tblStyle w:val="14"/>
        <w:tblW w:w="8784" w:type="dxa"/>
        <w:jc w:val="center"/>
        <w:tblInd w:w="0" w:type="dxa"/>
        <w:tblLayout w:type="fixed"/>
        <w:tblCellMar>
          <w:top w:w="0" w:type="dxa"/>
          <w:left w:w="108" w:type="dxa"/>
          <w:bottom w:w="0" w:type="dxa"/>
          <w:right w:w="108" w:type="dxa"/>
        </w:tblCellMar>
      </w:tblPr>
      <w:tblGrid>
        <w:gridCol w:w="1650"/>
        <w:gridCol w:w="1266"/>
        <w:gridCol w:w="1131"/>
        <w:gridCol w:w="1131"/>
        <w:gridCol w:w="1131"/>
        <w:gridCol w:w="916"/>
        <w:gridCol w:w="1559"/>
      </w:tblGrid>
      <w:tr>
        <w:tblPrEx>
          <w:tblLayout w:type="fixed"/>
          <w:tblCellMar>
            <w:top w:w="0" w:type="dxa"/>
            <w:left w:w="108" w:type="dxa"/>
            <w:bottom w:w="0" w:type="dxa"/>
            <w:right w:w="108" w:type="dxa"/>
          </w:tblCellMar>
        </w:tblPrEx>
        <w:trPr>
          <w:trHeight w:val="454" w:hRule="atLeast"/>
          <w:jc w:val="center"/>
        </w:trPr>
        <w:tc>
          <w:tcPr>
            <w:tcW w:w="1650" w:type="dxa"/>
            <w:tcBorders>
              <w:top w:val="single" w:color="auto" w:sz="4" w:space="0"/>
              <w:left w:val="single" w:color="auto" w:sz="4" w:space="0"/>
              <w:bottom w:val="single" w:color="auto" w:sz="4" w:space="0"/>
              <w:right w:val="single" w:color="auto" w:sz="4" w:space="0"/>
            </w:tcBorders>
            <w:shd w:val="clear" w:color="000000" w:fill="4F81BD"/>
            <w:vAlign w:val="center"/>
          </w:tcPr>
          <w:p>
            <w:pPr>
              <w:spacing w:line="360" w:lineRule="auto"/>
              <w:jc w:val="center"/>
              <w:rPr>
                <w:rFonts w:ascii="KaiTi" w:hAnsi="KaiTi" w:eastAsia="KaiTi"/>
                <w:b/>
                <w:bCs/>
                <w:color w:val="FFFFFF"/>
                <w:sz w:val="20"/>
                <w:szCs w:val="20"/>
              </w:rPr>
            </w:pPr>
            <w:r>
              <w:rPr>
                <w:rFonts w:hint="eastAsia" w:ascii="KaiTi" w:hAnsi="KaiTi" w:eastAsia="KaiTi"/>
                <w:b/>
                <w:bCs/>
                <w:color w:val="FFFFFF"/>
                <w:sz w:val="20"/>
                <w:szCs w:val="20"/>
              </w:rPr>
              <w:t>看分红比例</w:t>
            </w:r>
          </w:p>
        </w:tc>
        <w:tc>
          <w:tcPr>
            <w:tcW w:w="1266" w:type="dxa"/>
            <w:tcBorders>
              <w:top w:val="single" w:color="auto" w:sz="4" w:space="0"/>
              <w:left w:val="nil"/>
              <w:bottom w:val="single" w:color="auto" w:sz="4" w:space="0"/>
              <w:right w:val="single" w:color="auto" w:sz="4" w:space="0"/>
            </w:tcBorders>
            <w:shd w:val="clear" w:color="000000" w:fill="4F81BD"/>
            <w:vAlign w:val="center"/>
          </w:tcPr>
          <w:p>
            <w:pPr>
              <w:spacing w:line="360" w:lineRule="auto"/>
              <w:jc w:val="center"/>
              <w:rPr>
                <w:rFonts w:ascii="KaiTi" w:hAnsi="KaiTi" w:eastAsia="KaiTi"/>
                <w:b/>
                <w:bCs/>
                <w:color w:val="FFFFFF"/>
                <w:sz w:val="20"/>
                <w:szCs w:val="20"/>
              </w:rPr>
            </w:pPr>
            <w:r>
              <w:rPr>
                <w:rFonts w:hint="eastAsia" w:ascii="KaiTi" w:hAnsi="KaiTi" w:eastAsia="KaiTi"/>
                <w:b/>
                <w:bCs/>
                <w:color w:val="FFFFFF"/>
                <w:sz w:val="20"/>
                <w:szCs w:val="20"/>
              </w:rPr>
              <w:t>2016</w:t>
            </w:r>
          </w:p>
        </w:tc>
        <w:tc>
          <w:tcPr>
            <w:tcW w:w="1131" w:type="dxa"/>
            <w:tcBorders>
              <w:top w:val="single" w:color="auto" w:sz="4" w:space="0"/>
              <w:left w:val="nil"/>
              <w:bottom w:val="single" w:color="auto" w:sz="4" w:space="0"/>
              <w:right w:val="single" w:color="auto" w:sz="4" w:space="0"/>
            </w:tcBorders>
            <w:shd w:val="clear" w:color="000000" w:fill="4F81BD"/>
            <w:vAlign w:val="center"/>
          </w:tcPr>
          <w:p>
            <w:pPr>
              <w:spacing w:line="360" w:lineRule="auto"/>
              <w:jc w:val="center"/>
              <w:rPr>
                <w:rFonts w:ascii="KaiTi" w:hAnsi="KaiTi" w:eastAsia="KaiTi"/>
                <w:b/>
                <w:bCs/>
                <w:color w:val="FFFFFF"/>
                <w:sz w:val="20"/>
                <w:szCs w:val="20"/>
              </w:rPr>
            </w:pPr>
            <w:r>
              <w:rPr>
                <w:rFonts w:hint="eastAsia" w:ascii="KaiTi" w:hAnsi="KaiTi" w:eastAsia="KaiTi"/>
                <w:b/>
                <w:bCs/>
                <w:color w:val="FFFFFF"/>
                <w:sz w:val="20"/>
                <w:szCs w:val="20"/>
              </w:rPr>
              <w:t>2017</w:t>
            </w:r>
          </w:p>
        </w:tc>
        <w:tc>
          <w:tcPr>
            <w:tcW w:w="1131" w:type="dxa"/>
            <w:tcBorders>
              <w:top w:val="single" w:color="auto" w:sz="4" w:space="0"/>
              <w:left w:val="nil"/>
              <w:bottom w:val="single" w:color="auto" w:sz="4" w:space="0"/>
              <w:right w:val="single" w:color="auto" w:sz="4" w:space="0"/>
            </w:tcBorders>
            <w:shd w:val="clear" w:color="000000" w:fill="4F81BD"/>
            <w:vAlign w:val="center"/>
          </w:tcPr>
          <w:p>
            <w:pPr>
              <w:spacing w:line="360" w:lineRule="auto"/>
              <w:jc w:val="center"/>
              <w:rPr>
                <w:rFonts w:ascii="KaiTi" w:hAnsi="KaiTi" w:eastAsia="KaiTi"/>
                <w:b/>
                <w:bCs/>
                <w:color w:val="FFFFFF"/>
                <w:sz w:val="20"/>
                <w:szCs w:val="20"/>
              </w:rPr>
            </w:pPr>
            <w:r>
              <w:rPr>
                <w:rFonts w:hint="eastAsia" w:ascii="KaiTi" w:hAnsi="KaiTi" w:eastAsia="KaiTi"/>
                <w:b/>
                <w:bCs/>
                <w:color w:val="FFFFFF"/>
                <w:sz w:val="20"/>
                <w:szCs w:val="20"/>
              </w:rPr>
              <w:t>2018</w:t>
            </w:r>
          </w:p>
        </w:tc>
        <w:tc>
          <w:tcPr>
            <w:tcW w:w="1131" w:type="dxa"/>
            <w:tcBorders>
              <w:top w:val="single" w:color="auto" w:sz="4" w:space="0"/>
              <w:left w:val="nil"/>
              <w:bottom w:val="single" w:color="auto" w:sz="4" w:space="0"/>
              <w:right w:val="single" w:color="auto" w:sz="4" w:space="0"/>
            </w:tcBorders>
            <w:shd w:val="clear" w:color="000000" w:fill="4F81BD"/>
            <w:vAlign w:val="center"/>
          </w:tcPr>
          <w:p>
            <w:pPr>
              <w:spacing w:line="360" w:lineRule="auto"/>
              <w:jc w:val="center"/>
              <w:rPr>
                <w:rFonts w:ascii="KaiTi" w:hAnsi="KaiTi" w:eastAsia="KaiTi"/>
                <w:b/>
                <w:bCs/>
                <w:color w:val="FFFFFF"/>
                <w:sz w:val="20"/>
                <w:szCs w:val="20"/>
              </w:rPr>
            </w:pPr>
            <w:r>
              <w:rPr>
                <w:rFonts w:hint="eastAsia" w:ascii="KaiTi" w:hAnsi="KaiTi" w:eastAsia="KaiTi"/>
                <w:b/>
                <w:bCs/>
                <w:color w:val="FFFFFF"/>
                <w:sz w:val="20"/>
                <w:szCs w:val="20"/>
              </w:rPr>
              <w:t>2019</w:t>
            </w:r>
          </w:p>
        </w:tc>
        <w:tc>
          <w:tcPr>
            <w:tcW w:w="916" w:type="dxa"/>
            <w:tcBorders>
              <w:top w:val="single" w:color="auto" w:sz="4" w:space="0"/>
              <w:left w:val="nil"/>
              <w:bottom w:val="single" w:color="auto" w:sz="4" w:space="0"/>
              <w:right w:val="single" w:color="auto" w:sz="4" w:space="0"/>
            </w:tcBorders>
            <w:shd w:val="clear" w:color="000000" w:fill="4F81BD"/>
            <w:vAlign w:val="center"/>
          </w:tcPr>
          <w:p>
            <w:pPr>
              <w:spacing w:line="360" w:lineRule="auto"/>
              <w:jc w:val="center"/>
              <w:rPr>
                <w:rFonts w:ascii="KaiTi" w:hAnsi="KaiTi" w:eastAsia="KaiTi"/>
                <w:b/>
                <w:bCs/>
                <w:color w:val="FFFFFF"/>
                <w:sz w:val="20"/>
                <w:szCs w:val="20"/>
              </w:rPr>
            </w:pPr>
            <w:r>
              <w:rPr>
                <w:rFonts w:hint="eastAsia" w:ascii="KaiTi" w:hAnsi="KaiTi" w:eastAsia="KaiTi"/>
                <w:b/>
                <w:bCs/>
                <w:color w:val="FFFFFF"/>
                <w:sz w:val="20"/>
                <w:szCs w:val="20"/>
              </w:rPr>
              <w:t>2020</w:t>
            </w:r>
          </w:p>
        </w:tc>
        <w:tc>
          <w:tcPr>
            <w:tcW w:w="1559" w:type="dxa"/>
            <w:tcBorders>
              <w:top w:val="nil"/>
              <w:left w:val="nil"/>
              <w:bottom w:val="nil"/>
              <w:right w:val="nil"/>
            </w:tcBorders>
            <w:shd w:val="clear" w:color="auto" w:fill="auto"/>
            <w:noWrap/>
            <w:vAlign w:val="bottom"/>
          </w:tcPr>
          <w:p>
            <w:pPr>
              <w:spacing w:line="360" w:lineRule="auto"/>
              <w:jc w:val="center"/>
              <w:rPr>
                <w:rFonts w:ascii="KaiTi" w:hAnsi="KaiTi" w:eastAsia="KaiTi"/>
                <w:b/>
                <w:bCs/>
                <w:color w:val="FFFFFF"/>
                <w:sz w:val="20"/>
                <w:szCs w:val="20"/>
              </w:rPr>
            </w:pPr>
          </w:p>
        </w:tc>
      </w:tr>
      <w:tr>
        <w:tblPrEx>
          <w:tblLayout w:type="fixed"/>
        </w:tblPrEx>
        <w:trPr>
          <w:trHeight w:val="454" w:hRule="atLeast"/>
          <w:jc w:val="center"/>
        </w:trPr>
        <w:tc>
          <w:tcPr>
            <w:tcW w:w="1650"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KaiTi" w:hAnsi="KaiTi" w:eastAsia="KaiTi"/>
                <w:sz w:val="18"/>
                <w:szCs w:val="18"/>
                <w:woUserID w:val="1"/>
              </w:rPr>
            </w:pPr>
            <w:r>
              <w:rPr>
                <w:rFonts w:hint="eastAsia" w:ascii="KaiTi" w:hAnsi="KaiTi" w:eastAsia="KaiTi"/>
                <w:sz w:val="18"/>
                <w:szCs w:val="18"/>
              </w:rPr>
              <w:t>分红</w:t>
            </w:r>
            <w:r>
              <w:rPr>
                <w:rFonts w:hint="default" w:ascii="KaiTi" w:hAnsi="KaiTi" w:eastAsia="KaiTi"/>
                <w:sz w:val="18"/>
                <w:szCs w:val="18"/>
                <w:woUserID w:val="1"/>
              </w:rPr>
              <w:t>率</w:t>
            </w:r>
          </w:p>
        </w:tc>
        <w:tc>
          <w:tcPr>
            <w:tcW w:w="1266" w:type="dxa"/>
            <w:tcBorders>
              <w:top w:val="nil"/>
              <w:left w:val="nil"/>
              <w:bottom w:val="single" w:color="auto" w:sz="4" w:space="0"/>
              <w:right w:val="single" w:color="auto" w:sz="4" w:space="0"/>
            </w:tcBorders>
            <w:shd w:val="clear" w:color="000000" w:fill="FFFFFF"/>
            <w:noWrap/>
            <w:vAlign w:val="center"/>
          </w:tcPr>
          <w:p>
            <w:pPr>
              <w:keepNext w:val="0"/>
              <w:keepLines w:val="0"/>
              <w:widowControl/>
              <w:suppressLineNumbers w:val="0"/>
              <w:ind w:left="0" w:leftChars="0" w:firstLine="0" w:firstLineChars="0"/>
              <w:jc w:val="center"/>
              <w:rPr>
                <w:rFonts w:ascii="KaiTi" w:hAnsi="KaiTi" w:eastAsia="KaiTi" w:cs="Arial"/>
                <w:sz w:val="20"/>
                <w:szCs w:val="20"/>
              </w:rPr>
            </w:pPr>
            <w:r>
              <w:rPr>
                <w:rFonts w:hint="default" w:ascii="Microsoft YaHei" w:hAnsi="Microsoft YaHei" w:eastAsia="Microsoft YaHei" w:cs="Microsoft YaHei"/>
                <w:i w:val="0"/>
                <w:caps w:val="0"/>
                <w:color w:val="303133"/>
                <w:spacing w:val="0"/>
                <w:kern w:val="0"/>
                <w:sz w:val="21"/>
                <w:szCs w:val="21"/>
                <w:lang w:val="en-US" w:eastAsia="zh-CN" w:bidi="ar"/>
                <w:woUserID w:val="1"/>
              </w:rPr>
              <w:t>54.31%</w:t>
            </w:r>
          </w:p>
        </w:tc>
        <w:tc>
          <w:tcPr>
            <w:tcW w:w="1131" w:type="dxa"/>
            <w:tcBorders>
              <w:top w:val="nil"/>
              <w:left w:val="nil"/>
              <w:bottom w:val="single" w:color="auto" w:sz="4" w:space="0"/>
              <w:right w:val="single" w:color="auto" w:sz="4" w:space="0"/>
            </w:tcBorders>
            <w:shd w:val="clear" w:color="000000" w:fill="FFFFFF"/>
            <w:noWrap/>
            <w:vAlign w:val="center"/>
          </w:tcPr>
          <w:p>
            <w:pPr>
              <w:keepNext w:val="0"/>
              <w:keepLines w:val="0"/>
              <w:widowControl/>
              <w:suppressLineNumbers w:val="0"/>
              <w:ind w:left="0" w:leftChars="0" w:firstLine="0" w:firstLineChars="0"/>
              <w:jc w:val="center"/>
              <w:rPr>
                <w:rFonts w:ascii="KaiTi" w:hAnsi="KaiTi" w:eastAsia="KaiTi" w:cs="Arial"/>
                <w:sz w:val="20"/>
                <w:szCs w:val="20"/>
              </w:rPr>
            </w:pPr>
            <w:r>
              <w:rPr>
                <w:rFonts w:hint="default" w:ascii="Microsoft YaHei" w:hAnsi="Microsoft YaHei" w:eastAsia="Microsoft YaHei" w:cs="Microsoft YaHei"/>
                <w:i w:val="0"/>
                <w:caps w:val="0"/>
                <w:color w:val="303133"/>
                <w:spacing w:val="0"/>
                <w:kern w:val="0"/>
                <w:sz w:val="21"/>
                <w:szCs w:val="21"/>
                <w:lang w:val="en-US" w:eastAsia="zh-CN" w:bidi="ar"/>
              </w:rPr>
              <w:t>57.99%</w:t>
            </w:r>
          </w:p>
        </w:tc>
        <w:tc>
          <w:tcPr>
            <w:tcW w:w="1131" w:type="dxa"/>
            <w:tcBorders>
              <w:top w:val="nil"/>
              <w:left w:val="nil"/>
              <w:bottom w:val="single" w:color="auto" w:sz="4" w:space="0"/>
              <w:right w:val="single" w:color="auto" w:sz="4" w:space="0"/>
            </w:tcBorders>
            <w:shd w:val="clear" w:color="000000" w:fill="FFFFFF"/>
            <w:noWrap/>
            <w:vAlign w:val="center"/>
          </w:tcPr>
          <w:p>
            <w:pPr>
              <w:keepNext w:val="0"/>
              <w:keepLines w:val="0"/>
              <w:widowControl/>
              <w:suppressLineNumbers w:val="0"/>
              <w:ind w:left="0" w:leftChars="0" w:firstLine="0" w:firstLineChars="0"/>
              <w:jc w:val="center"/>
              <w:rPr>
                <w:rFonts w:ascii="KaiTi" w:hAnsi="KaiTi" w:eastAsia="KaiTi" w:cs="Arial"/>
                <w:sz w:val="20"/>
                <w:szCs w:val="20"/>
              </w:rPr>
            </w:pPr>
            <w:r>
              <w:rPr>
                <w:rFonts w:hint="default" w:ascii="Microsoft YaHei" w:hAnsi="Microsoft YaHei" w:eastAsia="Microsoft YaHei" w:cs="Microsoft YaHei"/>
                <w:i w:val="0"/>
                <w:caps w:val="0"/>
                <w:color w:val="303133"/>
                <w:spacing w:val="0"/>
                <w:kern w:val="0"/>
                <w:sz w:val="21"/>
                <w:szCs w:val="21"/>
                <w:lang w:val="en-US" w:eastAsia="zh-CN" w:bidi="ar"/>
              </w:rPr>
              <w:t>59.42%</w:t>
            </w:r>
          </w:p>
        </w:tc>
        <w:tc>
          <w:tcPr>
            <w:tcW w:w="1131" w:type="dxa"/>
            <w:tcBorders>
              <w:top w:val="nil"/>
              <w:left w:val="nil"/>
              <w:bottom w:val="single" w:color="auto" w:sz="4" w:space="0"/>
              <w:right w:val="single" w:color="auto" w:sz="4" w:space="0"/>
            </w:tcBorders>
            <w:shd w:val="clear" w:color="000000" w:fill="FFFFFF"/>
            <w:noWrap/>
            <w:vAlign w:val="center"/>
          </w:tcPr>
          <w:p>
            <w:pPr>
              <w:keepNext w:val="0"/>
              <w:keepLines w:val="0"/>
              <w:widowControl/>
              <w:suppressLineNumbers w:val="0"/>
              <w:ind w:left="0" w:leftChars="0" w:firstLine="0" w:firstLineChars="0"/>
              <w:jc w:val="center"/>
              <w:rPr>
                <w:rFonts w:ascii="KaiTi" w:hAnsi="KaiTi" w:eastAsia="KaiTi" w:cs="Arial"/>
                <w:sz w:val="20"/>
                <w:szCs w:val="20"/>
              </w:rPr>
            </w:pPr>
            <w:r>
              <w:rPr>
                <w:rFonts w:hint="default" w:ascii="Microsoft YaHei" w:hAnsi="Microsoft YaHei" w:eastAsia="Microsoft YaHei" w:cs="Microsoft YaHei"/>
                <w:i w:val="0"/>
                <w:caps w:val="0"/>
                <w:color w:val="303133"/>
                <w:spacing w:val="0"/>
                <w:kern w:val="0"/>
                <w:sz w:val="21"/>
                <w:szCs w:val="21"/>
                <w:lang w:val="en-US" w:eastAsia="zh-CN" w:bidi="ar"/>
              </w:rPr>
              <w:t>60.99%</w:t>
            </w:r>
          </w:p>
        </w:tc>
        <w:tc>
          <w:tcPr>
            <w:tcW w:w="916" w:type="dxa"/>
            <w:tcBorders>
              <w:top w:val="nil"/>
              <w:left w:val="nil"/>
              <w:bottom w:val="single" w:color="auto" w:sz="4" w:space="0"/>
              <w:right w:val="single" w:color="auto" w:sz="4" w:space="0"/>
            </w:tcBorders>
            <w:shd w:val="clear" w:color="000000" w:fill="FFFF00"/>
            <w:noWrap/>
            <w:vAlign w:val="center"/>
          </w:tcPr>
          <w:p>
            <w:pPr>
              <w:jc w:val="right"/>
              <w:rPr>
                <w:rFonts w:ascii="KaiTi" w:hAnsi="KaiTi" w:eastAsia="KaiTi" w:cs="Arial"/>
                <w:sz w:val="20"/>
                <w:szCs w:val="20"/>
              </w:rPr>
            </w:pPr>
          </w:p>
        </w:tc>
        <w:tc>
          <w:tcPr>
            <w:tcW w:w="1559" w:type="dxa"/>
            <w:tcBorders>
              <w:top w:val="nil"/>
              <w:left w:val="nil"/>
              <w:bottom w:val="nil"/>
              <w:right w:val="nil"/>
            </w:tcBorders>
            <w:shd w:val="clear" w:color="auto" w:fill="auto"/>
            <w:noWrap/>
            <w:vAlign w:val="bottom"/>
          </w:tcPr>
          <w:p>
            <w:pPr>
              <w:rPr>
                <w:rFonts w:ascii="KaiTi" w:hAnsi="KaiTi" w:eastAsia="KaiTi"/>
                <w:color w:val="2F75B5"/>
                <w:sz w:val="22"/>
                <w:szCs w:val="22"/>
              </w:rPr>
            </w:pPr>
            <w:r>
              <w:rPr>
                <w:rFonts w:hint="eastAsia" w:ascii="KaiTi" w:hAnsi="KaiTi" w:eastAsia="KaiTi"/>
                <w:color w:val="2F75B5"/>
                <w:sz w:val="22"/>
                <w:szCs w:val="22"/>
              </w:rPr>
              <w:t xml:space="preserve"> 解析3</w:t>
            </w:r>
          </w:p>
        </w:tc>
      </w:tr>
    </w:tbl>
    <w:p>
      <w:pPr>
        <w:pStyle w:val="34"/>
      </w:pPr>
      <w:r>
        <w:rPr>
          <w:rFonts w:hint="eastAsia"/>
        </w:rPr>
        <w:t>3.分析各年变化趋势</w:t>
      </w:r>
    </w:p>
    <w:p>
      <w:pPr>
        <w:pStyle w:val="36"/>
      </w:pPr>
      <w:r>
        <w:rPr>
          <w:rFonts w:ascii="Microsoft YaHei" w:hAnsi="Microsoft YaHei" w:eastAsia="Microsoft YaHei" w:cs="Microsoft YaHei"/>
          <w:i w:val="0"/>
          <w:caps w:val="0"/>
          <w:color w:val="303133"/>
          <w:spacing w:val="0"/>
          <w:sz w:val="21"/>
          <w:szCs w:val="21"/>
          <w:shd w:val="clear" w:fill="FFFFFF"/>
          <w:woUserID w:val="1"/>
        </w:rPr>
        <w:t>从上表可以看出，洋河股份2016-2020年的分红率分别为</w:t>
      </w:r>
      <w:r>
        <w:rPr>
          <w:rFonts w:hint="default" w:ascii="Microsoft YaHei" w:hAnsi="Microsoft YaHei" w:eastAsia="Microsoft YaHei" w:cs="Microsoft YaHei"/>
          <w:i w:val="0"/>
          <w:caps w:val="0"/>
          <w:color w:val="303133"/>
          <w:spacing w:val="0"/>
          <w:sz w:val="21"/>
          <w:szCs w:val="21"/>
          <w:u w:val="single"/>
          <w:shd w:val="clear" w:fill="FFFFFF"/>
          <w:woUserID w:val="1"/>
        </w:rPr>
        <w:t xml:space="preserve">     </w:t>
      </w:r>
      <w:r>
        <w:rPr>
          <w:rFonts w:hint="default" w:ascii="Microsoft YaHei" w:hAnsi="Microsoft YaHei" w:eastAsia="Microsoft YaHei" w:cs="Microsoft YaHei"/>
          <w:i w:val="0"/>
          <w:caps w:val="0"/>
          <w:color w:val="303133"/>
          <w:spacing w:val="0"/>
          <w:sz w:val="21"/>
          <w:szCs w:val="21"/>
          <w:shd w:val="clear" w:fill="FFFFFF"/>
          <w:woUserID w:val="1"/>
        </w:rPr>
        <w:t>、</w:t>
      </w:r>
      <w:r>
        <w:rPr>
          <w:rFonts w:hint="default" w:ascii="Microsoft YaHei" w:hAnsi="Microsoft YaHei" w:eastAsia="Microsoft YaHei" w:cs="Microsoft YaHei"/>
          <w:i w:val="0"/>
          <w:caps w:val="0"/>
          <w:color w:val="303133"/>
          <w:spacing w:val="0"/>
          <w:sz w:val="21"/>
          <w:szCs w:val="21"/>
          <w:u w:val="single"/>
          <w:shd w:val="clear" w:fill="FFFFFF"/>
          <w:woUserID w:val="1"/>
        </w:rPr>
        <w:t xml:space="preserve">     </w:t>
      </w:r>
      <w:r>
        <w:rPr>
          <w:rFonts w:hint="default" w:ascii="Microsoft YaHei" w:hAnsi="Microsoft YaHei" w:eastAsia="Microsoft YaHei" w:cs="Microsoft YaHei"/>
          <w:i w:val="0"/>
          <w:caps w:val="0"/>
          <w:color w:val="303133"/>
          <w:spacing w:val="0"/>
          <w:sz w:val="21"/>
          <w:szCs w:val="21"/>
          <w:shd w:val="clear" w:fill="FFFFFF"/>
          <w:woUserID w:val="1"/>
        </w:rPr>
        <w:t>、</w:t>
      </w:r>
      <w:r>
        <w:rPr>
          <w:rFonts w:hint="default" w:ascii="Microsoft YaHei" w:hAnsi="Microsoft YaHei" w:eastAsia="Microsoft YaHei" w:cs="Microsoft YaHei"/>
          <w:i w:val="0"/>
          <w:caps w:val="0"/>
          <w:color w:val="303133"/>
          <w:spacing w:val="0"/>
          <w:sz w:val="21"/>
          <w:szCs w:val="21"/>
          <w:u w:val="single"/>
          <w:shd w:val="clear" w:fill="FFFFFF"/>
          <w:woUserID w:val="1"/>
        </w:rPr>
        <w:t xml:space="preserve">     </w:t>
      </w:r>
      <w:r>
        <w:rPr>
          <w:rFonts w:hint="default" w:ascii="Microsoft YaHei" w:hAnsi="Microsoft YaHei" w:eastAsia="Microsoft YaHei" w:cs="Microsoft YaHei"/>
          <w:i w:val="0"/>
          <w:caps w:val="0"/>
          <w:color w:val="303133"/>
          <w:spacing w:val="0"/>
          <w:sz w:val="21"/>
          <w:szCs w:val="21"/>
          <w:shd w:val="clear" w:fill="FFFFFF"/>
          <w:woUserID w:val="1"/>
        </w:rPr>
        <w:t>、</w:t>
      </w:r>
      <w:r>
        <w:rPr>
          <w:rFonts w:hint="default" w:ascii="Microsoft YaHei" w:hAnsi="Microsoft YaHei" w:eastAsia="Microsoft YaHei" w:cs="Microsoft YaHei"/>
          <w:i w:val="0"/>
          <w:caps w:val="0"/>
          <w:color w:val="303133"/>
          <w:spacing w:val="0"/>
          <w:sz w:val="21"/>
          <w:szCs w:val="21"/>
          <w:u w:val="single"/>
          <w:shd w:val="clear" w:fill="FFFFFF"/>
          <w:woUserID w:val="1"/>
        </w:rPr>
        <w:t xml:space="preserve">     </w:t>
      </w:r>
      <w:r>
        <w:rPr>
          <w:rFonts w:hint="default" w:ascii="Microsoft YaHei" w:hAnsi="Microsoft YaHei" w:eastAsia="Microsoft YaHei" w:cs="Microsoft YaHei"/>
          <w:i w:val="0"/>
          <w:caps w:val="0"/>
          <w:color w:val="303133"/>
          <w:spacing w:val="0"/>
          <w:sz w:val="21"/>
          <w:szCs w:val="21"/>
          <w:shd w:val="clear" w:fill="FFFFFF"/>
          <w:woUserID w:val="1"/>
        </w:rPr>
        <w:t>、</w:t>
      </w:r>
      <w:r>
        <w:rPr>
          <w:rFonts w:hint="default" w:ascii="Microsoft YaHei" w:hAnsi="Microsoft YaHei" w:eastAsia="Microsoft YaHei" w:cs="Microsoft YaHei"/>
          <w:i w:val="0"/>
          <w:caps w:val="0"/>
          <w:color w:val="303133"/>
          <w:spacing w:val="0"/>
          <w:sz w:val="21"/>
          <w:szCs w:val="21"/>
          <w:u w:val="single"/>
          <w:shd w:val="clear" w:fill="FFFFFF"/>
          <w:woUserID w:val="1"/>
        </w:rPr>
        <w:t xml:space="preserve">    </w:t>
      </w:r>
      <w:r>
        <w:rPr>
          <w:rFonts w:hint="default" w:ascii="Microsoft YaHei" w:hAnsi="Microsoft YaHei" w:eastAsia="Microsoft YaHei" w:cs="Microsoft YaHei"/>
          <w:i w:val="0"/>
          <w:caps w:val="0"/>
          <w:color w:val="303133"/>
          <w:spacing w:val="0"/>
          <w:sz w:val="21"/>
          <w:szCs w:val="21"/>
          <w:shd w:val="clear" w:fill="FFFFFF"/>
          <w:woUserID w:val="1"/>
        </w:rPr>
        <w:t>，分红率</w:t>
      </w:r>
      <w:r>
        <w:rPr>
          <w:rFonts w:hint="default" w:ascii="Microsoft YaHei" w:hAnsi="Microsoft YaHei" w:eastAsia="Microsoft YaHei" w:cs="Microsoft YaHei"/>
          <w:i w:val="0"/>
          <w:caps w:val="0"/>
          <w:color w:val="303133"/>
          <w:spacing w:val="0"/>
          <w:sz w:val="21"/>
          <w:szCs w:val="21"/>
          <w:u w:val="single"/>
          <w:shd w:val="clear" w:fill="FFFFFF"/>
          <w:woUserID w:val="1"/>
        </w:rPr>
        <w:t xml:space="preserve">    </w:t>
      </w:r>
      <w:r>
        <w:rPr>
          <w:rFonts w:hint="default" w:ascii="Microsoft YaHei" w:hAnsi="Microsoft YaHei" w:eastAsia="Microsoft YaHei" w:cs="Microsoft YaHei"/>
          <w:i w:val="0"/>
          <w:caps w:val="0"/>
          <w:color w:val="303133"/>
          <w:spacing w:val="0"/>
          <w:sz w:val="21"/>
          <w:szCs w:val="21"/>
          <w:shd w:val="clear" w:fill="FFFFFF"/>
          <w:woUserID w:val="1"/>
        </w:rPr>
        <w:t>年开始超过合理比率</w:t>
      </w:r>
      <w:r>
        <w:rPr>
          <w:rFonts w:hint="default" w:ascii="Microsoft YaHei" w:hAnsi="Microsoft YaHei" w:eastAsia="Microsoft YaHei" w:cs="Microsoft YaHei"/>
          <w:b/>
          <w:i w:val="0"/>
          <w:caps w:val="0"/>
          <w:color w:val="303133"/>
          <w:spacing w:val="0"/>
          <w:sz w:val="21"/>
          <w:szCs w:val="21"/>
          <w:shd w:val="clear" w:fill="FFFFFF"/>
          <w:woUserID w:val="1"/>
        </w:rPr>
        <w:t>。</w:t>
      </w:r>
      <w:r>
        <w:rPr>
          <w:rFonts w:hint="default" w:ascii="Microsoft YaHei" w:hAnsi="Microsoft YaHei" w:eastAsia="Microsoft YaHei" w:cs="Microsoft YaHei"/>
          <w:i w:val="0"/>
          <w:caps w:val="0"/>
          <w:color w:val="303133"/>
          <w:spacing w:val="0"/>
          <w:sz w:val="21"/>
          <w:szCs w:val="21"/>
          <w:shd w:val="clear" w:fill="FFFFFF"/>
          <w:woUserID w:val="1"/>
        </w:rPr>
        <w:t>分红率稳步上升，一定程度体现出公司的资金实力强，但2020年的分红率很难长期维持</w:t>
      </w:r>
      <w:r>
        <w:rPr>
          <w:rFonts w:hint="eastAsia"/>
        </w:rPr>
        <w:t>。</w:t>
      </w:r>
    </w:p>
    <w:p>
      <w:pPr>
        <w:pStyle w:val="34"/>
        <w:spacing w:line="360" w:lineRule="auto"/>
      </w:pPr>
      <w:r>
        <w:rPr>
          <w:rFonts w:hint="eastAsia"/>
        </w:rPr>
        <w:t>4.根据分析得出结论</w:t>
      </w:r>
    </w:p>
    <w:p>
      <w:pPr>
        <w:pStyle w:val="36"/>
      </w:pPr>
      <w:r>
        <w:rPr>
          <w:rFonts w:hint="eastAsia"/>
        </w:rPr>
        <w:t>公司近两年的现金分红</w:t>
      </w:r>
      <w:r>
        <w:rPr>
          <w:rFonts w:hint="eastAsia"/>
          <w:u w:val="single"/>
        </w:rPr>
        <w:t xml:space="preserve"> </w:t>
      </w:r>
      <w:r>
        <w:rPr>
          <w:u w:val="single"/>
        </w:rPr>
        <w:t xml:space="preserve">     </w:t>
      </w:r>
      <w:r>
        <w:rPr>
          <w:rFonts w:hint="eastAsia"/>
        </w:rPr>
        <w:t>长期持续</w:t>
      </w:r>
      <w:r>
        <w:rPr>
          <w:rFonts w:hint="eastAsia"/>
          <w:b/>
          <w:bCs/>
          <w:color w:val="C55A11" w:themeColor="accent2" w:themeShade="BF"/>
        </w:rPr>
        <w:t>（根据导图和以上分析综合判断，选项：很难或能够）</w:t>
      </w:r>
      <w:r>
        <w:rPr>
          <w:rFonts w:hint="eastAsia"/>
        </w:rPr>
        <w:t>。</w:t>
      </w:r>
    </w:p>
    <w:p>
      <w:pPr>
        <w:pStyle w:val="4"/>
        <w:spacing w:line="360" w:lineRule="auto"/>
        <w:rPr>
          <w:rFonts w:ascii="KaiTi" w:hAnsi="KaiTi" w:eastAsia="KaiTi"/>
          <w:sz w:val="24"/>
        </w:rPr>
      </w:pPr>
      <w:r>
        <w:rPr>
          <w:rFonts w:hint="eastAsia" w:ascii="KaiTi" w:hAnsi="KaiTi" w:eastAsia="KaiTi"/>
        </w:rPr>
        <w:t>第四步，看经营、投资、筹资活动产生的现金流量净额</w:t>
      </w:r>
      <w:r>
        <w:rPr>
          <w:rFonts w:hint="eastAsia" w:ascii="KaiTi" w:hAnsi="KaiTi" w:eastAsia="KaiTi"/>
          <w:sz w:val="24"/>
        </w:rPr>
        <w:t>（</w:t>
      </w:r>
      <w:r>
        <w:rPr>
          <w:rFonts w:ascii="KaiTi" w:hAnsi="KaiTi" w:eastAsia="KaiTi"/>
          <w:sz w:val="24"/>
        </w:rPr>
        <w:t>10</w:t>
      </w:r>
      <w:r>
        <w:rPr>
          <w:rFonts w:hint="eastAsia" w:ascii="KaiTi" w:hAnsi="KaiTi" w:eastAsia="KaiTi"/>
          <w:sz w:val="24"/>
        </w:rPr>
        <w:t>分）</w:t>
      </w:r>
    </w:p>
    <w:p>
      <w:pPr>
        <w:pStyle w:val="34"/>
        <w:spacing w:line="360" w:lineRule="auto"/>
      </w:pPr>
      <w:r>
        <w:rPr>
          <w:rFonts w:hint="eastAsia"/>
        </w:rPr>
        <w:t>1.分析思路</w:t>
      </w:r>
      <w:r>
        <w:rPr>
          <w:b w:val="0"/>
        </w:rPr>
        <w:drawing>
          <wp:inline distT="0" distB="0" distL="0" distR="0">
            <wp:extent cx="5862320" cy="1632585"/>
            <wp:effectExtent l="0" t="0" r="508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870440" cy="1635009"/>
                    </a:xfrm>
                    <a:prstGeom prst="rect">
                      <a:avLst/>
                    </a:prstGeom>
                    <a:noFill/>
                    <a:ln>
                      <a:noFill/>
                    </a:ln>
                  </pic:spPr>
                </pic:pic>
              </a:graphicData>
            </a:graphic>
          </wp:inline>
        </w:drawing>
      </w:r>
    </w:p>
    <w:p>
      <w:pPr>
        <w:pStyle w:val="34"/>
        <w:spacing w:line="360" w:lineRule="auto"/>
      </w:pPr>
      <w:r>
        <w:rPr>
          <w:rFonts w:hint="eastAsia"/>
        </w:rPr>
        <w:t>2.数据收集汇总：经营活动产生的现金流量净额、投资活动产生的现金流量净额、筹资活动产生的现金流量净额，并判断公司当年所属类型</w:t>
      </w:r>
    </w:p>
    <w:p>
      <w:pPr>
        <w:spacing w:line="360" w:lineRule="auto"/>
        <w:rPr>
          <w:rFonts w:ascii="KaiTi" w:hAnsi="KaiTi" w:eastAsia="KaiTi"/>
          <w:b/>
          <w:bCs/>
        </w:rPr>
      </w:pPr>
      <w:r>
        <w:rPr>
          <w:rFonts w:ascii="KaiTi" w:hAnsi="KaiTi" w:eastAsia="KaiTi"/>
        </w:rPr>
        <w:t xml:space="preserve">                                                      </w:t>
      </w:r>
      <w:r>
        <w:rPr>
          <w:rFonts w:hint="eastAsia" w:ascii="KaiTi" w:hAnsi="KaiTi" w:eastAsia="KaiTi"/>
          <w:b/>
          <w:bCs/>
        </w:rPr>
        <w:t>单位：亿元</w:t>
      </w:r>
    </w:p>
    <w:tbl>
      <w:tblPr>
        <w:tblStyle w:val="14"/>
        <w:tblW w:w="8642" w:type="dxa"/>
        <w:jc w:val="center"/>
        <w:tblInd w:w="0" w:type="dxa"/>
        <w:tblLayout w:type="fixed"/>
        <w:tblCellMar>
          <w:top w:w="0" w:type="dxa"/>
          <w:left w:w="108" w:type="dxa"/>
          <w:bottom w:w="0" w:type="dxa"/>
          <w:right w:w="108" w:type="dxa"/>
        </w:tblCellMar>
      </w:tblPr>
      <w:tblGrid>
        <w:gridCol w:w="2107"/>
        <w:gridCol w:w="1131"/>
        <w:gridCol w:w="1131"/>
        <w:gridCol w:w="1131"/>
        <w:gridCol w:w="1131"/>
        <w:gridCol w:w="1019"/>
        <w:gridCol w:w="992"/>
      </w:tblGrid>
      <w:tr>
        <w:tblPrEx>
          <w:tblLayout w:type="fixed"/>
          <w:tblCellMar>
            <w:top w:w="0" w:type="dxa"/>
            <w:left w:w="108" w:type="dxa"/>
            <w:bottom w:w="0" w:type="dxa"/>
            <w:right w:w="108" w:type="dxa"/>
          </w:tblCellMar>
        </w:tblPrEx>
        <w:trPr>
          <w:trHeight w:val="454" w:hRule="atLeast"/>
          <w:jc w:val="center"/>
        </w:trPr>
        <w:tc>
          <w:tcPr>
            <w:tcW w:w="2107" w:type="dxa"/>
            <w:tcBorders>
              <w:top w:val="single" w:color="auto" w:sz="4" w:space="0"/>
              <w:left w:val="single" w:color="auto" w:sz="4" w:space="0"/>
              <w:bottom w:val="single" w:color="auto" w:sz="4" w:space="0"/>
              <w:right w:val="single" w:color="auto" w:sz="4" w:space="0"/>
            </w:tcBorders>
            <w:shd w:val="clear" w:color="000000" w:fill="4F81BD"/>
            <w:vAlign w:val="center"/>
          </w:tcPr>
          <w:p>
            <w:pPr>
              <w:spacing w:line="360" w:lineRule="auto"/>
              <w:jc w:val="center"/>
              <w:rPr>
                <w:rFonts w:ascii="KaiTi" w:hAnsi="KaiTi" w:eastAsia="KaiTi"/>
                <w:b/>
                <w:bCs/>
                <w:color w:val="FFFFFF"/>
                <w:sz w:val="20"/>
                <w:szCs w:val="20"/>
              </w:rPr>
            </w:pPr>
            <w:r>
              <w:rPr>
                <w:rFonts w:hint="eastAsia" w:ascii="KaiTi" w:hAnsi="KaiTi" w:eastAsia="KaiTi"/>
                <w:b/>
                <w:bCs/>
                <w:color w:val="FFFFFF"/>
                <w:sz w:val="20"/>
                <w:szCs w:val="20"/>
              </w:rPr>
              <w:t>看经营活动正负组合</w:t>
            </w:r>
          </w:p>
        </w:tc>
        <w:tc>
          <w:tcPr>
            <w:tcW w:w="1131" w:type="dxa"/>
            <w:tcBorders>
              <w:top w:val="single" w:color="auto" w:sz="4" w:space="0"/>
              <w:left w:val="nil"/>
              <w:bottom w:val="single" w:color="auto" w:sz="4" w:space="0"/>
              <w:right w:val="single" w:color="auto" w:sz="4" w:space="0"/>
            </w:tcBorders>
            <w:shd w:val="clear" w:color="000000" w:fill="4F81BD"/>
            <w:vAlign w:val="center"/>
          </w:tcPr>
          <w:p>
            <w:pPr>
              <w:spacing w:line="360" w:lineRule="auto"/>
              <w:jc w:val="center"/>
              <w:rPr>
                <w:rFonts w:ascii="KaiTi" w:hAnsi="KaiTi" w:eastAsia="KaiTi"/>
                <w:b/>
                <w:bCs/>
                <w:color w:val="FFFFFF"/>
                <w:sz w:val="20"/>
                <w:szCs w:val="20"/>
              </w:rPr>
            </w:pPr>
            <w:r>
              <w:rPr>
                <w:rFonts w:hint="eastAsia" w:ascii="KaiTi" w:hAnsi="KaiTi" w:eastAsia="KaiTi"/>
                <w:b/>
                <w:bCs/>
                <w:color w:val="FFFFFF"/>
                <w:sz w:val="20"/>
                <w:szCs w:val="20"/>
              </w:rPr>
              <w:t>2016</w:t>
            </w:r>
          </w:p>
        </w:tc>
        <w:tc>
          <w:tcPr>
            <w:tcW w:w="1131" w:type="dxa"/>
            <w:tcBorders>
              <w:top w:val="single" w:color="auto" w:sz="4" w:space="0"/>
              <w:left w:val="nil"/>
              <w:bottom w:val="single" w:color="auto" w:sz="4" w:space="0"/>
              <w:right w:val="single" w:color="auto" w:sz="4" w:space="0"/>
            </w:tcBorders>
            <w:shd w:val="clear" w:color="000000" w:fill="4F81BD"/>
            <w:vAlign w:val="center"/>
          </w:tcPr>
          <w:p>
            <w:pPr>
              <w:spacing w:line="360" w:lineRule="auto"/>
              <w:jc w:val="center"/>
              <w:rPr>
                <w:rFonts w:ascii="KaiTi" w:hAnsi="KaiTi" w:eastAsia="KaiTi"/>
                <w:b/>
                <w:bCs/>
                <w:color w:val="FFFFFF"/>
                <w:sz w:val="20"/>
                <w:szCs w:val="20"/>
              </w:rPr>
            </w:pPr>
            <w:r>
              <w:rPr>
                <w:rFonts w:hint="eastAsia" w:ascii="KaiTi" w:hAnsi="KaiTi" w:eastAsia="KaiTi"/>
                <w:b/>
                <w:bCs/>
                <w:color w:val="FFFFFF"/>
                <w:sz w:val="20"/>
                <w:szCs w:val="20"/>
              </w:rPr>
              <w:t>2017</w:t>
            </w:r>
          </w:p>
        </w:tc>
        <w:tc>
          <w:tcPr>
            <w:tcW w:w="1131" w:type="dxa"/>
            <w:tcBorders>
              <w:top w:val="single" w:color="auto" w:sz="4" w:space="0"/>
              <w:left w:val="nil"/>
              <w:bottom w:val="single" w:color="auto" w:sz="4" w:space="0"/>
              <w:right w:val="single" w:color="auto" w:sz="4" w:space="0"/>
            </w:tcBorders>
            <w:shd w:val="clear" w:color="000000" w:fill="4F81BD"/>
            <w:vAlign w:val="center"/>
          </w:tcPr>
          <w:p>
            <w:pPr>
              <w:spacing w:line="360" w:lineRule="auto"/>
              <w:jc w:val="center"/>
              <w:rPr>
                <w:rFonts w:ascii="KaiTi" w:hAnsi="KaiTi" w:eastAsia="KaiTi"/>
                <w:b/>
                <w:bCs/>
                <w:color w:val="FFFFFF"/>
                <w:sz w:val="20"/>
                <w:szCs w:val="20"/>
              </w:rPr>
            </w:pPr>
            <w:r>
              <w:rPr>
                <w:rFonts w:hint="eastAsia" w:ascii="KaiTi" w:hAnsi="KaiTi" w:eastAsia="KaiTi"/>
                <w:b/>
                <w:bCs/>
                <w:color w:val="FFFFFF"/>
                <w:sz w:val="20"/>
                <w:szCs w:val="20"/>
              </w:rPr>
              <w:t>2018</w:t>
            </w:r>
          </w:p>
        </w:tc>
        <w:tc>
          <w:tcPr>
            <w:tcW w:w="1131" w:type="dxa"/>
            <w:tcBorders>
              <w:top w:val="single" w:color="auto" w:sz="4" w:space="0"/>
              <w:left w:val="nil"/>
              <w:bottom w:val="single" w:color="auto" w:sz="4" w:space="0"/>
              <w:right w:val="single" w:color="auto" w:sz="4" w:space="0"/>
            </w:tcBorders>
            <w:shd w:val="clear" w:color="000000" w:fill="4F81BD"/>
            <w:vAlign w:val="center"/>
          </w:tcPr>
          <w:p>
            <w:pPr>
              <w:spacing w:line="360" w:lineRule="auto"/>
              <w:jc w:val="center"/>
              <w:rPr>
                <w:rFonts w:ascii="KaiTi" w:hAnsi="KaiTi" w:eastAsia="KaiTi"/>
                <w:b/>
                <w:bCs/>
                <w:color w:val="FFFFFF"/>
                <w:sz w:val="20"/>
                <w:szCs w:val="20"/>
              </w:rPr>
            </w:pPr>
            <w:r>
              <w:rPr>
                <w:rFonts w:hint="eastAsia" w:ascii="KaiTi" w:hAnsi="KaiTi" w:eastAsia="KaiTi"/>
                <w:b/>
                <w:bCs/>
                <w:color w:val="FFFFFF"/>
                <w:sz w:val="20"/>
                <w:szCs w:val="20"/>
              </w:rPr>
              <w:t>2019</w:t>
            </w:r>
          </w:p>
        </w:tc>
        <w:tc>
          <w:tcPr>
            <w:tcW w:w="1019" w:type="dxa"/>
            <w:tcBorders>
              <w:top w:val="single" w:color="auto" w:sz="4" w:space="0"/>
              <w:left w:val="nil"/>
              <w:bottom w:val="single" w:color="auto" w:sz="4" w:space="0"/>
              <w:right w:val="single" w:color="auto" w:sz="4" w:space="0"/>
            </w:tcBorders>
            <w:shd w:val="clear" w:color="000000" w:fill="4F81BD"/>
            <w:vAlign w:val="center"/>
          </w:tcPr>
          <w:p>
            <w:pPr>
              <w:spacing w:line="360" w:lineRule="auto"/>
              <w:jc w:val="center"/>
              <w:rPr>
                <w:rFonts w:ascii="KaiTi" w:hAnsi="KaiTi" w:eastAsia="KaiTi"/>
                <w:b/>
                <w:bCs/>
                <w:color w:val="FFFFFF"/>
                <w:sz w:val="20"/>
                <w:szCs w:val="20"/>
              </w:rPr>
            </w:pPr>
            <w:r>
              <w:rPr>
                <w:rFonts w:hint="eastAsia" w:ascii="KaiTi" w:hAnsi="KaiTi" w:eastAsia="KaiTi"/>
                <w:b/>
                <w:bCs/>
                <w:color w:val="FFFFFF"/>
                <w:sz w:val="20"/>
                <w:szCs w:val="20"/>
              </w:rPr>
              <w:t>2020</w:t>
            </w:r>
          </w:p>
        </w:tc>
        <w:tc>
          <w:tcPr>
            <w:tcW w:w="992" w:type="dxa"/>
            <w:tcBorders>
              <w:top w:val="nil"/>
              <w:left w:val="nil"/>
              <w:bottom w:val="nil"/>
              <w:right w:val="nil"/>
            </w:tcBorders>
            <w:shd w:val="clear" w:color="auto" w:fill="auto"/>
            <w:noWrap/>
            <w:vAlign w:val="bottom"/>
          </w:tcPr>
          <w:p>
            <w:pPr>
              <w:spacing w:line="360" w:lineRule="auto"/>
              <w:jc w:val="center"/>
              <w:rPr>
                <w:rFonts w:ascii="KaiTi" w:hAnsi="KaiTi" w:eastAsia="KaiTi"/>
                <w:b/>
                <w:bCs/>
                <w:color w:val="FFFFFF"/>
                <w:sz w:val="20"/>
                <w:szCs w:val="20"/>
              </w:rPr>
            </w:pPr>
          </w:p>
        </w:tc>
      </w:tr>
      <w:tr>
        <w:tblPrEx>
          <w:tblLayout w:type="fixed"/>
          <w:tblCellMar>
            <w:top w:w="0" w:type="dxa"/>
            <w:left w:w="108" w:type="dxa"/>
            <w:bottom w:w="0" w:type="dxa"/>
            <w:right w:w="108" w:type="dxa"/>
          </w:tblCellMar>
        </w:tblPrEx>
        <w:trPr>
          <w:trHeight w:val="454" w:hRule="atLeast"/>
          <w:jc w:val="center"/>
        </w:trPr>
        <w:tc>
          <w:tcPr>
            <w:tcW w:w="2107" w:type="dxa"/>
            <w:tcBorders>
              <w:top w:val="nil"/>
              <w:left w:val="single" w:color="auto" w:sz="4" w:space="0"/>
              <w:bottom w:val="single" w:color="auto" w:sz="4" w:space="0"/>
              <w:right w:val="single" w:color="auto" w:sz="4" w:space="0"/>
            </w:tcBorders>
            <w:shd w:val="clear" w:color="auto" w:fill="auto"/>
            <w:vAlign w:val="center"/>
          </w:tcPr>
          <w:p>
            <w:pPr>
              <w:jc w:val="center"/>
              <w:rPr>
                <w:rFonts w:ascii="KaiTi" w:hAnsi="KaiTi" w:eastAsia="KaiTi"/>
                <w:sz w:val="18"/>
                <w:szCs w:val="18"/>
              </w:rPr>
            </w:pPr>
            <w:r>
              <w:rPr>
                <w:rFonts w:hint="eastAsia" w:ascii="KaiTi" w:hAnsi="KaiTi" w:eastAsia="KaiTi"/>
                <w:sz w:val="18"/>
                <w:szCs w:val="18"/>
              </w:rPr>
              <w:t>经营活动产生的现金流量净额</w:t>
            </w:r>
          </w:p>
        </w:tc>
        <w:tc>
          <w:tcPr>
            <w:tcW w:w="1131"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r>
              <w:rPr>
                <w:rFonts w:ascii="KaiTi" w:hAnsi="KaiTi" w:eastAsia="KaiTi" w:cs="Arial"/>
                <w:sz w:val="20"/>
                <w:szCs w:val="20"/>
              </w:rPr>
              <w:t>74.05</w:t>
            </w:r>
          </w:p>
        </w:tc>
        <w:tc>
          <w:tcPr>
            <w:tcW w:w="1131"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r>
              <w:rPr>
                <w:rFonts w:ascii="KaiTi" w:hAnsi="KaiTi" w:eastAsia="KaiTi" w:cs="Arial"/>
                <w:sz w:val="20"/>
                <w:szCs w:val="20"/>
              </w:rPr>
              <w:t>68.83</w:t>
            </w:r>
          </w:p>
        </w:tc>
        <w:tc>
          <w:tcPr>
            <w:tcW w:w="1131"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r>
              <w:rPr>
                <w:rFonts w:ascii="KaiTi" w:hAnsi="KaiTi" w:eastAsia="KaiTi" w:cs="Arial"/>
                <w:sz w:val="20"/>
                <w:szCs w:val="20"/>
              </w:rPr>
              <w:t>90.57</w:t>
            </w:r>
          </w:p>
        </w:tc>
        <w:tc>
          <w:tcPr>
            <w:tcW w:w="1131"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r>
              <w:rPr>
                <w:rFonts w:ascii="KaiTi" w:hAnsi="KaiTi" w:eastAsia="KaiTi" w:cs="Arial"/>
                <w:sz w:val="20"/>
                <w:szCs w:val="20"/>
              </w:rPr>
              <w:t>67.98</w:t>
            </w:r>
          </w:p>
        </w:tc>
        <w:tc>
          <w:tcPr>
            <w:tcW w:w="1019" w:type="dxa"/>
            <w:tcBorders>
              <w:top w:val="nil"/>
              <w:left w:val="nil"/>
              <w:bottom w:val="single" w:color="auto" w:sz="4" w:space="0"/>
              <w:right w:val="single" w:color="auto" w:sz="4" w:space="0"/>
            </w:tcBorders>
            <w:shd w:val="clear" w:color="000000" w:fill="FFFF00"/>
            <w:noWrap/>
            <w:vAlign w:val="center"/>
          </w:tcPr>
          <w:p>
            <w:pPr>
              <w:jc w:val="right"/>
              <w:rPr>
                <w:rFonts w:ascii="KaiTi" w:hAnsi="KaiTi" w:eastAsia="KaiTi" w:cs="Arial"/>
                <w:sz w:val="20"/>
                <w:szCs w:val="20"/>
              </w:rPr>
            </w:pPr>
          </w:p>
        </w:tc>
        <w:tc>
          <w:tcPr>
            <w:tcW w:w="992" w:type="dxa"/>
            <w:tcBorders>
              <w:top w:val="nil"/>
              <w:left w:val="nil"/>
              <w:bottom w:val="nil"/>
              <w:right w:val="nil"/>
            </w:tcBorders>
            <w:shd w:val="clear" w:color="auto" w:fill="auto"/>
            <w:noWrap/>
            <w:vAlign w:val="bottom"/>
          </w:tcPr>
          <w:p>
            <w:pPr>
              <w:rPr>
                <w:rFonts w:ascii="KaiTi" w:hAnsi="KaiTi" w:eastAsia="KaiTi"/>
                <w:color w:val="2F75B5"/>
                <w:sz w:val="22"/>
                <w:szCs w:val="22"/>
              </w:rPr>
            </w:pPr>
            <w:r>
              <w:rPr>
                <w:rFonts w:hint="eastAsia" w:ascii="KaiTi" w:hAnsi="KaiTi" w:eastAsia="KaiTi"/>
                <w:color w:val="2F75B5"/>
                <w:sz w:val="22"/>
                <w:szCs w:val="22"/>
              </w:rPr>
              <w:t xml:space="preserve"> 第一步已查找 </w:t>
            </w:r>
          </w:p>
        </w:tc>
      </w:tr>
      <w:tr>
        <w:tblPrEx>
          <w:tblLayout w:type="fixed"/>
          <w:tblCellMar>
            <w:top w:w="0" w:type="dxa"/>
            <w:left w:w="108" w:type="dxa"/>
            <w:bottom w:w="0" w:type="dxa"/>
            <w:right w:w="108" w:type="dxa"/>
          </w:tblCellMar>
        </w:tblPrEx>
        <w:trPr>
          <w:trHeight w:val="454" w:hRule="atLeast"/>
          <w:jc w:val="center"/>
        </w:trPr>
        <w:tc>
          <w:tcPr>
            <w:tcW w:w="2107" w:type="dxa"/>
            <w:tcBorders>
              <w:top w:val="nil"/>
              <w:left w:val="single" w:color="auto" w:sz="4" w:space="0"/>
              <w:bottom w:val="single" w:color="auto" w:sz="4" w:space="0"/>
              <w:right w:val="single" w:color="auto" w:sz="4" w:space="0"/>
            </w:tcBorders>
            <w:shd w:val="clear" w:color="auto" w:fill="auto"/>
            <w:vAlign w:val="center"/>
          </w:tcPr>
          <w:p>
            <w:pPr>
              <w:jc w:val="center"/>
              <w:rPr>
                <w:rFonts w:ascii="KaiTi" w:hAnsi="KaiTi" w:eastAsia="KaiTi"/>
                <w:sz w:val="18"/>
                <w:szCs w:val="18"/>
              </w:rPr>
            </w:pPr>
            <w:r>
              <w:rPr>
                <w:rFonts w:hint="eastAsia" w:ascii="KaiTi" w:hAnsi="KaiTi" w:eastAsia="KaiTi"/>
                <w:sz w:val="18"/>
                <w:szCs w:val="18"/>
              </w:rPr>
              <w:t>投资活动产生的现金流量净额</w:t>
            </w:r>
          </w:p>
        </w:tc>
        <w:tc>
          <w:tcPr>
            <w:tcW w:w="1131"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p>
          <w:p>
            <w:pPr>
              <w:jc w:val="right"/>
              <w:rPr>
                <w:rFonts w:ascii="KaiTi" w:hAnsi="KaiTi" w:eastAsia="KaiTi" w:cs="Arial"/>
                <w:sz w:val="20"/>
                <w:szCs w:val="20"/>
              </w:rPr>
            </w:pPr>
            <w:r>
              <w:rPr>
                <w:rFonts w:ascii="KaiTi" w:hAnsi="KaiTi" w:eastAsia="KaiTi" w:cs="Arial"/>
                <w:sz w:val="20"/>
                <w:szCs w:val="20"/>
              </w:rPr>
              <w:t>-59.64</w:t>
            </w:r>
          </w:p>
        </w:tc>
        <w:tc>
          <w:tcPr>
            <w:tcW w:w="1131"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p>
          <w:p>
            <w:pPr>
              <w:jc w:val="right"/>
              <w:rPr>
                <w:rFonts w:ascii="KaiTi" w:hAnsi="KaiTi" w:eastAsia="KaiTi" w:cs="Arial"/>
                <w:sz w:val="20"/>
                <w:szCs w:val="20"/>
              </w:rPr>
            </w:pPr>
            <w:r>
              <w:rPr>
                <w:rFonts w:ascii="KaiTi" w:hAnsi="KaiTi" w:eastAsia="KaiTi" w:cs="Arial"/>
                <w:sz w:val="20"/>
                <w:szCs w:val="20"/>
              </w:rPr>
              <w:t>-41.61</w:t>
            </w:r>
          </w:p>
        </w:tc>
        <w:tc>
          <w:tcPr>
            <w:tcW w:w="1131"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p>
          <w:p>
            <w:pPr>
              <w:jc w:val="right"/>
              <w:rPr>
                <w:rFonts w:ascii="KaiTi" w:hAnsi="KaiTi" w:eastAsia="KaiTi" w:cs="Arial"/>
                <w:sz w:val="20"/>
                <w:szCs w:val="20"/>
              </w:rPr>
            </w:pPr>
            <w:r>
              <w:rPr>
                <w:rFonts w:ascii="KaiTi" w:hAnsi="KaiTi" w:eastAsia="KaiTi" w:cs="Arial"/>
                <w:sz w:val="20"/>
                <w:szCs w:val="20"/>
              </w:rPr>
              <w:t>-33.49</w:t>
            </w:r>
          </w:p>
        </w:tc>
        <w:tc>
          <w:tcPr>
            <w:tcW w:w="1131"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p>
          <w:p>
            <w:pPr>
              <w:jc w:val="right"/>
              <w:rPr>
                <w:rFonts w:ascii="KaiTi" w:hAnsi="KaiTi" w:eastAsia="KaiTi" w:cs="Arial"/>
                <w:sz w:val="20"/>
                <w:szCs w:val="20"/>
              </w:rPr>
            </w:pPr>
            <w:r>
              <w:rPr>
                <w:rFonts w:ascii="KaiTi" w:hAnsi="KaiTi" w:eastAsia="KaiTi" w:cs="Arial"/>
                <w:sz w:val="20"/>
                <w:szCs w:val="20"/>
              </w:rPr>
              <w:t>-12.93</w:t>
            </w:r>
          </w:p>
        </w:tc>
        <w:tc>
          <w:tcPr>
            <w:tcW w:w="1019" w:type="dxa"/>
            <w:tcBorders>
              <w:top w:val="nil"/>
              <w:left w:val="nil"/>
              <w:bottom w:val="single" w:color="auto" w:sz="4" w:space="0"/>
              <w:right w:val="single" w:color="auto" w:sz="4" w:space="0"/>
            </w:tcBorders>
            <w:shd w:val="clear" w:color="000000" w:fill="FFFF00"/>
            <w:noWrap/>
            <w:vAlign w:val="center"/>
          </w:tcPr>
          <w:p>
            <w:pPr>
              <w:jc w:val="right"/>
              <w:rPr>
                <w:rFonts w:ascii="KaiTi" w:hAnsi="KaiTi" w:eastAsia="KaiTi" w:cs="Arial"/>
                <w:sz w:val="20"/>
                <w:szCs w:val="20"/>
              </w:rPr>
            </w:pPr>
          </w:p>
        </w:tc>
        <w:tc>
          <w:tcPr>
            <w:tcW w:w="992" w:type="dxa"/>
            <w:tcBorders>
              <w:top w:val="nil"/>
              <w:left w:val="nil"/>
              <w:bottom w:val="nil"/>
              <w:right w:val="nil"/>
            </w:tcBorders>
            <w:shd w:val="clear" w:color="auto" w:fill="auto"/>
            <w:noWrap/>
            <w:vAlign w:val="bottom"/>
          </w:tcPr>
          <w:p>
            <w:pPr>
              <w:rPr>
                <w:rFonts w:ascii="KaiTi" w:hAnsi="KaiTi" w:eastAsia="KaiTi"/>
                <w:color w:val="2F75B5"/>
                <w:sz w:val="22"/>
                <w:szCs w:val="22"/>
              </w:rPr>
            </w:pPr>
            <w:r>
              <w:rPr>
                <w:rFonts w:hint="eastAsia" w:ascii="KaiTi" w:hAnsi="KaiTi" w:eastAsia="KaiTi"/>
                <w:color w:val="2F75B5"/>
                <w:sz w:val="22"/>
                <w:szCs w:val="22"/>
              </w:rPr>
              <w:t xml:space="preserve"> 解析4</w:t>
            </w:r>
          </w:p>
        </w:tc>
      </w:tr>
      <w:tr>
        <w:tblPrEx>
          <w:tblLayout w:type="fixed"/>
          <w:tblCellMar>
            <w:top w:w="0" w:type="dxa"/>
            <w:left w:w="108" w:type="dxa"/>
            <w:bottom w:w="0" w:type="dxa"/>
            <w:right w:w="108" w:type="dxa"/>
          </w:tblCellMar>
        </w:tblPrEx>
        <w:trPr>
          <w:trHeight w:val="454" w:hRule="atLeast"/>
          <w:jc w:val="center"/>
        </w:trPr>
        <w:tc>
          <w:tcPr>
            <w:tcW w:w="2107" w:type="dxa"/>
            <w:tcBorders>
              <w:top w:val="nil"/>
              <w:left w:val="single" w:color="auto" w:sz="4" w:space="0"/>
              <w:bottom w:val="single" w:color="auto" w:sz="4" w:space="0"/>
              <w:right w:val="single" w:color="auto" w:sz="4" w:space="0"/>
            </w:tcBorders>
            <w:shd w:val="clear" w:color="auto" w:fill="auto"/>
            <w:vAlign w:val="center"/>
          </w:tcPr>
          <w:p>
            <w:pPr>
              <w:jc w:val="center"/>
              <w:rPr>
                <w:rFonts w:ascii="KaiTi" w:hAnsi="KaiTi" w:eastAsia="KaiTi"/>
                <w:sz w:val="18"/>
                <w:szCs w:val="18"/>
              </w:rPr>
            </w:pPr>
            <w:r>
              <w:rPr>
                <w:rFonts w:hint="eastAsia" w:ascii="KaiTi" w:hAnsi="KaiTi" w:eastAsia="KaiTi"/>
                <w:sz w:val="18"/>
                <w:szCs w:val="18"/>
              </w:rPr>
              <w:t>筹资活动产生的现金流量净额</w:t>
            </w:r>
          </w:p>
        </w:tc>
        <w:tc>
          <w:tcPr>
            <w:tcW w:w="1131"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p>
          <w:p>
            <w:pPr>
              <w:jc w:val="right"/>
              <w:rPr>
                <w:rFonts w:ascii="KaiTi" w:hAnsi="KaiTi" w:eastAsia="KaiTi" w:cs="Arial"/>
                <w:sz w:val="20"/>
                <w:szCs w:val="20"/>
              </w:rPr>
            </w:pPr>
            <w:r>
              <w:rPr>
                <w:rFonts w:ascii="KaiTi" w:hAnsi="KaiTi" w:eastAsia="KaiTi" w:cs="Arial"/>
                <w:sz w:val="20"/>
                <w:szCs w:val="20"/>
              </w:rPr>
              <w:t>-36.97</w:t>
            </w:r>
          </w:p>
        </w:tc>
        <w:tc>
          <w:tcPr>
            <w:tcW w:w="1131"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p>
          <w:p>
            <w:pPr>
              <w:jc w:val="right"/>
              <w:rPr>
                <w:rFonts w:ascii="KaiTi" w:hAnsi="KaiTi" w:eastAsia="KaiTi" w:cs="Arial"/>
                <w:sz w:val="20"/>
                <w:szCs w:val="20"/>
              </w:rPr>
            </w:pPr>
            <w:r>
              <w:rPr>
                <w:rFonts w:ascii="KaiTi" w:hAnsi="KaiTi" w:eastAsia="KaiTi" w:cs="Arial"/>
                <w:sz w:val="20"/>
                <w:szCs w:val="20"/>
              </w:rPr>
              <w:t>-34.17</w:t>
            </w:r>
          </w:p>
        </w:tc>
        <w:tc>
          <w:tcPr>
            <w:tcW w:w="1131"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p>
          <w:p>
            <w:pPr>
              <w:jc w:val="right"/>
              <w:rPr>
                <w:rFonts w:ascii="KaiTi" w:hAnsi="KaiTi" w:eastAsia="KaiTi" w:cs="Arial"/>
                <w:sz w:val="20"/>
                <w:szCs w:val="20"/>
              </w:rPr>
            </w:pPr>
            <w:r>
              <w:rPr>
                <w:rFonts w:ascii="KaiTi" w:hAnsi="KaiTi" w:eastAsia="KaiTi" w:cs="Arial"/>
                <w:sz w:val="20"/>
                <w:szCs w:val="20"/>
              </w:rPr>
              <w:t>-38.41</w:t>
            </w:r>
          </w:p>
        </w:tc>
        <w:tc>
          <w:tcPr>
            <w:tcW w:w="1131"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p>
          <w:p>
            <w:pPr>
              <w:jc w:val="right"/>
              <w:rPr>
                <w:rFonts w:ascii="KaiTi" w:hAnsi="KaiTi" w:eastAsia="KaiTi" w:cs="Arial"/>
                <w:sz w:val="20"/>
                <w:szCs w:val="20"/>
              </w:rPr>
            </w:pPr>
            <w:r>
              <w:rPr>
                <w:rFonts w:ascii="KaiTi" w:hAnsi="KaiTi" w:eastAsia="KaiTi" w:cs="Arial"/>
                <w:sz w:val="20"/>
                <w:szCs w:val="20"/>
              </w:rPr>
              <w:t>-48.23</w:t>
            </w:r>
          </w:p>
        </w:tc>
        <w:tc>
          <w:tcPr>
            <w:tcW w:w="1019" w:type="dxa"/>
            <w:tcBorders>
              <w:top w:val="nil"/>
              <w:left w:val="nil"/>
              <w:bottom w:val="single" w:color="auto" w:sz="4" w:space="0"/>
              <w:right w:val="single" w:color="auto" w:sz="4" w:space="0"/>
            </w:tcBorders>
            <w:shd w:val="clear" w:color="000000" w:fill="FFFF00"/>
            <w:noWrap/>
            <w:vAlign w:val="center"/>
          </w:tcPr>
          <w:p>
            <w:pPr>
              <w:jc w:val="right"/>
              <w:rPr>
                <w:rFonts w:ascii="KaiTi" w:hAnsi="KaiTi" w:eastAsia="KaiTi" w:cs="Arial"/>
                <w:sz w:val="20"/>
                <w:szCs w:val="20"/>
              </w:rPr>
            </w:pPr>
          </w:p>
        </w:tc>
        <w:tc>
          <w:tcPr>
            <w:tcW w:w="992" w:type="dxa"/>
            <w:tcBorders>
              <w:top w:val="nil"/>
              <w:left w:val="nil"/>
              <w:bottom w:val="nil"/>
              <w:right w:val="nil"/>
            </w:tcBorders>
            <w:shd w:val="clear" w:color="auto" w:fill="auto"/>
            <w:noWrap/>
            <w:vAlign w:val="bottom"/>
          </w:tcPr>
          <w:p>
            <w:pPr>
              <w:rPr>
                <w:rFonts w:ascii="KaiTi" w:hAnsi="KaiTi" w:eastAsia="KaiTi"/>
                <w:color w:val="2F75B5"/>
                <w:sz w:val="22"/>
                <w:szCs w:val="22"/>
              </w:rPr>
            </w:pPr>
            <w:r>
              <w:rPr>
                <w:rFonts w:hint="eastAsia" w:ascii="KaiTi" w:hAnsi="KaiTi" w:eastAsia="KaiTi"/>
                <w:color w:val="2F75B5"/>
                <w:sz w:val="22"/>
                <w:szCs w:val="22"/>
              </w:rPr>
              <w:t xml:space="preserve"> 解析4</w:t>
            </w:r>
          </w:p>
        </w:tc>
      </w:tr>
      <w:tr>
        <w:tblPrEx>
          <w:tblLayout w:type="fixed"/>
          <w:tblCellMar>
            <w:top w:w="0" w:type="dxa"/>
            <w:left w:w="108" w:type="dxa"/>
            <w:bottom w:w="0" w:type="dxa"/>
            <w:right w:w="108" w:type="dxa"/>
          </w:tblCellMar>
        </w:tblPrEx>
        <w:trPr>
          <w:trHeight w:val="454" w:hRule="atLeast"/>
          <w:jc w:val="center"/>
        </w:trPr>
        <w:tc>
          <w:tcPr>
            <w:tcW w:w="2107" w:type="dxa"/>
            <w:tcBorders>
              <w:top w:val="nil"/>
              <w:left w:val="single" w:color="auto" w:sz="4" w:space="0"/>
              <w:bottom w:val="single" w:color="auto" w:sz="4" w:space="0"/>
              <w:right w:val="single" w:color="auto" w:sz="4" w:space="0"/>
            </w:tcBorders>
            <w:shd w:val="clear" w:color="auto" w:fill="auto"/>
            <w:vAlign w:val="center"/>
          </w:tcPr>
          <w:p>
            <w:pPr>
              <w:jc w:val="center"/>
              <w:rPr>
                <w:rFonts w:ascii="KaiTi" w:hAnsi="KaiTi" w:eastAsia="KaiTi"/>
                <w:sz w:val="18"/>
                <w:szCs w:val="18"/>
              </w:rPr>
            </w:pPr>
            <w:r>
              <w:rPr>
                <w:rFonts w:hint="eastAsia" w:ascii="KaiTi" w:hAnsi="KaiTi" w:eastAsia="KaiTi"/>
                <w:sz w:val="18"/>
                <w:szCs w:val="18"/>
              </w:rPr>
              <w:t xml:space="preserve">类 </w:t>
            </w:r>
            <w:r>
              <w:rPr>
                <w:rFonts w:ascii="KaiTi" w:hAnsi="KaiTi" w:eastAsia="KaiTi"/>
                <w:sz w:val="18"/>
                <w:szCs w:val="18"/>
              </w:rPr>
              <w:t xml:space="preserve">  </w:t>
            </w:r>
            <w:r>
              <w:rPr>
                <w:rFonts w:hint="eastAsia" w:ascii="KaiTi" w:hAnsi="KaiTi" w:eastAsia="KaiTi"/>
                <w:sz w:val="18"/>
                <w:szCs w:val="18"/>
              </w:rPr>
              <w:t>型</w:t>
            </w:r>
          </w:p>
        </w:tc>
        <w:tc>
          <w:tcPr>
            <w:tcW w:w="1131" w:type="dxa"/>
            <w:tcBorders>
              <w:top w:val="nil"/>
              <w:left w:val="nil"/>
              <w:bottom w:val="single" w:color="auto" w:sz="4" w:space="0"/>
              <w:right w:val="single" w:color="auto" w:sz="4" w:space="0"/>
            </w:tcBorders>
            <w:shd w:val="clear" w:color="000000" w:fill="FFFFFF"/>
            <w:vAlign w:val="center"/>
          </w:tcPr>
          <w:p>
            <w:pPr>
              <w:jc w:val="center"/>
              <w:rPr>
                <w:rFonts w:ascii="KaiTi" w:hAnsi="KaiTi" w:eastAsia="KaiTi"/>
                <w:color w:val="000000"/>
                <w:sz w:val="20"/>
                <w:szCs w:val="20"/>
              </w:rPr>
            </w:pPr>
            <w:r>
              <w:rPr>
                <w:rFonts w:hint="eastAsia" w:ascii="KaiTi" w:hAnsi="KaiTi" w:eastAsia="KaiTi"/>
                <w:color w:val="000000"/>
                <w:sz w:val="20"/>
                <w:szCs w:val="20"/>
              </w:rPr>
              <w:t>正负负</w:t>
            </w:r>
          </w:p>
        </w:tc>
        <w:tc>
          <w:tcPr>
            <w:tcW w:w="1131" w:type="dxa"/>
            <w:tcBorders>
              <w:top w:val="nil"/>
              <w:left w:val="nil"/>
              <w:bottom w:val="single" w:color="auto" w:sz="4" w:space="0"/>
              <w:right w:val="single" w:color="auto" w:sz="4" w:space="0"/>
            </w:tcBorders>
            <w:shd w:val="clear" w:color="000000" w:fill="FFFFFF"/>
            <w:vAlign w:val="center"/>
          </w:tcPr>
          <w:p>
            <w:pPr>
              <w:jc w:val="center"/>
              <w:rPr>
                <w:rFonts w:ascii="KaiTi" w:hAnsi="KaiTi" w:eastAsia="KaiTi"/>
                <w:color w:val="000000"/>
                <w:sz w:val="20"/>
                <w:szCs w:val="20"/>
              </w:rPr>
            </w:pPr>
            <w:r>
              <w:rPr>
                <w:rFonts w:hint="eastAsia" w:ascii="KaiTi" w:hAnsi="KaiTi" w:eastAsia="KaiTi"/>
                <w:color w:val="000000"/>
                <w:sz w:val="20"/>
                <w:szCs w:val="20"/>
              </w:rPr>
              <w:t>正负负</w:t>
            </w:r>
          </w:p>
        </w:tc>
        <w:tc>
          <w:tcPr>
            <w:tcW w:w="1131" w:type="dxa"/>
            <w:tcBorders>
              <w:top w:val="nil"/>
              <w:left w:val="nil"/>
              <w:bottom w:val="single" w:color="auto" w:sz="4" w:space="0"/>
              <w:right w:val="single" w:color="auto" w:sz="4" w:space="0"/>
            </w:tcBorders>
            <w:shd w:val="clear" w:color="000000" w:fill="FFFFFF"/>
            <w:vAlign w:val="center"/>
          </w:tcPr>
          <w:p>
            <w:pPr>
              <w:jc w:val="center"/>
              <w:rPr>
                <w:rFonts w:ascii="KaiTi" w:hAnsi="KaiTi" w:eastAsia="KaiTi"/>
                <w:color w:val="000000"/>
                <w:sz w:val="20"/>
                <w:szCs w:val="20"/>
              </w:rPr>
            </w:pPr>
            <w:r>
              <w:rPr>
                <w:rFonts w:hint="eastAsia" w:ascii="KaiTi" w:hAnsi="KaiTi" w:eastAsia="KaiTi"/>
                <w:color w:val="000000"/>
                <w:sz w:val="20"/>
                <w:szCs w:val="20"/>
              </w:rPr>
              <w:t>正负负</w:t>
            </w:r>
          </w:p>
        </w:tc>
        <w:tc>
          <w:tcPr>
            <w:tcW w:w="1131" w:type="dxa"/>
            <w:tcBorders>
              <w:top w:val="nil"/>
              <w:left w:val="nil"/>
              <w:bottom w:val="single" w:color="auto" w:sz="4" w:space="0"/>
              <w:right w:val="single" w:color="auto" w:sz="4" w:space="0"/>
            </w:tcBorders>
            <w:shd w:val="clear" w:color="000000" w:fill="FFFFFF"/>
            <w:vAlign w:val="center"/>
          </w:tcPr>
          <w:p>
            <w:pPr>
              <w:jc w:val="center"/>
              <w:rPr>
                <w:rFonts w:ascii="KaiTi" w:hAnsi="KaiTi" w:eastAsia="KaiTi"/>
                <w:color w:val="000000"/>
                <w:sz w:val="20"/>
                <w:szCs w:val="20"/>
              </w:rPr>
            </w:pPr>
            <w:r>
              <w:rPr>
                <w:rFonts w:hint="eastAsia" w:ascii="KaiTi" w:hAnsi="KaiTi" w:eastAsia="KaiTi"/>
                <w:color w:val="000000"/>
                <w:sz w:val="20"/>
                <w:szCs w:val="20"/>
              </w:rPr>
              <w:t>正负负</w:t>
            </w:r>
          </w:p>
        </w:tc>
        <w:tc>
          <w:tcPr>
            <w:tcW w:w="1019" w:type="dxa"/>
            <w:tcBorders>
              <w:top w:val="nil"/>
              <w:left w:val="nil"/>
              <w:bottom w:val="single" w:color="auto" w:sz="4" w:space="0"/>
              <w:right w:val="single" w:color="auto" w:sz="4" w:space="0"/>
            </w:tcBorders>
            <w:shd w:val="clear" w:color="000000" w:fill="FFFF00"/>
            <w:noWrap/>
            <w:vAlign w:val="center"/>
          </w:tcPr>
          <w:p>
            <w:pPr>
              <w:jc w:val="center"/>
              <w:rPr>
                <w:rFonts w:ascii="KaiTi" w:hAnsi="KaiTi" w:eastAsia="KaiTi" w:cs="Arial"/>
                <w:sz w:val="20"/>
                <w:szCs w:val="20"/>
              </w:rPr>
            </w:pPr>
          </w:p>
        </w:tc>
        <w:tc>
          <w:tcPr>
            <w:tcW w:w="992" w:type="dxa"/>
            <w:tcBorders>
              <w:top w:val="nil"/>
              <w:left w:val="nil"/>
              <w:bottom w:val="nil"/>
              <w:right w:val="nil"/>
            </w:tcBorders>
            <w:shd w:val="clear" w:color="auto" w:fill="auto"/>
            <w:noWrap/>
            <w:vAlign w:val="bottom"/>
          </w:tcPr>
          <w:p>
            <w:pPr>
              <w:jc w:val="right"/>
              <w:rPr>
                <w:rFonts w:ascii="KaiTi" w:hAnsi="KaiTi" w:eastAsia="KaiTi" w:cs="Arial"/>
                <w:sz w:val="20"/>
                <w:szCs w:val="20"/>
              </w:rPr>
            </w:pPr>
          </w:p>
        </w:tc>
      </w:tr>
    </w:tbl>
    <w:p>
      <w:pPr>
        <w:pStyle w:val="34"/>
      </w:pPr>
      <w:r>
        <w:rPr>
          <w:rFonts w:hint="eastAsia"/>
        </w:rPr>
        <w:t>3.分析各年变化趋势</w:t>
      </w:r>
    </w:p>
    <w:p>
      <w:pPr>
        <w:pStyle w:val="36"/>
        <w:rPr>
          <w:b/>
          <w:bCs/>
          <w:color w:val="C55A11" w:themeColor="accent2" w:themeShade="BF"/>
        </w:rPr>
      </w:pPr>
      <w:r>
        <w:rPr>
          <w:rFonts w:hint="eastAsia"/>
        </w:rPr>
        <w:t>从上表中可以看出洋河股份近5年公司所属类型都为</w:t>
      </w:r>
      <w:r>
        <w:rPr>
          <w:u w:val="single"/>
        </w:rPr>
        <w:t xml:space="preserve">     </w:t>
      </w:r>
      <w:r>
        <w:rPr>
          <w:rFonts w:hint="eastAsia"/>
        </w:rPr>
        <w:t>和</w:t>
      </w:r>
      <w:r>
        <w:rPr>
          <w:u w:val="single"/>
        </w:rPr>
        <w:t xml:space="preserve">     </w:t>
      </w:r>
      <w:r>
        <w:rPr>
          <w:rFonts w:hint="eastAsia"/>
          <w:b/>
          <w:bCs/>
          <w:color w:val="C55A11" w:themeColor="accent2" w:themeShade="BF"/>
        </w:rPr>
        <w:t>（选项：正正正、正负负、正负正、正正负）</w:t>
      </w:r>
      <w:r>
        <w:rPr>
          <w:rFonts w:hint="eastAsia"/>
        </w:rPr>
        <w:t>，公司经营活动产生的现金流量净额为正说明主业</w:t>
      </w:r>
      <w:r>
        <w:rPr>
          <w:rFonts w:hint="eastAsia"/>
          <w:u w:val="single"/>
        </w:rPr>
        <w:t xml:space="preserve"> </w:t>
      </w:r>
      <w:r>
        <w:rPr>
          <w:u w:val="single"/>
        </w:rPr>
        <w:t xml:space="preserve">       </w:t>
      </w:r>
      <w:r>
        <w:rPr>
          <w:rFonts w:hint="eastAsia"/>
          <w:u w:val="single"/>
        </w:rPr>
        <w:t>，</w:t>
      </w:r>
      <w:r>
        <w:rPr>
          <w:rFonts w:hint="eastAsia"/>
        </w:rPr>
        <w:t>筹资活动现金流量净额为负，说明企业在</w:t>
      </w:r>
      <w:r>
        <w:rPr>
          <w:rFonts w:hint="eastAsia"/>
          <w:b/>
          <w:bCs/>
          <w:u w:val="single"/>
        </w:rPr>
        <w:t xml:space="preserve"> </w:t>
      </w:r>
      <w:r>
        <w:rPr>
          <w:b/>
          <w:bCs/>
          <w:u w:val="single"/>
        </w:rPr>
        <w:t xml:space="preserve">     </w:t>
      </w:r>
      <w:r>
        <w:rPr>
          <w:rFonts w:hint="eastAsia"/>
        </w:rPr>
        <w:t>。</w:t>
      </w:r>
    </w:p>
    <w:p>
      <w:pPr>
        <w:pStyle w:val="34"/>
        <w:spacing w:line="360" w:lineRule="auto"/>
      </w:pPr>
      <w:r>
        <w:rPr>
          <w:rFonts w:hint="eastAsia"/>
        </w:rPr>
        <w:t>4.根据分析得出结论</w:t>
      </w:r>
    </w:p>
    <w:p>
      <w:pPr>
        <w:spacing w:line="360" w:lineRule="auto"/>
        <w:ind w:firstLine="480" w:firstLineChars="200"/>
        <w:rPr>
          <w:rFonts w:ascii="KaiTi" w:hAnsi="KaiTi" w:eastAsia="KaiTi" w:cs="Arial"/>
          <w:sz w:val="22"/>
          <w:szCs w:val="22"/>
        </w:rPr>
      </w:pPr>
      <w:r>
        <w:rPr>
          <w:rFonts w:ascii="KaiTi" w:hAnsi="KaiTi" w:eastAsia="KaiTi"/>
        </w:rPr>
        <w:t>洋河股份</w:t>
      </w:r>
      <w:r>
        <w:rPr>
          <w:rFonts w:hint="eastAsia" w:ascii="KaiTi" w:hAnsi="KaiTi" w:eastAsia="KaiTi"/>
        </w:rPr>
        <w:t>现金流所属的企业类型是</w:t>
      </w:r>
      <w:r>
        <w:rPr>
          <w:rFonts w:hint="eastAsia" w:ascii="KaiTi" w:hAnsi="KaiTi" w:eastAsia="KaiTi"/>
          <w:u w:val="single"/>
        </w:rPr>
        <w:t xml:space="preserve"> </w:t>
      </w:r>
      <w:r>
        <w:rPr>
          <w:rFonts w:ascii="KaiTi" w:hAnsi="KaiTi" w:eastAsia="KaiTi"/>
          <w:u w:val="single"/>
        </w:rPr>
        <w:t xml:space="preserve">     </w:t>
      </w:r>
      <w:r>
        <w:rPr>
          <w:rFonts w:hint="eastAsia" w:ascii="KaiTi" w:hAnsi="KaiTi" w:eastAsia="KaiTi"/>
          <w:u w:val="single"/>
        </w:rPr>
        <w:t xml:space="preserve"> </w:t>
      </w:r>
      <w:r>
        <w:rPr>
          <w:rFonts w:ascii="KaiTi" w:hAnsi="KaiTi" w:eastAsia="KaiTi"/>
          <w:u w:val="single"/>
        </w:rPr>
        <w:t xml:space="preserve">     </w:t>
      </w:r>
      <w:r>
        <w:rPr>
          <w:rFonts w:hint="eastAsia" w:ascii="KaiTi" w:hAnsi="KaiTi" w:eastAsia="KaiTi"/>
        </w:rPr>
        <w:t>。</w:t>
      </w:r>
      <w:r>
        <w:rPr>
          <w:rFonts w:ascii="KaiTi" w:hAnsi="KaiTi" w:eastAsia="KaiTi"/>
          <w:b/>
          <w:bCs/>
          <w:color w:val="C55A11" w:themeColor="accent2" w:themeShade="BF"/>
        </w:rPr>
        <w:t xml:space="preserve"> </w:t>
      </w:r>
    </w:p>
    <w:p>
      <w:pPr>
        <w:pStyle w:val="4"/>
        <w:spacing w:line="360" w:lineRule="auto"/>
        <w:rPr>
          <w:rFonts w:ascii="KaiTi" w:hAnsi="KaiTi" w:eastAsia="KaiTi"/>
        </w:rPr>
      </w:pPr>
      <w:r>
        <w:rPr>
          <w:rFonts w:hint="eastAsia" w:ascii="KaiTi" w:hAnsi="KaiTi" w:eastAsia="KaiTi"/>
        </w:rPr>
        <w:t>第五步，</w:t>
      </w:r>
      <w:bookmarkStart w:id="5" w:name="_Hlk71640178"/>
      <w:r>
        <w:rPr>
          <w:rFonts w:hint="eastAsia" w:ascii="KaiTi" w:hAnsi="KaiTi" w:eastAsia="KaiTi"/>
        </w:rPr>
        <w:t>看现金及现金等价物净增加额</w:t>
      </w:r>
      <w:bookmarkEnd w:id="5"/>
    </w:p>
    <w:p>
      <w:pPr>
        <w:pStyle w:val="34"/>
        <w:numPr>
          <w:ilvl w:val="0"/>
          <w:numId w:val="1"/>
        </w:numPr>
        <w:spacing w:line="360" w:lineRule="auto"/>
      </w:pPr>
      <w:r>
        <w:rPr>
          <w:rFonts w:hint="eastAsia"/>
        </w:rPr>
        <w:t>分析思路</w:t>
      </w:r>
    </w:p>
    <w:p>
      <w:pPr>
        <w:pStyle w:val="34"/>
        <w:spacing w:line="360" w:lineRule="auto"/>
        <w:ind w:firstLine="0"/>
      </w:pPr>
      <w:r>
        <w:drawing>
          <wp:inline distT="0" distB="0" distL="114300" distR="114300">
            <wp:extent cx="5272405" cy="1415415"/>
            <wp:effectExtent l="0" t="0" r="4445" b="133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0"/>
                    <a:stretch>
                      <a:fillRect/>
                    </a:stretch>
                  </pic:blipFill>
                  <pic:spPr>
                    <a:xfrm>
                      <a:off x="0" y="0"/>
                      <a:ext cx="5272405" cy="1415415"/>
                    </a:xfrm>
                    <a:prstGeom prst="rect">
                      <a:avLst/>
                    </a:prstGeom>
                  </pic:spPr>
                </pic:pic>
              </a:graphicData>
            </a:graphic>
          </wp:inline>
        </w:drawing>
      </w:r>
    </w:p>
    <w:p>
      <w:pPr>
        <w:pStyle w:val="34"/>
        <w:spacing w:line="360" w:lineRule="auto"/>
      </w:pPr>
      <w:r>
        <w:rPr>
          <w:rFonts w:hint="eastAsia"/>
        </w:rPr>
        <w:t>2.数据收集汇总：</w:t>
      </w:r>
      <w:r>
        <w:t>现金及现金等价物净增加额、现金分红</w:t>
      </w:r>
    </w:p>
    <w:p>
      <w:pPr>
        <w:spacing w:line="360" w:lineRule="auto"/>
        <w:rPr>
          <w:rFonts w:ascii="KaiTi" w:hAnsi="KaiTi" w:eastAsia="KaiTi"/>
          <w:b/>
          <w:bCs/>
        </w:rPr>
      </w:pPr>
      <w:r>
        <w:rPr>
          <w:rFonts w:ascii="KaiTi" w:hAnsi="KaiTi" w:eastAsia="KaiTi"/>
        </w:rPr>
        <w:t xml:space="preserve">                                                      </w:t>
      </w:r>
      <w:r>
        <w:rPr>
          <w:rFonts w:hint="eastAsia" w:ascii="KaiTi" w:hAnsi="KaiTi" w:eastAsia="KaiTi"/>
          <w:b/>
          <w:bCs/>
        </w:rPr>
        <w:t>单位：亿元</w:t>
      </w:r>
    </w:p>
    <w:tbl>
      <w:tblPr>
        <w:tblStyle w:val="14"/>
        <w:tblW w:w="9351" w:type="dxa"/>
        <w:tblInd w:w="0" w:type="dxa"/>
        <w:tblLayout w:type="fixed"/>
        <w:tblCellMar>
          <w:top w:w="0" w:type="dxa"/>
          <w:left w:w="108" w:type="dxa"/>
          <w:bottom w:w="0" w:type="dxa"/>
          <w:right w:w="108" w:type="dxa"/>
        </w:tblCellMar>
      </w:tblPr>
      <w:tblGrid>
        <w:gridCol w:w="2143"/>
        <w:gridCol w:w="1220"/>
        <w:gridCol w:w="1131"/>
        <w:gridCol w:w="1131"/>
        <w:gridCol w:w="1033"/>
        <w:gridCol w:w="1134"/>
        <w:gridCol w:w="1559"/>
      </w:tblGrid>
      <w:tr>
        <w:tblPrEx>
          <w:tblLayout w:type="fixed"/>
          <w:tblCellMar>
            <w:top w:w="0" w:type="dxa"/>
            <w:left w:w="108" w:type="dxa"/>
            <w:bottom w:w="0" w:type="dxa"/>
            <w:right w:w="108" w:type="dxa"/>
          </w:tblCellMar>
        </w:tblPrEx>
        <w:trPr>
          <w:trHeight w:val="454" w:hRule="atLeast"/>
        </w:trPr>
        <w:tc>
          <w:tcPr>
            <w:tcW w:w="2143" w:type="dxa"/>
            <w:tcBorders>
              <w:top w:val="single" w:color="auto" w:sz="4" w:space="0"/>
              <w:left w:val="single" w:color="auto" w:sz="4" w:space="0"/>
              <w:bottom w:val="single" w:color="auto" w:sz="4" w:space="0"/>
              <w:right w:val="single" w:color="auto" w:sz="4" w:space="0"/>
            </w:tcBorders>
            <w:shd w:val="clear" w:color="000000" w:fill="4F81BD"/>
            <w:vAlign w:val="center"/>
          </w:tcPr>
          <w:p>
            <w:pPr>
              <w:spacing w:line="360" w:lineRule="auto"/>
              <w:jc w:val="center"/>
              <w:rPr>
                <w:rFonts w:ascii="KaiTi" w:hAnsi="KaiTi" w:eastAsia="KaiTi"/>
                <w:b/>
                <w:bCs/>
                <w:color w:val="FFFFFF"/>
                <w:sz w:val="20"/>
                <w:szCs w:val="20"/>
              </w:rPr>
            </w:pPr>
            <w:r>
              <w:rPr>
                <w:rFonts w:hint="eastAsia" w:ascii="KaiTi" w:hAnsi="KaiTi" w:eastAsia="KaiTi"/>
                <w:b/>
                <w:bCs/>
                <w:color w:val="FFFFFF"/>
                <w:sz w:val="20"/>
                <w:szCs w:val="20"/>
              </w:rPr>
              <w:t>现金净增加额</w:t>
            </w:r>
          </w:p>
        </w:tc>
        <w:tc>
          <w:tcPr>
            <w:tcW w:w="1220" w:type="dxa"/>
            <w:tcBorders>
              <w:top w:val="single" w:color="auto" w:sz="4" w:space="0"/>
              <w:left w:val="nil"/>
              <w:bottom w:val="single" w:color="auto" w:sz="4" w:space="0"/>
              <w:right w:val="single" w:color="auto" w:sz="4" w:space="0"/>
            </w:tcBorders>
            <w:shd w:val="clear" w:color="000000" w:fill="4F81BD"/>
            <w:vAlign w:val="center"/>
          </w:tcPr>
          <w:p>
            <w:pPr>
              <w:spacing w:line="360" w:lineRule="auto"/>
              <w:jc w:val="center"/>
              <w:rPr>
                <w:rFonts w:ascii="KaiTi" w:hAnsi="KaiTi" w:eastAsia="KaiTi"/>
                <w:b/>
                <w:bCs/>
                <w:color w:val="FFFFFF"/>
                <w:sz w:val="20"/>
                <w:szCs w:val="20"/>
              </w:rPr>
            </w:pPr>
            <w:r>
              <w:rPr>
                <w:rFonts w:hint="eastAsia" w:ascii="KaiTi" w:hAnsi="KaiTi" w:eastAsia="KaiTi"/>
                <w:b/>
                <w:bCs/>
                <w:color w:val="FFFFFF"/>
                <w:sz w:val="20"/>
                <w:szCs w:val="20"/>
              </w:rPr>
              <w:t>2016</w:t>
            </w:r>
          </w:p>
        </w:tc>
        <w:tc>
          <w:tcPr>
            <w:tcW w:w="1131" w:type="dxa"/>
            <w:tcBorders>
              <w:top w:val="single" w:color="auto" w:sz="4" w:space="0"/>
              <w:left w:val="nil"/>
              <w:bottom w:val="single" w:color="auto" w:sz="4" w:space="0"/>
              <w:right w:val="single" w:color="auto" w:sz="4" w:space="0"/>
            </w:tcBorders>
            <w:shd w:val="clear" w:color="000000" w:fill="4F81BD"/>
            <w:vAlign w:val="center"/>
          </w:tcPr>
          <w:p>
            <w:pPr>
              <w:spacing w:line="360" w:lineRule="auto"/>
              <w:jc w:val="center"/>
              <w:rPr>
                <w:rFonts w:ascii="KaiTi" w:hAnsi="KaiTi" w:eastAsia="KaiTi"/>
                <w:b/>
                <w:bCs/>
                <w:color w:val="FFFFFF"/>
                <w:sz w:val="20"/>
                <w:szCs w:val="20"/>
              </w:rPr>
            </w:pPr>
            <w:r>
              <w:rPr>
                <w:rFonts w:hint="eastAsia" w:ascii="KaiTi" w:hAnsi="KaiTi" w:eastAsia="KaiTi"/>
                <w:b/>
                <w:bCs/>
                <w:color w:val="FFFFFF"/>
                <w:sz w:val="20"/>
                <w:szCs w:val="20"/>
              </w:rPr>
              <w:t>2017</w:t>
            </w:r>
          </w:p>
        </w:tc>
        <w:tc>
          <w:tcPr>
            <w:tcW w:w="1131" w:type="dxa"/>
            <w:tcBorders>
              <w:top w:val="single" w:color="auto" w:sz="4" w:space="0"/>
              <w:left w:val="nil"/>
              <w:bottom w:val="single" w:color="auto" w:sz="4" w:space="0"/>
              <w:right w:val="single" w:color="auto" w:sz="4" w:space="0"/>
            </w:tcBorders>
            <w:shd w:val="clear" w:color="000000" w:fill="4F81BD"/>
            <w:vAlign w:val="center"/>
          </w:tcPr>
          <w:p>
            <w:pPr>
              <w:spacing w:line="360" w:lineRule="auto"/>
              <w:jc w:val="center"/>
              <w:rPr>
                <w:rFonts w:ascii="KaiTi" w:hAnsi="KaiTi" w:eastAsia="KaiTi"/>
                <w:b/>
                <w:bCs/>
                <w:color w:val="FFFFFF"/>
                <w:sz w:val="20"/>
                <w:szCs w:val="20"/>
              </w:rPr>
            </w:pPr>
            <w:r>
              <w:rPr>
                <w:rFonts w:hint="eastAsia" w:ascii="KaiTi" w:hAnsi="KaiTi" w:eastAsia="KaiTi"/>
                <w:b/>
                <w:bCs/>
                <w:color w:val="FFFFFF"/>
                <w:sz w:val="20"/>
                <w:szCs w:val="20"/>
              </w:rPr>
              <w:t>2018</w:t>
            </w:r>
          </w:p>
        </w:tc>
        <w:tc>
          <w:tcPr>
            <w:tcW w:w="1033" w:type="dxa"/>
            <w:tcBorders>
              <w:top w:val="single" w:color="auto" w:sz="4" w:space="0"/>
              <w:left w:val="nil"/>
              <w:bottom w:val="single" w:color="auto" w:sz="4" w:space="0"/>
              <w:right w:val="single" w:color="auto" w:sz="4" w:space="0"/>
            </w:tcBorders>
            <w:shd w:val="clear" w:color="000000" w:fill="4F81BD"/>
            <w:vAlign w:val="center"/>
          </w:tcPr>
          <w:p>
            <w:pPr>
              <w:spacing w:line="360" w:lineRule="auto"/>
              <w:jc w:val="center"/>
              <w:rPr>
                <w:rFonts w:ascii="KaiTi" w:hAnsi="KaiTi" w:eastAsia="KaiTi"/>
                <w:b/>
                <w:bCs/>
                <w:color w:val="FFFFFF"/>
                <w:sz w:val="20"/>
                <w:szCs w:val="20"/>
              </w:rPr>
            </w:pPr>
            <w:r>
              <w:rPr>
                <w:rFonts w:hint="eastAsia" w:ascii="KaiTi" w:hAnsi="KaiTi" w:eastAsia="KaiTi"/>
                <w:b/>
                <w:bCs/>
                <w:color w:val="FFFFFF"/>
                <w:sz w:val="20"/>
                <w:szCs w:val="20"/>
              </w:rPr>
              <w:t>2019</w:t>
            </w:r>
          </w:p>
        </w:tc>
        <w:tc>
          <w:tcPr>
            <w:tcW w:w="1134" w:type="dxa"/>
            <w:tcBorders>
              <w:top w:val="single" w:color="auto" w:sz="4" w:space="0"/>
              <w:left w:val="nil"/>
              <w:bottom w:val="single" w:color="auto" w:sz="4" w:space="0"/>
              <w:right w:val="single" w:color="auto" w:sz="4" w:space="0"/>
            </w:tcBorders>
            <w:shd w:val="clear" w:color="000000" w:fill="4F81BD"/>
            <w:vAlign w:val="center"/>
          </w:tcPr>
          <w:p>
            <w:pPr>
              <w:spacing w:line="360" w:lineRule="auto"/>
              <w:jc w:val="center"/>
              <w:rPr>
                <w:rFonts w:ascii="KaiTi" w:hAnsi="KaiTi" w:eastAsia="KaiTi"/>
                <w:b/>
                <w:bCs/>
                <w:color w:val="FFFFFF"/>
                <w:sz w:val="20"/>
                <w:szCs w:val="20"/>
              </w:rPr>
            </w:pPr>
            <w:r>
              <w:rPr>
                <w:rFonts w:hint="eastAsia" w:ascii="KaiTi" w:hAnsi="KaiTi" w:eastAsia="KaiTi"/>
                <w:b/>
                <w:bCs/>
                <w:color w:val="FFFFFF"/>
                <w:sz w:val="20"/>
                <w:szCs w:val="20"/>
              </w:rPr>
              <w:t>2020</w:t>
            </w:r>
          </w:p>
        </w:tc>
        <w:tc>
          <w:tcPr>
            <w:tcW w:w="1559" w:type="dxa"/>
            <w:tcBorders>
              <w:top w:val="nil"/>
              <w:left w:val="nil"/>
              <w:bottom w:val="nil"/>
              <w:right w:val="nil"/>
            </w:tcBorders>
            <w:shd w:val="clear" w:color="auto" w:fill="auto"/>
            <w:noWrap/>
            <w:vAlign w:val="bottom"/>
          </w:tcPr>
          <w:p>
            <w:pPr>
              <w:spacing w:line="360" w:lineRule="auto"/>
              <w:jc w:val="center"/>
              <w:rPr>
                <w:rFonts w:ascii="KaiTi" w:hAnsi="KaiTi" w:eastAsia="KaiTi"/>
                <w:b/>
                <w:bCs/>
                <w:color w:val="FFFFFF"/>
                <w:sz w:val="20"/>
                <w:szCs w:val="20"/>
              </w:rPr>
            </w:pPr>
          </w:p>
        </w:tc>
      </w:tr>
      <w:tr>
        <w:tblPrEx>
          <w:tblLayout w:type="fixed"/>
        </w:tblPrEx>
        <w:trPr>
          <w:trHeight w:val="454" w:hRule="atLeast"/>
        </w:trPr>
        <w:tc>
          <w:tcPr>
            <w:tcW w:w="2143" w:type="dxa"/>
            <w:tcBorders>
              <w:top w:val="nil"/>
              <w:left w:val="single" w:color="auto" w:sz="4" w:space="0"/>
              <w:bottom w:val="single" w:color="auto" w:sz="4" w:space="0"/>
              <w:right w:val="single" w:color="auto" w:sz="4" w:space="0"/>
            </w:tcBorders>
            <w:shd w:val="clear" w:color="auto" w:fill="auto"/>
            <w:vAlign w:val="center"/>
          </w:tcPr>
          <w:p>
            <w:pPr>
              <w:jc w:val="center"/>
              <w:rPr>
                <w:rFonts w:ascii="KaiTi" w:hAnsi="KaiTi" w:eastAsia="KaiTi"/>
                <w:sz w:val="18"/>
                <w:szCs w:val="18"/>
              </w:rPr>
            </w:pPr>
            <w:r>
              <w:rPr>
                <w:rFonts w:hint="eastAsia" w:ascii="KaiTi" w:hAnsi="KaiTi" w:eastAsia="KaiTi"/>
                <w:sz w:val="18"/>
                <w:szCs w:val="18"/>
              </w:rPr>
              <w:t>现金及现金等价物净增加额</w:t>
            </w:r>
          </w:p>
        </w:tc>
        <w:tc>
          <w:tcPr>
            <w:tcW w:w="1220"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r>
              <w:rPr>
                <w:rFonts w:hint="eastAsia" w:ascii="KaiTi" w:hAnsi="KaiTi" w:eastAsia="KaiTi" w:cs="Arial"/>
                <w:sz w:val="20"/>
                <w:szCs w:val="20"/>
              </w:rPr>
              <w:t>-</w:t>
            </w:r>
            <w:r>
              <w:rPr>
                <w:rFonts w:ascii="KaiTi" w:hAnsi="KaiTi" w:eastAsia="KaiTi" w:cs="Arial"/>
                <w:sz w:val="20"/>
                <w:szCs w:val="20"/>
              </w:rPr>
              <w:t>22.51</w:t>
            </w:r>
          </w:p>
        </w:tc>
        <w:tc>
          <w:tcPr>
            <w:tcW w:w="1131"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r>
              <w:rPr>
                <w:rFonts w:ascii="KaiTi" w:hAnsi="KaiTi" w:eastAsia="KaiTi" w:cs="Arial"/>
                <w:sz w:val="20"/>
                <w:szCs w:val="20"/>
              </w:rPr>
              <w:t>-7.07</w:t>
            </w:r>
          </w:p>
        </w:tc>
        <w:tc>
          <w:tcPr>
            <w:tcW w:w="1131"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r>
              <w:rPr>
                <w:rFonts w:ascii="KaiTi" w:hAnsi="KaiTi" w:eastAsia="KaiTi" w:cs="Arial"/>
                <w:sz w:val="20"/>
                <w:szCs w:val="20"/>
              </w:rPr>
              <w:t>18.65</w:t>
            </w:r>
          </w:p>
        </w:tc>
        <w:tc>
          <w:tcPr>
            <w:tcW w:w="1033"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r>
              <w:rPr>
                <w:rFonts w:ascii="KaiTi" w:hAnsi="KaiTi" w:eastAsia="KaiTi" w:cs="Arial"/>
                <w:sz w:val="20"/>
                <w:szCs w:val="20"/>
              </w:rPr>
              <w:t>6.85</w:t>
            </w:r>
          </w:p>
        </w:tc>
        <w:tc>
          <w:tcPr>
            <w:tcW w:w="1134" w:type="dxa"/>
            <w:tcBorders>
              <w:top w:val="nil"/>
              <w:left w:val="nil"/>
              <w:bottom w:val="single" w:color="auto" w:sz="4" w:space="0"/>
              <w:right w:val="single" w:color="auto" w:sz="4" w:space="0"/>
            </w:tcBorders>
            <w:shd w:val="clear" w:color="000000" w:fill="FFFF00"/>
            <w:noWrap/>
            <w:vAlign w:val="center"/>
          </w:tcPr>
          <w:p>
            <w:pPr>
              <w:jc w:val="right"/>
              <w:rPr>
                <w:rFonts w:ascii="KaiTi" w:hAnsi="KaiTi" w:eastAsia="KaiTi" w:cs="Arial"/>
                <w:sz w:val="20"/>
                <w:szCs w:val="20"/>
              </w:rPr>
            </w:pPr>
            <w:r>
              <w:rPr>
                <w:rFonts w:ascii="KaiTi" w:hAnsi="KaiTi" w:eastAsia="KaiTi" w:cs="Arial"/>
                <w:sz w:val="20"/>
                <w:szCs w:val="20"/>
              </w:rPr>
              <w:t>29.43</w:t>
            </w:r>
          </w:p>
        </w:tc>
        <w:tc>
          <w:tcPr>
            <w:tcW w:w="1559" w:type="dxa"/>
            <w:tcBorders>
              <w:top w:val="nil"/>
              <w:left w:val="nil"/>
              <w:bottom w:val="nil"/>
              <w:right w:val="nil"/>
            </w:tcBorders>
            <w:shd w:val="clear" w:color="auto" w:fill="auto"/>
            <w:noWrap/>
            <w:vAlign w:val="bottom"/>
          </w:tcPr>
          <w:p>
            <w:pPr>
              <w:rPr>
                <w:rFonts w:ascii="KaiTi" w:hAnsi="KaiTi" w:eastAsia="KaiTi"/>
                <w:color w:val="2F75B5"/>
                <w:sz w:val="22"/>
                <w:szCs w:val="22"/>
              </w:rPr>
            </w:pPr>
            <w:r>
              <w:rPr>
                <w:rFonts w:hint="eastAsia" w:ascii="KaiTi" w:hAnsi="KaiTi" w:eastAsia="KaiTi"/>
                <w:color w:val="2F75B5"/>
                <w:sz w:val="22"/>
                <w:szCs w:val="22"/>
              </w:rPr>
              <w:t xml:space="preserve"> 解析5</w:t>
            </w:r>
          </w:p>
        </w:tc>
      </w:tr>
      <w:tr>
        <w:tblPrEx>
          <w:tblLayout w:type="fixed"/>
          <w:tblCellMar>
            <w:top w:w="0" w:type="dxa"/>
            <w:left w:w="108" w:type="dxa"/>
            <w:bottom w:w="0" w:type="dxa"/>
            <w:right w:w="108" w:type="dxa"/>
          </w:tblCellMar>
        </w:tblPrEx>
        <w:trPr>
          <w:trHeight w:val="454" w:hRule="atLeast"/>
        </w:trPr>
        <w:tc>
          <w:tcPr>
            <w:tcW w:w="2143" w:type="dxa"/>
            <w:tcBorders>
              <w:top w:val="nil"/>
              <w:left w:val="single" w:color="auto" w:sz="4" w:space="0"/>
              <w:bottom w:val="single" w:color="auto" w:sz="4" w:space="0"/>
              <w:right w:val="single" w:color="auto" w:sz="4" w:space="0"/>
            </w:tcBorders>
            <w:shd w:val="clear" w:color="auto" w:fill="auto"/>
            <w:vAlign w:val="center"/>
          </w:tcPr>
          <w:p>
            <w:pPr>
              <w:jc w:val="center"/>
              <w:rPr>
                <w:rFonts w:ascii="KaiTi" w:hAnsi="KaiTi" w:eastAsia="KaiTi"/>
                <w:sz w:val="18"/>
                <w:szCs w:val="18"/>
              </w:rPr>
            </w:pPr>
            <w:r>
              <w:rPr>
                <w:rFonts w:hint="eastAsia" w:ascii="KaiTi" w:hAnsi="KaiTi" w:eastAsia="KaiTi"/>
                <w:sz w:val="18"/>
                <w:szCs w:val="18"/>
              </w:rPr>
              <w:t>现金分红</w:t>
            </w:r>
          </w:p>
        </w:tc>
        <w:tc>
          <w:tcPr>
            <w:tcW w:w="1220"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r>
              <w:rPr>
                <w:rFonts w:ascii="KaiTi" w:hAnsi="KaiTi" w:eastAsia="KaiTi" w:cs="Arial"/>
                <w:sz w:val="20"/>
                <w:szCs w:val="20"/>
              </w:rPr>
              <w:t>27.13</w:t>
            </w:r>
          </w:p>
        </w:tc>
        <w:tc>
          <w:tcPr>
            <w:tcW w:w="1131"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r>
              <w:rPr>
                <w:rFonts w:ascii="KaiTi" w:hAnsi="KaiTi" w:eastAsia="KaiTi" w:cs="Arial"/>
                <w:sz w:val="20"/>
                <w:szCs w:val="20"/>
              </w:rPr>
              <w:t>31.65</w:t>
            </w:r>
          </w:p>
        </w:tc>
        <w:tc>
          <w:tcPr>
            <w:tcW w:w="1131"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r>
              <w:rPr>
                <w:rFonts w:ascii="KaiTi" w:hAnsi="KaiTi" w:eastAsia="KaiTi" w:cs="Arial"/>
                <w:sz w:val="20"/>
                <w:szCs w:val="20"/>
              </w:rPr>
              <w:t>38.43</w:t>
            </w:r>
          </w:p>
        </w:tc>
        <w:tc>
          <w:tcPr>
            <w:tcW w:w="1033"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r>
              <w:rPr>
                <w:rFonts w:ascii="KaiTi" w:hAnsi="KaiTi" w:eastAsia="KaiTi" w:cs="Arial"/>
                <w:sz w:val="20"/>
                <w:szCs w:val="20"/>
              </w:rPr>
              <w:t>48.22</w:t>
            </w:r>
          </w:p>
        </w:tc>
        <w:tc>
          <w:tcPr>
            <w:tcW w:w="1134" w:type="dxa"/>
            <w:tcBorders>
              <w:top w:val="nil"/>
              <w:left w:val="nil"/>
              <w:bottom w:val="single" w:color="auto" w:sz="4" w:space="0"/>
              <w:right w:val="single" w:color="auto" w:sz="4" w:space="0"/>
            </w:tcBorders>
            <w:shd w:val="clear" w:color="000000" w:fill="FFFF00"/>
            <w:noWrap/>
            <w:vAlign w:val="center"/>
          </w:tcPr>
          <w:p>
            <w:pPr>
              <w:jc w:val="right"/>
              <w:rPr>
                <w:rFonts w:ascii="KaiTi" w:hAnsi="KaiTi" w:eastAsia="KaiTi" w:cs="Arial"/>
                <w:sz w:val="20"/>
                <w:szCs w:val="20"/>
              </w:rPr>
            </w:pPr>
            <w:r>
              <w:rPr>
                <w:rFonts w:ascii="KaiTi" w:hAnsi="KaiTi" w:eastAsia="KaiTi" w:cs="Arial"/>
                <w:sz w:val="20"/>
                <w:szCs w:val="20"/>
              </w:rPr>
              <w:t>45.03</w:t>
            </w:r>
          </w:p>
        </w:tc>
        <w:tc>
          <w:tcPr>
            <w:tcW w:w="1559" w:type="dxa"/>
            <w:tcBorders>
              <w:top w:val="nil"/>
              <w:left w:val="nil"/>
              <w:bottom w:val="nil"/>
              <w:right w:val="nil"/>
            </w:tcBorders>
            <w:shd w:val="clear" w:color="auto" w:fill="auto"/>
            <w:noWrap/>
            <w:vAlign w:val="bottom"/>
          </w:tcPr>
          <w:p>
            <w:pPr>
              <w:rPr>
                <w:rFonts w:ascii="KaiTi" w:hAnsi="KaiTi" w:eastAsia="KaiTi"/>
                <w:color w:val="2F75B5"/>
                <w:sz w:val="22"/>
                <w:szCs w:val="22"/>
              </w:rPr>
            </w:pPr>
            <w:r>
              <w:rPr>
                <w:rFonts w:hint="eastAsia" w:ascii="KaiTi" w:hAnsi="KaiTi" w:eastAsia="KaiTi"/>
                <w:color w:val="2F75B5"/>
                <w:sz w:val="22"/>
                <w:szCs w:val="22"/>
              </w:rPr>
              <w:t>解析6</w:t>
            </w:r>
          </w:p>
        </w:tc>
      </w:tr>
      <w:tr>
        <w:tblPrEx>
          <w:tblLayout w:type="fixed"/>
          <w:tblCellMar>
            <w:top w:w="0" w:type="dxa"/>
            <w:left w:w="108" w:type="dxa"/>
            <w:bottom w:w="0" w:type="dxa"/>
            <w:right w:w="108" w:type="dxa"/>
          </w:tblCellMar>
        </w:tblPrEx>
        <w:trPr>
          <w:trHeight w:val="454" w:hRule="atLeast"/>
        </w:trPr>
        <w:tc>
          <w:tcPr>
            <w:tcW w:w="2143" w:type="dxa"/>
            <w:tcBorders>
              <w:top w:val="nil"/>
              <w:left w:val="single" w:color="auto" w:sz="4" w:space="0"/>
              <w:bottom w:val="single" w:color="auto" w:sz="4" w:space="0"/>
              <w:right w:val="single" w:color="auto" w:sz="4" w:space="0"/>
            </w:tcBorders>
            <w:shd w:val="clear" w:color="auto" w:fill="auto"/>
            <w:vAlign w:val="center"/>
          </w:tcPr>
          <w:p>
            <w:pPr>
              <w:jc w:val="center"/>
              <w:rPr>
                <w:rFonts w:ascii="KaiTi" w:hAnsi="KaiTi" w:eastAsia="KaiTi"/>
                <w:sz w:val="18"/>
                <w:szCs w:val="18"/>
              </w:rPr>
            </w:pPr>
            <w:r>
              <w:rPr>
                <w:rFonts w:hint="eastAsia" w:ascii="KaiTi" w:hAnsi="KaiTi" w:eastAsia="KaiTi"/>
                <w:sz w:val="18"/>
                <w:szCs w:val="18"/>
              </w:rPr>
              <w:t>加回分红后现金及现金等价物净增加额</w:t>
            </w:r>
          </w:p>
        </w:tc>
        <w:tc>
          <w:tcPr>
            <w:tcW w:w="1220"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r>
              <w:rPr>
                <w:rFonts w:ascii="KaiTi" w:hAnsi="KaiTi" w:eastAsia="KaiTi" w:cs="Arial"/>
                <w:sz w:val="20"/>
                <w:szCs w:val="20"/>
              </w:rPr>
              <w:t>4.62</w:t>
            </w:r>
          </w:p>
        </w:tc>
        <w:tc>
          <w:tcPr>
            <w:tcW w:w="1131"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r>
              <w:rPr>
                <w:rFonts w:ascii="KaiTi" w:hAnsi="KaiTi" w:eastAsia="KaiTi" w:cs="Arial"/>
                <w:sz w:val="20"/>
                <w:szCs w:val="20"/>
              </w:rPr>
              <w:t>24.58</w:t>
            </w:r>
          </w:p>
        </w:tc>
        <w:tc>
          <w:tcPr>
            <w:tcW w:w="1131"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r>
              <w:rPr>
                <w:rFonts w:ascii="KaiTi" w:hAnsi="KaiTi" w:eastAsia="KaiTi" w:cs="Arial"/>
                <w:sz w:val="20"/>
                <w:szCs w:val="20"/>
              </w:rPr>
              <w:t>57.08</w:t>
            </w:r>
          </w:p>
        </w:tc>
        <w:tc>
          <w:tcPr>
            <w:tcW w:w="1033"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r>
              <w:rPr>
                <w:rFonts w:ascii="KaiTi" w:hAnsi="KaiTi" w:eastAsia="KaiTi" w:cs="Arial"/>
                <w:sz w:val="20"/>
                <w:szCs w:val="20"/>
              </w:rPr>
              <w:t>55.07</w:t>
            </w:r>
          </w:p>
        </w:tc>
        <w:tc>
          <w:tcPr>
            <w:tcW w:w="1134" w:type="dxa"/>
            <w:tcBorders>
              <w:top w:val="nil"/>
              <w:left w:val="nil"/>
              <w:bottom w:val="single" w:color="auto" w:sz="4" w:space="0"/>
              <w:right w:val="single" w:color="auto" w:sz="4" w:space="0"/>
            </w:tcBorders>
            <w:shd w:val="clear" w:color="000000" w:fill="FFFF00"/>
            <w:noWrap/>
            <w:vAlign w:val="center"/>
          </w:tcPr>
          <w:p>
            <w:pPr>
              <w:jc w:val="right"/>
              <w:rPr>
                <w:rFonts w:ascii="KaiTi" w:hAnsi="KaiTi" w:eastAsia="KaiTi" w:cs="Arial"/>
                <w:sz w:val="20"/>
                <w:szCs w:val="20"/>
              </w:rPr>
            </w:pPr>
            <w:r>
              <w:rPr>
                <w:rFonts w:hint="eastAsia" w:ascii="KaiTi" w:hAnsi="KaiTi" w:eastAsia="KaiTi" w:cs="Arial"/>
                <w:sz w:val="20"/>
                <w:szCs w:val="20"/>
              </w:rPr>
              <w:t>7</w:t>
            </w:r>
            <w:r>
              <w:rPr>
                <w:rFonts w:ascii="KaiTi" w:hAnsi="KaiTi" w:eastAsia="KaiTi" w:cs="Arial"/>
                <w:sz w:val="20"/>
                <w:szCs w:val="20"/>
              </w:rPr>
              <w:t>4.46</w:t>
            </w:r>
          </w:p>
        </w:tc>
        <w:tc>
          <w:tcPr>
            <w:tcW w:w="1559" w:type="dxa"/>
            <w:tcBorders>
              <w:top w:val="nil"/>
              <w:left w:val="nil"/>
              <w:bottom w:val="nil"/>
              <w:right w:val="nil"/>
            </w:tcBorders>
            <w:shd w:val="clear" w:color="auto" w:fill="auto"/>
            <w:noWrap/>
            <w:vAlign w:val="bottom"/>
          </w:tcPr>
          <w:p>
            <w:pPr>
              <w:rPr>
                <w:rFonts w:ascii="KaiTi" w:hAnsi="KaiTi" w:eastAsia="KaiTi"/>
                <w:color w:val="2F75B5"/>
                <w:sz w:val="22"/>
                <w:szCs w:val="22"/>
              </w:rPr>
            </w:pPr>
            <w:r>
              <w:rPr>
                <w:rFonts w:hint="eastAsia" w:ascii="KaiTi" w:hAnsi="KaiTi" w:eastAsia="KaiTi"/>
                <w:color w:val="2F75B5"/>
                <w:sz w:val="22"/>
                <w:szCs w:val="22"/>
              </w:rPr>
              <w:t xml:space="preserve"> 下面有公式 </w:t>
            </w:r>
          </w:p>
        </w:tc>
      </w:tr>
    </w:tbl>
    <w:p>
      <w:pPr>
        <w:ind w:right="101" w:rightChars="42"/>
        <w:rPr>
          <w:rFonts w:ascii="KaiTi" w:hAnsi="KaiTi" w:eastAsia="KaiTi"/>
          <w:b/>
          <w:bCs/>
          <w:color w:val="4472C4" w:themeColor="accent1"/>
          <w14:textFill>
            <w14:solidFill>
              <w14:schemeClr w14:val="accent1"/>
            </w14:solidFill>
          </w14:textFill>
        </w:rPr>
      </w:pPr>
      <w:r>
        <w:rPr>
          <w:rFonts w:hint="eastAsia" w:ascii="KaiTi" w:hAnsi="KaiTi" w:eastAsia="KaiTi"/>
          <w:b/>
          <w:bCs/>
          <w:color w:val="4472C4" w:themeColor="accent1"/>
          <w14:textFill>
            <w14:solidFill>
              <w14:schemeClr w14:val="accent1"/>
            </w14:solidFill>
          </w14:textFill>
        </w:rPr>
        <w:t>计算公式：①加回分红后现金及现金等价物净增加额=现金及现金等价物净增加额+现金分红</w:t>
      </w:r>
    </w:p>
    <w:p>
      <w:pPr>
        <w:pStyle w:val="34"/>
        <w:spacing w:line="360" w:lineRule="auto"/>
      </w:pPr>
      <w:r>
        <w:rPr>
          <w:rFonts w:hint="eastAsia"/>
        </w:rPr>
        <w:t>3.分析各年变化趋势</w:t>
      </w:r>
    </w:p>
    <w:p>
      <w:pPr>
        <w:pStyle w:val="34"/>
        <w:spacing w:line="360" w:lineRule="auto"/>
        <w:rPr>
          <w:rFonts w:cs="宋体"/>
          <w:b w:val="0"/>
          <w:bCs w:val="0"/>
          <w:szCs w:val="24"/>
        </w:rPr>
      </w:pPr>
      <w:r>
        <w:rPr>
          <w:rFonts w:hint="eastAsia" w:cs="宋体"/>
          <w:b w:val="0"/>
          <w:bCs w:val="0"/>
          <w:szCs w:val="24"/>
        </w:rPr>
        <w:t>从上表可以看出洋河股份近</w:t>
      </w:r>
      <w:r>
        <w:rPr>
          <w:rFonts w:cs="宋体"/>
          <w:b w:val="0"/>
          <w:bCs w:val="0"/>
          <w:szCs w:val="24"/>
        </w:rPr>
        <w:t>5年的现金分红金额分别为</w:t>
      </w:r>
      <w:r>
        <w:rPr>
          <w:rFonts w:hint="eastAsia"/>
          <w:u w:val="single"/>
        </w:rPr>
        <w:t xml:space="preserve"> </w:t>
      </w:r>
      <w:r>
        <w:rPr>
          <w:u w:val="single"/>
        </w:rPr>
        <w:t xml:space="preserve">    </w:t>
      </w:r>
      <w:r>
        <w:rPr>
          <w:rFonts w:hint="eastAsia"/>
          <w:u w:val="single"/>
        </w:rPr>
        <w:t xml:space="preserve"> </w:t>
      </w:r>
      <w:r>
        <w:rPr>
          <w:rFonts w:cs="宋体"/>
          <w:b w:val="0"/>
          <w:bCs w:val="0"/>
          <w:szCs w:val="24"/>
        </w:rPr>
        <w:t>亿、</w:t>
      </w:r>
      <w:r>
        <w:rPr>
          <w:rFonts w:hint="eastAsia"/>
          <w:u w:val="single"/>
        </w:rPr>
        <w:t xml:space="preserve"> </w:t>
      </w:r>
      <w:r>
        <w:rPr>
          <w:u w:val="single"/>
        </w:rPr>
        <w:t xml:space="preserve">    </w:t>
      </w:r>
      <w:r>
        <w:rPr>
          <w:rFonts w:hint="eastAsia"/>
          <w:u w:val="single"/>
        </w:rPr>
        <w:t xml:space="preserve"> </w:t>
      </w:r>
      <w:r>
        <w:rPr>
          <w:rFonts w:cs="宋体"/>
          <w:b w:val="0"/>
          <w:bCs w:val="0"/>
          <w:szCs w:val="24"/>
        </w:rPr>
        <w:t>亿、</w:t>
      </w:r>
      <w:r>
        <w:rPr>
          <w:rFonts w:hint="eastAsia"/>
          <w:u w:val="single"/>
        </w:rPr>
        <w:t xml:space="preserve"> </w:t>
      </w:r>
      <w:r>
        <w:rPr>
          <w:u w:val="single"/>
        </w:rPr>
        <w:t xml:space="preserve">    </w:t>
      </w:r>
      <w:r>
        <w:rPr>
          <w:rFonts w:hint="eastAsia"/>
          <w:u w:val="single"/>
        </w:rPr>
        <w:t xml:space="preserve"> </w:t>
      </w:r>
      <w:r>
        <w:rPr>
          <w:rFonts w:cs="宋体"/>
          <w:b w:val="0"/>
          <w:bCs w:val="0"/>
          <w:szCs w:val="24"/>
        </w:rPr>
        <w:t>亿</w:t>
      </w:r>
      <w:r>
        <w:rPr>
          <w:rFonts w:hint="eastAsia" w:cs="宋体"/>
          <w:b w:val="0"/>
          <w:bCs w:val="0"/>
          <w:szCs w:val="24"/>
        </w:rPr>
        <w:t>、</w:t>
      </w:r>
      <w:r>
        <w:rPr>
          <w:rFonts w:hint="eastAsia"/>
          <w:u w:val="single"/>
        </w:rPr>
        <w:t xml:space="preserve"> </w:t>
      </w:r>
      <w:r>
        <w:rPr>
          <w:u w:val="single"/>
        </w:rPr>
        <w:t xml:space="preserve">    </w:t>
      </w:r>
      <w:r>
        <w:rPr>
          <w:rFonts w:hint="eastAsia"/>
          <w:u w:val="single"/>
        </w:rPr>
        <w:t xml:space="preserve"> </w:t>
      </w:r>
      <w:r>
        <w:rPr>
          <w:rFonts w:cs="宋体"/>
          <w:b w:val="0"/>
          <w:bCs w:val="0"/>
          <w:szCs w:val="24"/>
        </w:rPr>
        <w:t>亿、</w:t>
      </w:r>
      <w:r>
        <w:rPr>
          <w:rFonts w:hint="eastAsia"/>
          <w:u w:val="single"/>
        </w:rPr>
        <w:t xml:space="preserve"> </w:t>
      </w:r>
      <w:r>
        <w:rPr>
          <w:u w:val="single"/>
        </w:rPr>
        <w:t xml:space="preserve">    </w:t>
      </w:r>
      <w:r>
        <w:rPr>
          <w:rFonts w:hint="eastAsia"/>
          <w:u w:val="single"/>
        </w:rPr>
        <w:t xml:space="preserve"> </w:t>
      </w:r>
      <w:r>
        <w:rPr>
          <w:rFonts w:cs="宋体"/>
          <w:b w:val="0"/>
          <w:bCs w:val="0"/>
          <w:szCs w:val="24"/>
        </w:rPr>
        <w:t>亿，分红总体呈</w:t>
      </w:r>
      <w:r>
        <w:rPr>
          <w:rFonts w:hint="eastAsia"/>
          <w:u w:val="single"/>
        </w:rPr>
        <w:t xml:space="preserve"> </w:t>
      </w:r>
      <w:r>
        <w:rPr>
          <w:u w:val="single"/>
        </w:rPr>
        <w:t xml:space="preserve">    </w:t>
      </w:r>
      <w:r>
        <w:rPr>
          <w:rFonts w:hint="eastAsia"/>
          <w:u w:val="single"/>
        </w:rPr>
        <w:t xml:space="preserve"> </w:t>
      </w:r>
      <w:r>
        <w:rPr>
          <w:rFonts w:cs="宋体"/>
          <w:b w:val="0"/>
          <w:bCs w:val="0"/>
          <w:szCs w:val="24"/>
        </w:rPr>
        <w:t>趋势</w:t>
      </w:r>
      <w:r>
        <w:rPr>
          <w:rFonts w:hint="eastAsia" w:cs="宋体"/>
          <w:color w:val="C55A11" w:themeColor="accent2" w:themeShade="BF"/>
          <w:szCs w:val="24"/>
        </w:rPr>
        <w:t>（选项：上升和下降）</w:t>
      </w:r>
      <w:r>
        <w:rPr>
          <w:rFonts w:cs="宋体"/>
          <w:b w:val="0"/>
          <w:bCs w:val="0"/>
          <w:szCs w:val="24"/>
        </w:rPr>
        <w:t>；连续5年加回分红后现金及现金等价物净增加额都为</w:t>
      </w:r>
      <w:r>
        <w:rPr>
          <w:rFonts w:hint="eastAsia"/>
          <w:u w:val="single"/>
        </w:rPr>
        <w:t xml:space="preserve"> </w:t>
      </w:r>
      <w:r>
        <w:rPr>
          <w:u w:val="single"/>
        </w:rPr>
        <w:t xml:space="preserve">    </w:t>
      </w:r>
      <w:r>
        <w:rPr>
          <w:rFonts w:hint="eastAsia"/>
          <w:u w:val="single"/>
        </w:rPr>
        <w:t xml:space="preserve"> </w:t>
      </w:r>
      <w:r>
        <w:rPr>
          <w:rFonts w:hint="eastAsia" w:cs="宋体"/>
          <w:color w:val="C55A11" w:themeColor="accent2" w:themeShade="BF"/>
          <w:szCs w:val="24"/>
        </w:rPr>
        <w:t>（选项：正数或负数）</w:t>
      </w:r>
      <w:r>
        <w:rPr>
          <w:rFonts w:cs="宋体"/>
          <w:color w:val="C55A11" w:themeColor="accent2" w:themeShade="BF"/>
          <w:szCs w:val="24"/>
        </w:rPr>
        <w:t>。</w:t>
      </w:r>
    </w:p>
    <w:p>
      <w:pPr>
        <w:pStyle w:val="34"/>
        <w:spacing w:line="360" w:lineRule="auto"/>
      </w:pPr>
      <w:r>
        <w:rPr>
          <w:rFonts w:hint="eastAsia"/>
        </w:rPr>
        <w:t>4.根据分析得出结论</w:t>
      </w:r>
    </w:p>
    <w:p>
      <w:pPr>
        <w:pStyle w:val="36"/>
      </w:pPr>
      <w:r>
        <w:rPr>
          <w:rFonts w:hint="eastAsia"/>
        </w:rPr>
        <w:t>洋河股份在资金方面一直保持着</w:t>
      </w:r>
      <w:r>
        <w:rPr>
          <w:u w:val="single"/>
        </w:rPr>
        <w:t xml:space="preserve">    </w:t>
      </w:r>
      <w:r>
        <w:rPr>
          <w:rFonts w:hint="eastAsia"/>
          <w:u w:val="single"/>
        </w:rPr>
        <w:t xml:space="preserve"> </w:t>
      </w:r>
      <w:r>
        <w:rPr>
          <w:rFonts w:hint="eastAsia"/>
          <w:b/>
          <w:bCs/>
          <w:color w:val="C55A11" w:themeColor="accent2" w:themeShade="BF"/>
        </w:rPr>
        <w:t>（选项：增长或下降）</w:t>
      </w:r>
      <w:r>
        <w:rPr>
          <w:rFonts w:hint="eastAsia"/>
        </w:rPr>
        <w:t>，</w:t>
      </w:r>
      <w:r>
        <w:rPr>
          <w:u w:val="single"/>
        </w:rPr>
        <w:t xml:space="preserve">    </w:t>
      </w:r>
      <w:r>
        <w:rPr>
          <w:rFonts w:hint="eastAsia"/>
          <w:u w:val="single"/>
        </w:rPr>
        <w:t xml:space="preserve"> </w:t>
      </w:r>
      <w:r>
        <w:rPr>
          <w:rFonts w:hint="eastAsia"/>
        </w:rPr>
        <w:t>异常</w:t>
      </w:r>
      <w:r>
        <w:rPr>
          <w:rFonts w:hint="eastAsia"/>
          <w:b/>
          <w:bCs/>
          <w:color w:val="C55A11" w:themeColor="accent2" w:themeShade="BF"/>
        </w:rPr>
        <w:t>（参照现金及现金等价物净增加额的思维导图得出结论，选项：有或无）</w:t>
      </w:r>
      <w:r>
        <w:rPr>
          <w:rFonts w:hint="eastAsia"/>
        </w:rPr>
        <w:t>。</w:t>
      </w:r>
    </w:p>
    <w:p>
      <w:pPr>
        <w:pStyle w:val="4"/>
        <w:spacing w:line="360" w:lineRule="auto"/>
        <w:ind w:firstLine="643"/>
        <w:rPr>
          <w:rFonts w:ascii="KaiTi" w:hAnsi="KaiTi" w:eastAsia="KaiTi"/>
          <w:sz w:val="24"/>
        </w:rPr>
      </w:pPr>
      <w:r>
        <w:rPr>
          <w:rFonts w:hint="eastAsia" w:ascii="KaiTi" w:hAnsi="KaiTi" w:eastAsia="KaiTi"/>
        </w:rPr>
        <w:t>第六步，</w:t>
      </w:r>
      <w:bookmarkStart w:id="6" w:name="_Hlk71643011"/>
      <w:r>
        <w:rPr>
          <w:rFonts w:hint="eastAsia" w:ascii="KaiTi" w:hAnsi="KaiTi" w:eastAsia="KaiTi"/>
        </w:rPr>
        <w:t>看现金及现金等价物余额</w:t>
      </w:r>
      <w:bookmarkEnd w:id="6"/>
    </w:p>
    <w:p>
      <w:pPr>
        <w:pStyle w:val="34"/>
        <w:spacing w:line="360" w:lineRule="auto"/>
      </w:pPr>
      <w:bookmarkStart w:id="10" w:name="_GoBack"/>
      <w:r>
        <w:drawing>
          <wp:anchor distT="0" distB="0" distL="114300" distR="114300" simplePos="0" relativeHeight="251661312" behindDoc="0" locked="0" layoutInCell="1" allowOverlap="1">
            <wp:simplePos x="0" y="0"/>
            <wp:positionH relativeFrom="column">
              <wp:posOffset>-635</wp:posOffset>
            </wp:positionH>
            <wp:positionV relativeFrom="paragraph">
              <wp:posOffset>203835</wp:posOffset>
            </wp:positionV>
            <wp:extent cx="5287645" cy="762000"/>
            <wp:effectExtent l="0" t="0" r="8255"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87645" cy="762000"/>
                    </a:xfrm>
                    <a:prstGeom prst="rect">
                      <a:avLst/>
                    </a:prstGeom>
                    <a:noFill/>
                    <a:ln>
                      <a:noFill/>
                    </a:ln>
                  </pic:spPr>
                </pic:pic>
              </a:graphicData>
            </a:graphic>
          </wp:anchor>
        </w:drawing>
      </w:r>
      <w:bookmarkEnd w:id="10"/>
      <w:r>
        <w:rPr>
          <w:rFonts w:hint="eastAsia"/>
        </w:rPr>
        <w:t>1.分析思路</w:t>
      </w:r>
    </w:p>
    <w:p>
      <w:pPr>
        <w:pStyle w:val="39"/>
        <w:spacing w:line="360" w:lineRule="auto"/>
        <w:ind w:firstLine="440"/>
        <w:rPr>
          <w:rFonts w:ascii="KaiTi" w:hAnsi="KaiTi" w:eastAsia="KaiTi" w:cs="Arial"/>
          <w:b/>
          <w:sz w:val="24"/>
          <w:szCs w:val="22"/>
        </w:rPr>
      </w:pPr>
      <w:r>
        <w:rPr>
          <w:rFonts w:hint="eastAsia" w:ascii="KaiTi" w:hAnsi="KaiTi" w:eastAsia="KaiTi" w:cs="Arial"/>
          <w:b/>
          <w:sz w:val="24"/>
          <w:szCs w:val="22"/>
        </w:rPr>
        <w:t>2.数据收集汇总：</w:t>
      </w:r>
      <w:bookmarkStart w:id="7" w:name="_Hlk70510481"/>
      <w:r>
        <w:rPr>
          <w:rFonts w:hint="eastAsia" w:ascii="KaiTi" w:hAnsi="KaiTi" w:eastAsia="KaiTi" w:cs="Arial"/>
          <w:b/>
          <w:sz w:val="24"/>
          <w:szCs w:val="22"/>
        </w:rPr>
        <w:t>现金及现金等价物余额</w:t>
      </w:r>
      <w:bookmarkEnd w:id="7"/>
    </w:p>
    <w:p>
      <w:pPr>
        <w:spacing w:line="360" w:lineRule="auto"/>
        <w:rPr>
          <w:rFonts w:ascii="KaiTi" w:hAnsi="KaiTi" w:eastAsia="KaiTi"/>
          <w:b/>
          <w:bCs/>
        </w:rPr>
      </w:pPr>
      <w:r>
        <w:rPr>
          <w:rFonts w:ascii="KaiTi" w:hAnsi="KaiTi" w:eastAsia="KaiTi"/>
        </w:rPr>
        <w:t xml:space="preserve">                                                      </w:t>
      </w:r>
      <w:r>
        <w:rPr>
          <w:rFonts w:hint="eastAsia" w:ascii="KaiTi" w:hAnsi="KaiTi" w:eastAsia="KaiTi"/>
          <w:b/>
          <w:bCs/>
        </w:rPr>
        <w:t>单位：亿元</w:t>
      </w:r>
    </w:p>
    <w:tbl>
      <w:tblPr>
        <w:tblStyle w:val="14"/>
        <w:tblW w:w="8960" w:type="dxa"/>
        <w:tblInd w:w="0" w:type="dxa"/>
        <w:tblLayout w:type="fixed"/>
        <w:tblCellMar>
          <w:top w:w="0" w:type="dxa"/>
          <w:left w:w="108" w:type="dxa"/>
          <w:bottom w:w="0" w:type="dxa"/>
          <w:right w:w="108" w:type="dxa"/>
        </w:tblCellMar>
      </w:tblPr>
      <w:tblGrid>
        <w:gridCol w:w="2377"/>
        <w:gridCol w:w="1131"/>
        <w:gridCol w:w="1131"/>
        <w:gridCol w:w="1131"/>
        <w:gridCol w:w="1131"/>
        <w:gridCol w:w="919"/>
        <w:gridCol w:w="1140"/>
      </w:tblGrid>
      <w:tr>
        <w:tblPrEx>
          <w:tblLayout w:type="fixed"/>
          <w:tblCellMar>
            <w:top w:w="0" w:type="dxa"/>
            <w:left w:w="108" w:type="dxa"/>
            <w:bottom w:w="0" w:type="dxa"/>
            <w:right w:w="108" w:type="dxa"/>
          </w:tblCellMar>
        </w:tblPrEx>
        <w:trPr>
          <w:trHeight w:val="454" w:hRule="atLeast"/>
        </w:trPr>
        <w:tc>
          <w:tcPr>
            <w:tcW w:w="2377" w:type="dxa"/>
            <w:tcBorders>
              <w:top w:val="single" w:color="auto" w:sz="4" w:space="0"/>
              <w:left w:val="single" w:color="auto" w:sz="4" w:space="0"/>
              <w:bottom w:val="single" w:color="auto" w:sz="4" w:space="0"/>
              <w:right w:val="single" w:color="auto" w:sz="4" w:space="0"/>
            </w:tcBorders>
            <w:shd w:val="clear" w:color="000000" w:fill="4F81BD"/>
            <w:vAlign w:val="center"/>
          </w:tcPr>
          <w:p>
            <w:pPr>
              <w:jc w:val="center"/>
              <w:rPr>
                <w:rFonts w:ascii="KaiTi" w:hAnsi="KaiTi" w:eastAsia="KaiTi"/>
                <w:b/>
                <w:bCs/>
                <w:color w:val="FFFFFF"/>
                <w:sz w:val="20"/>
                <w:szCs w:val="20"/>
              </w:rPr>
            </w:pPr>
            <w:r>
              <w:rPr>
                <w:rFonts w:hint="eastAsia" w:ascii="KaiTi" w:hAnsi="KaiTi" w:eastAsia="KaiTi"/>
                <w:b/>
                <w:bCs/>
                <w:color w:val="FFFFFF"/>
                <w:sz w:val="20"/>
                <w:szCs w:val="20"/>
              </w:rPr>
              <w:t>现金等价物余额</w:t>
            </w:r>
          </w:p>
        </w:tc>
        <w:tc>
          <w:tcPr>
            <w:tcW w:w="1131" w:type="dxa"/>
            <w:tcBorders>
              <w:top w:val="single" w:color="auto" w:sz="4" w:space="0"/>
              <w:left w:val="nil"/>
              <w:bottom w:val="single" w:color="auto" w:sz="4" w:space="0"/>
              <w:right w:val="single" w:color="auto" w:sz="4" w:space="0"/>
            </w:tcBorders>
            <w:shd w:val="clear" w:color="000000" w:fill="4F81BD"/>
            <w:vAlign w:val="center"/>
          </w:tcPr>
          <w:p>
            <w:pPr>
              <w:jc w:val="center"/>
              <w:rPr>
                <w:rFonts w:ascii="KaiTi" w:hAnsi="KaiTi" w:eastAsia="KaiTi"/>
                <w:b/>
                <w:bCs/>
                <w:color w:val="FFFFFF"/>
                <w:sz w:val="20"/>
                <w:szCs w:val="20"/>
              </w:rPr>
            </w:pPr>
            <w:r>
              <w:rPr>
                <w:rFonts w:hint="eastAsia" w:ascii="KaiTi" w:hAnsi="KaiTi" w:eastAsia="KaiTi"/>
                <w:b/>
                <w:bCs/>
                <w:color w:val="FFFFFF"/>
                <w:sz w:val="20"/>
                <w:szCs w:val="20"/>
              </w:rPr>
              <w:t>2016</w:t>
            </w:r>
          </w:p>
        </w:tc>
        <w:tc>
          <w:tcPr>
            <w:tcW w:w="1131" w:type="dxa"/>
            <w:tcBorders>
              <w:top w:val="single" w:color="auto" w:sz="4" w:space="0"/>
              <w:left w:val="nil"/>
              <w:bottom w:val="single" w:color="auto" w:sz="4" w:space="0"/>
              <w:right w:val="single" w:color="auto" w:sz="4" w:space="0"/>
            </w:tcBorders>
            <w:shd w:val="clear" w:color="000000" w:fill="4F81BD"/>
            <w:vAlign w:val="center"/>
          </w:tcPr>
          <w:p>
            <w:pPr>
              <w:jc w:val="center"/>
              <w:rPr>
                <w:rFonts w:ascii="KaiTi" w:hAnsi="KaiTi" w:eastAsia="KaiTi"/>
                <w:b/>
                <w:bCs/>
                <w:color w:val="FFFFFF"/>
                <w:sz w:val="20"/>
                <w:szCs w:val="20"/>
              </w:rPr>
            </w:pPr>
            <w:r>
              <w:rPr>
                <w:rFonts w:hint="eastAsia" w:ascii="KaiTi" w:hAnsi="KaiTi" w:eastAsia="KaiTi"/>
                <w:b/>
                <w:bCs/>
                <w:color w:val="FFFFFF"/>
                <w:sz w:val="20"/>
                <w:szCs w:val="20"/>
              </w:rPr>
              <w:t>2017</w:t>
            </w:r>
          </w:p>
        </w:tc>
        <w:tc>
          <w:tcPr>
            <w:tcW w:w="1131" w:type="dxa"/>
            <w:tcBorders>
              <w:top w:val="single" w:color="auto" w:sz="4" w:space="0"/>
              <w:left w:val="nil"/>
              <w:bottom w:val="single" w:color="auto" w:sz="4" w:space="0"/>
              <w:right w:val="single" w:color="auto" w:sz="4" w:space="0"/>
            </w:tcBorders>
            <w:shd w:val="clear" w:color="000000" w:fill="4F81BD"/>
            <w:vAlign w:val="center"/>
          </w:tcPr>
          <w:p>
            <w:pPr>
              <w:jc w:val="center"/>
              <w:rPr>
                <w:rFonts w:ascii="KaiTi" w:hAnsi="KaiTi" w:eastAsia="KaiTi"/>
                <w:b/>
                <w:bCs/>
                <w:color w:val="FFFFFF"/>
                <w:sz w:val="20"/>
                <w:szCs w:val="20"/>
              </w:rPr>
            </w:pPr>
            <w:r>
              <w:rPr>
                <w:rFonts w:hint="eastAsia" w:ascii="KaiTi" w:hAnsi="KaiTi" w:eastAsia="KaiTi"/>
                <w:b/>
                <w:bCs/>
                <w:color w:val="FFFFFF"/>
                <w:sz w:val="20"/>
                <w:szCs w:val="20"/>
              </w:rPr>
              <w:t>2018</w:t>
            </w:r>
          </w:p>
        </w:tc>
        <w:tc>
          <w:tcPr>
            <w:tcW w:w="1131" w:type="dxa"/>
            <w:tcBorders>
              <w:top w:val="single" w:color="auto" w:sz="4" w:space="0"/>
              <w:left w:val="nil"/>
              <w:bottom w:val="single" w:color="auto" w:sz="4" w:space="0"/>
              <w:right w:val="single" w:color="auto" w:sz="4" w:space="0"/>
            </w:tcBorders>
            <w:shd w:val="clear" w:color="000000" w:fill="4F81BD"/>
            <w:vAlign w:val="center"/>
          </w:tcPr>
          <w:p>
            <w:pPr>
              <w:jc w:val="center"/>
              <w:rPr>
                <w:rFonts w:ascii="KaiTi" w:hAnsi="KaiTi" w:eastAsia="KaiTi"/>
                <w:b/>
                <w:bCs/>
                <w:color w:val="FFFFFF"/>
                <w:sz w:val="20"/>
                <w:szCs w:val="20"/>
              </w:rPr>
            </w:pPr>
            <w:r>
              <w:rPr>
                <w:rFonts w:hint="eastAsia" w:ascii="KaiTi" w:hAnsi="KaiTi" w:eastAsia="KaiTi"/>
                <w:b/>
                <w:bCs/>
                <w:color w:val="FFFFFF"/>
                <w:sz w:val="20"/>
                <w:szCs w:val="20"/>
              </w:rPr>
              <w:t>2019</w:t>
            </w:r>
          </w:p>
        </w:tc>
        <w:tc>
          <w:tcPr>
            <w:tcW w:w="919" w:type="dxa"/>
            <w:tcBorders>
              <w:top w:val="single" w:color="auto" w:sz="4" w:space="0"/>
              <w:left w:val="nil"/>
              <w:bottom w:val="single" w:color="auto" w:sz="4" w:space="0"/>
              <w:right w:val="single" w:color="auto" w:sz="4" w:space="0"/>
            </w:tcBorders>
            <w:shd w:val="clear" w:color="000000" w:fill="4F81BD"/>
            <w:vAlign w:val="center"/>
          </w:tcPr>
          <w:p>
            <w:pPr>
              <w:jc w:val="center"/>
              <w:rPr>
                <w:rFonts w:ascii="KaiTi" w:hAnsi="KaiTi" w:eastAsia="KaiTi"/>
                <w:b/>
                <w:bCs/>
                <w:color w:val="FFFFFF"/>
                <w:sz w:val="20"/>
                <w:szCs w:val="20"/>
              </w:rPr>
            </w:pPr>
            <w:r>
              <w:rPr>
                <w:rFonts w:hint="eastAsia" w:ascii="KaiTi" w:hAnsi="KaiTi" w:eastAsia="KaiTi"/>
                <w:b/>
                <w:bCs/>
                <w:color w:val="FFFFFF"/>
                <w:sz w:val="20"/>
                <w:szCs w:val="20"/>
              </w:rPr>
              <w:t>2020</w:t>
            </w:r>
          </w:p>
        </w:tc>
        <w:tc>
          <w:tcPr>
            <w:tcW w:w="1140" w:type="dxa"/>
            <w:tcBorders>
              <w:top w:val="nil"/>
              <w:left w:val="nil"/>
              <w:bottom w:val="nil"/>
              <w:right w:val="nil"/>
            </w:tcBorders>
            <w:shd w:val="clear" w:color="auto" w:fill="auto"/>
            <w:noWrap/>
            <w:vAlign w:val="bottom"/>
          </w:tcPr>
          <w:p>
            <w:pPr>
              <w:jc w:val="center"/>
              <w:rPr>
                <w:rFonts w:ascii="KaiTi" w:hAnsi="KaiTi" w:eastAsia="KaiTi"/>
                <w:b/>
                <w:bCs/>
                <w:color w:val="FFFFFF"/>
                <w:sz w:val="20"/>
                <w:szCs w:val="20"/>
              </w:rPr>
            </w:pPr>
          </w:p>
        </w:tc>
      </w:tr>
      <w:tr>
        <w:tblPrEx>
          <w:tblLayout w:type="fixed"/>
        </w:tblPrEx>
        <w:trPr>
          <w:trHeight w:val="454" w:hRule="atLeast"/>
        </w:trPr>
        <w:tc>
          <w:tcPr>
            <w:tcW w:w="2377" w:type="dxa"/>
            <w:tcBorders>
              <w:top w:val="nil"/>
              <w:left w:val="single" w:color="auto" w:sz="4" w:space="0"/>
              <w:bottom w:val="single" w:color="auto" w:sz="4" w:space="0"/>
              <w:right w:val="single" w:color="auto" w:sz="4" w:space="0"/>
            </w:tcBorders>
            <w:shd w:val="clear" w:color="auto" w:fill="auto"/>
            <w:vAlign w:val="center"/>
          </w:tcPr>
          <w:p>
            <w:pPr>
              <w:jc w:val="center"/>
              <w:rPr>
                <w:rFonts w:ascii="KaiTi" w:hAnsi="KaiTi" w:eastAsia="KaiTi"/>
                <w:sz w:val="18"/>
                <w:szCs w:val="18"/>
              </w:rPr>
            </w:pPr>
            <w:r>
              <w:rPr>
                <w:rFonts w:hint="eastAsia" w:ascii="KaiTi" w:hAnsi="KaiTi" w:eastAsia="KaiTi"/>
                <w:sz w:val="18"/>
                <w:szCs w:val="18"/>
              </w:rPr>
              <w:t>现金及现金等价物余额</w:t>
            </w:r>
          </w:p>
        </w:tc>
        <w:tc>
          <w:tcPr>
            <w:tcW w:w="1131"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r>
              <w:rPr>
                <w:rFonts w:ascii="KaiTi" w:hAnsi="KaiTi" w:eastAsia="KaiTi" w:cs="Arial"/>
                <w:sz w:val="20"/>
                <w:szCs w:val="20"/>
              </w:rPr>
              <w:t>24.57</w:t>
            </w:r>
          </w:p>
        </w:tc>
        <w:tc>
          <w:tcPr>
            <w:tcW w:w="1131"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r>
              <w:rPr>
                <w:rFonts w:ascii="KaiTi" w:hAnsi="KaiTi" w:eastAsia="KaiTi" w:cs="Arial"/>
                <w:sz w:val="20"/>
                <w:szCs w:val="20"/>
              </w:rPr>
              <w:t>17.50</w:t>
            </w:r>
          </w:p>
        </w:tc>
        <w:tc>
          <w:tcPr>
            <w:tcW w:w="1131"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r>
              <w:rPr>
                <w:rFonts w:ascii="KaiTi" w:hAnsi="KaiTi" w:eastAsia="KaiTi" w:cs="Arial"/>
                <w:sz w:val="20"/>
                <w:szCs w:val="20"/>
              </w:rPr>
              <w:t>36.15</w:t>
            </w:r>
          </w:p>
        </w:tc>
        <w:tc>
          <w:tcPr>
            <w:tcW w:w="1131" w:type="dxa"/>
            <w:tcBorders>
              <w:top w:val="nil"/>
              <w:left w:val="nil"/>
              <w:bottom w:val="single" w:color="auto" w:sz="4" w:space="0"/>
              <w:right w:val="single" w:color="auto" w:sz="4" w:space="0"/>
            </w:tcBorders>
            <w:shd w:val="clear" w:color="000000" w:fill="FFFFFF"/>
            <w:noWrap/>
            <w:vAlign w:val="center"/>
          </w:tcPr>
          <w:p>
            <w:pPr>
              <w:jc w:val="right"/>
              <w:rPr>
                <w:rFonts w:ascii="KaiTi" w:hAnsi="KaiTi" w:eastAsia="KaiTi" w:cs="Arial"/>
                <w:sz w:val="20"/>
                <w:szCs w:val="20"/>
              </w:rPr>
            </w:pPr>
            <w:r>
              <w:rPr>
                <w:rFonts w:ascii="KaiTi" w:hAnsi="KaiTi" w:eastAsia="KaiTi" w:cs="Arial"/>
                <w:sz w:val="20"/>
                <w:szCs w:val="20"/>
              </w:rPr>
              <w:t>43.00</w:t>
            </w:r>
          </w:p>
        </w:tc>
        <w:tc>
          <w:tcPr>
            <w:tcW w:w="919" w:type="dxa"/>
            <w:tcBorders>
              <w:top w:val="nil"/>
              <w:left w:val="nil"/>
              <w:bottom w:val="single" w:color="auto" w:sz="4" w:space="0"/>
              <w:right w:val="single" w:color="auto" w:sz="4" w:space="0"/>
            </w:tcBorders>
            <w:shd w:val="clear" w:color="000000" w:fill="FFFF00"/>
            <w:noWrap/>
            <w:vAlign w:val="center"/>
          </w:tcPr>
          <w:p>
            <w:pPr>
              <w:jc w:val="right"/>
              <w:rPr>
                <w:rFonts w:ascii="KaiTi" w:hAnsi="KaiTi" w:eastAsia="KaiTi" w:cs="Arial"/>
                <w:sz w:val="20"/>
                <w:szCs w:val="20"/>
              </w:rPr>
            </w:pPr>
          </w:p>
        </w:tc>
        <w:tc>
          <w:tcPr>
            <w:tcW w:w="1140" w:type="dxa"/>
            <w:tcBorders>
              <w:top w:val="nil"/>
              <w:left w:val="nil"/>
              <w:bottom w:val="nil"/>
              <w:right w:val="nil"/>
            </w:tcBorders>
            <w:shd w:val="clear" w:color="auto" w:fill="auto"/>
            <w:noWrap/>
            <w:vAlign w:val="bottom"/>
          </w:tcPr>
          <w:p>
            <w:pPr>
              <w:rPr>
                <w:rFonts w:ascii="KaiTi" w:hAnsi="KaiTi" w:eastAsia="KaiTi"/>
                <w:color w:val="2F75B5"/>
                <w:sz w:val="22"/>
                <w:szCs w:val="22"/>
              </w:rPr>
            </w:pPr>
            <w:r>
              <w:rPr>
                <w:rFonts w:hint="eastAsia" w:ascii="KaiTi" w:hAnsi="KaiTi" w:eastAsia="KaiTi"/>
                <w:color w:val="2F75B5"/>
                <w:sz w:val="22"/>
                <w:szCs w:val="22"/>
              </w:rPr>
              <w:t xml:space="preserve"> 解析7 </w:t>
            </w:r>
          </w:p>
        </w:tc>
      </w:tr>
    </w:tbl>
    <w:p>
      <w:pPr>
        <w:pStyle w:val="34"/>
      </w:pPr>
      <w:r>
        <w:rPr>
          <w:rFonts w:hint="eastAsia"/>
        </w:rPr>
        <w:t>3.分析各年变化趋势</w:t>
      </w:r>
    </w:p>
    <w:p>
      <w:pPr>
        <w:spacing w:line="360" w:lineRule="auto"/>
        <w:ind w:firstLine="480" w:firstLineChars="200"/>
        <w:rPr>
          <w:rFonts w:ascii="KaiTi" w:hAnsi="KaiTi" w:eastAsia="KaiTi"/>
        </w:rPr>
      </w:pPr>
      <w:r>
        <w:rPr>
          <w:rFonts w:hint="eastAsia" w:ascii="KaiTi" w:hAnsi="KaiTi" w:eastAsia="KaiTi" w:cs="Arial"/>
        </w:rPr>
        <w:t>近五年洋河股份现金及现金等价物余额</w:t>
      </w:r>
      <w:r>
        <w:rPr>
          <w:rFonts w:ascii="KaiTi" w:hAnsi="KaiTi" w:eastAsia="KaiTi" w:cs="Arial"/>
        </w:rPr>
        <w:t>分别是</w:t>
      </w:r>
      <w:r>
        <w:rPr>
          <w:rFonts w:hint="eastAsia" w:ascii="KaiTi" w:hAnsi="KaiTi" w:eastAsia="KaiTi"/>
          <w:u w:val="single"/>
        </w:rPr>
        <w:t xml:space="preserve"> </w:t>
      </w:r>
      <w:r>
        <w:rPr>
          <w:rFonts w:ascii="KaiTi" w:hAnsi="KaiTi" w:eastAsia="KaiTi"/>
          <w:u w:val="single"/>
        </w:rPr>
        <w:t xml:space="preserve">    </w:t>
      </w:r>
      <w:r>
        <w:rPr>
          <w:rFonts w:hint="eastAsia" w:ascii="KaiTi" w:hAnsi="KaiTi" w:eastAsia="KaiTi"/>
          <w:u w:val="single"/>
        </w:rPr>
        <w:t xml:space="preserve"> </w:t>
      </w:r>
      <w:r>
        <w:rPr>
          <w:rFonts w:ascii="KaiTi" w:hAnsi="KaiTi" w:eastAsia="KaiTi"/>
        </w:rPr>
        <w:t>亿</w:t>
      </w:r>
      <w:r>
        <w:rPr>
          <w:rFonts w:hint="eastAsia" w:ascii="KaiTi" w:hAnsi="KaiTi" w:eastAsia="KaiTi"/>
        </w:rPr>
        <w:t>、</w:t>
      </w:r>
      <w:r>
        <w:rPr>
          <w:rFonts w:hint="eastAsia" w:ascii="KaiTi" w:hAnsi="KaiTi" w:eastAsia="KaiTi"/>
          <w:u w:val="single"/>
        </w:rPr>
        <w:t xml:space="preserve"> </w:t>
      </w:r>
      <w:r>
        <w:rPr>
          <w:rFonts w:ascii="KaiTi" w:hAnsi="KaiTi" w:eastAsia="KaiTi"/>
          <w:u w:val="single"/>
        </w:rPr>
        <w:t xml:space="preserve">    </w:t>
      </w:r>
      <w:r>
        <w:rPr>
          <w:rFonts w:hint="eastAsia" w:ascii="KaiTi" w:hAnsi="KaiTi" w:eastAsia="KaiTi"/>
          <w:u w:val="single"/>
        </w:rPr>
        <w:t xml:space="preserve"> </w:t>
      </w:r>
      <w:r>
        <w:rPr>
          <w:rFonts w:ascii="KaiTi" w:hAnsi="KaiTi" w:eastAsia="KaiTi"/>
        </w:rPr>
        <w:t>亿</w:t>
      </w:r>
      <w:r>
        <w:rPr>
          <w:rFonts w:hint="eastAsia" w:ascii="KaiTi" w:hAnsi="KaiTi" w:eastAsia="KaiTi"/>
        </w:rPr>
        <w:t>、</w:t>
      </w:r>
      <w:r>
        <w:rPr>
          <w:rFonts w:hint="eastAsia" w:ascii="KaiTi" w:hAnsi="KaiTi" w:eastAsia="KaiTi"/>
          <w:u w:val="single"/>
        </w:rPr>
        <w:t xml:space="preserve"> </w:t>
      </w:r>
      <w:r>
        <w:rPr>
          <w:rFonts w:ascii="KaiTi" w:hAnsi="KaiTi" w:eastAsia="KaiTi"/>
          <w:u w:val="single"/>
        </w:rPr>
        <w:t xml:space="preserve">    </w:t>
      </w:r>
      <w:r>
        <w:rPr>
          <w:rFonts w:hint="eastAsia" w:ascii="KaiTi" w:hAnsi="KaiTi" w:eastAsia="KaiTi"/>
          <w:u w:val="single"/>
        </w:rPr>
        <w:t xml:space="preserve"> </w:t>
      </w:r>
      <w:r>
        <w:rPr>
          <w:rFonts w:ascii="KaiTi" w:hAnsi="KaiTi" w:eastAsia="KaiTi"/>
        </w:rPr>
        <w:t>亿</w:t>
      </w:r>
      <w:r>
        <w:rPr>
          <w:rFonts w:hint="eastAsia" w:ascii="KaiTi" w:hAnsi="KaiTi" w:eastAsia="KaiTi"/>
        </w:rPr>
        <w:t>、</w:t>
      </w:r>
      <w:r>
        <w:rPr>
          <w:rFonts w:hint="eastAsia" w:ascii="KaiTi" w:hAnsi="KaiTi" w:eastAsia="KaiTi"/>
          <w:u w:val="single"/>
        </w:rPr>
        <w:t xml:space="preserve"> </w:t>
      </w:r>
      <w:r>
        <w:rPr>
          <w:rFonts w:ascii="KaiTi" w:hAnsi="KaiTi" w:eastAsia="KaiTi"/>
          <w:u w:val="single"/>
        </w:rPr>
        <w:t xml:space="preserve">    </w:t>
      </w:r>
      <w:r>
        <w:rPr>
          <w:rFonts w:hint="eastAsia" w:ascii="KaiTi" w:hAnsi="KaiTi" w:eastAsia="KaiTi"/>
          <w:u w:val="single"/>
        </w:rPr>
        <w:t xml:space="preserve"> </w:t>
      </w:r>
      <w:r>
        <w:rPr>
          <w:rFonts w:ascii="KaiTi" w:hAnsi="KaiTi" w:eastAsia="KaiTi"/>
        </w:rPr>
        <w:t>亿</w:t>
      </w:r>
      <w:r>
        <w:rPr>
          <w:rFonts w:hint="eastAsia" w:ascii="KaiTi" w:hAnsi="KaiTi" w:eastAsia="KaiTi"/>
        </w:rPr>
        <w:t>、</w:t>
      </w:r>
      <w:r>
        <w:rPr>
          <w:rFonts w:hint="eastAsia" w:ascii="KaiTi" w:hAnsi="KaiTi" w:eastAsia="KaiTi"/>
          <w:u w:val="single"/>
        </w:rPr>
        <w:t xml:space="preserve"> </w:t>
      </w:r>
      <w:r>
        <w:rPr>
          <w:rFonts w:ascii="KaiTi" w:hAnsi="KaiTi" w:eastAsia="KaiTi"/>
          <w:u w:val="single"/>
        </w:rPr>
        <w:t xml:space="preserve">    </w:t>
      </w:r>
      <w:r>
        <w:rPr>
          <w:rFonts w:hint="eastAsia" w:ascii="KaiTi" w:hAnsi="KaiTi" w:eastAsia="KaiTi"/>
          <w:u w:val="single"/>
        </w:rPr>
        <w:t xml:space="preserve"> </w:t>
      </w:r>
      <w:r>
        <w:rPr>
          <w:rFonts w:ascii="KaiTi" w:hAnsi="KaiTi" w:eastAsia="KaiTi"/>
        </w:rPr>
        <w:t>亿</w:t>
      </w:r>
      <w:r>
        <w:rPr>
          <w:rFonts w:hint="eastAsia" w:ascii="KaiTi" w:hAnsi="KaiTi" w:eastAsia="KaiTi"/>
        </w:rPr>
        <w:t>，</w:t>
      </w:r>
      <w:r>
        <w:rPr>
          <w:rFonts w:hint="eastAsia" w:ascii="KaiTi" w:hAnsi="KaiTi" w:eastAsia="KaiTi" w:cs="Arial"/>
        </w:rPr>
        <w:t>整体呈现出</w:t>
      </w:r>
      <w:r>
        <w:rPr>
          <w:rFonts w:hint="eastAsia" w:ascii="KaiTi" w:hAnsi="KaiTi" w:eastAsia="KaiTi"/>
          <w:u w:val="single"/>
        </w:rPr>
        <w:t xml:space="preserve"> </w:t>
      </w:r>
      <w:r>
        <w:rPr>
          <w:rFonts w:ascii="KaiTi" w:hAnsi="KaiTi" w:eastAsia="KaiTi"/>
          <w:u w:val="single"/>
        </w:rPr>
        <w:t xml:space="preserve">    </w:t>
      </w:r>
      <w:r>
        <w:rPr>
          <w:rFonts w:hint="eastAsia" w:ascii="KaiTi" w:hAnsi="KaiTi" w:eastAsia="KaiTi"/>
          <w:u w:val="single"/>
        </w:rPr>
        <w:t xml:space="preserve"> </w:t>
      </w:r>
      <w:r>
        <w:rPr>
          <w:rFonts w:hint="eastAsia" w:ascii="KaiTi" w:hAnsi="KaiTi" w:eastAsia="KaiTi"/>
          <w:b/>
          <w:bCs/>
          <w:color w:val="C55A11" w:themeColor="accent2" w:themeShade="BF"/>
        </w:rPr>
        <w:t>（选项：上涨或下降）</w:t>
      </w:r>
      <w:r>
        <w:rPr>
          <w:rFonts w:hint="eastAsia" w:ascii="KaiTi" w:hAnsi="KaiTi" w:eastAsia="KaiTi"/>
        </w:rPr>
        <w:t>的趋势</w:t>
      </w:r>
    </w:p>
    <w:p>
      <w:pPr>
        <w:spacing w:line="360" w:lineRule="auto"/>
        <w:ind w:firstLine="480" w:firstLineChars="200"/>
        <w:rPr>
          <w:rFonts w:ascii="KaiTi" w:hAnsi="KaiTi" w:eastAsia="KaiTi"/>
          <w:b/>
          <w:bCs/>
          <w:color w:val="C55A11" w:themeColor="accent2" w:themeShade="BF"/>
        </w:rPr>
      </w:pPr>
      <w:bookmarkStart w:id="8" w:name="_Hlk71663773"/>
      <w:r>
        <w:rPr>
          <w:rFonts w:hint="eastAsia" w:ascii="KaiTi" w:hAnsi="KaiTi" w:eastAsia="KaiTi"/>
        </w:rPr>
        <w:t>结合1</w:t>
      </w:r>
      <w:r>
        <w:rPr>
          <w:rFonts w:ascii="KaiTi" w:hAnsi="KaiTi" w:eastAsia="KaiTi"/>
        </w:rPr>
        <w:t>5</w:t>
      </w:r>
      <w:r>
        <w:rPr>
          <w:rFonts w:hint="eastAsia" w:ascii="KaiTi" w:hAnsi="KaiTi" w:eastAsia="KaiTi"/>
        </w:rPr>
        <w:t>周对有息负债的分析，洋河股份近五年有息负债</w:t>
      </w:r>
      <w:bookmarkEnd w:id="8"/>
      <w:r>
        <w:rPr>
          <w:rFonts w:hint="eastAsia" w:ascii="KaiTi" w:hAnsi="KaiTi" w:eastAsia="KaiTi"/>
          <w:u w:val="single"/>
        </w:rPr>
        <w:t xml:space="preserve"> </w:t>
      </w:r>
      <w:r>
        <w:rPr>
          <w:rFonts w:ascii="KaiTi" w:hAnsi="KaiTi" w:eastAsia="KaiTi"/>
          <w:u w:val="single"/>
        </w:rPr>
        <w:t xml:space="preserve">    </w:t>
      </w:r>
      <w:r>
        <w:rPr>
          <w:rFonts w:hint="eastAsia" w:ascii="KaiTi" w:hAnsi="KaiTi" w:eastAsia="KaiTi"/>
          <w:u w:val="single"/>
        </w:rPr>
        <w:t xml:space="preserve"> </w:t>
      </w:r>
      <w:bookmarkStart w:id="9" w:name="_Hlk71663842"/>
      <w:r>
        <w:rPr>
          <w:rFonts w:hint="eastAsia" w:ascii="KaiTi" w:hAnsi="KaiTi" w:eastAsia="KaiTi"/>
        </w:rPr>
        <w:t>期末现金及现金等价物余额</w:t>
      </w:r>
      <w:bookmarkEnd w:id="9"/>
      <w:r>
        <w:rPr>
          <w:rFonts w:hint="eastAsia" w:ascii="KaiTi" w:hAnsi="KaiTi" w:eastAsia="KaiTi"/>
          <w:b/>
          <w:bCs/>
          <w:color w:val="C55A11" w:themeColor="accent2" w:themeShade="BF"/>
        </w:rPr>
        <w:t>（选项：大于或小于）</w:t>
      </w:r>
      <w:r>
        <w:rPr>
          <w:rFonts w:hint="eastAsia" w:ascii="KaiTi" w:hAnsi="KaiTi" w:eastAsia="KaiTi"/>
        </w:rPr>
        <w:t>，说明</w:t>
      </w:r>
      <w:r>
        <w:rPr>
          <w:rFonts w:hint="eastAsia" w:ascii="KaiTi" w:hAnsi="KaiTi" w:eastAsia="KaiTi"/>
          <w:u w:val="single"/>
        </w:rPr>
        <w:t xml:space="preserve"> </w:t>
      </w:r>
      <w:r>
        <w:rPr>
          <w:rFonts w:ascii="KaiTi" w:hAnsi="KaiTi" w:eastAsia="KaiTi"/>
          <w:u w:val="single"/>
        </w:rPr>
        <w:t xml:space="preserve">    </w:t>
      </w:r>
      <w:r>
        <w:rPr>
          <w:rFonts w:hint="eastAsia" w:ascii="KaiTi" w:hAnsi="KaiTi" w:eastAsia="KaiTi"/>
          <w:u w:val="single"/>
        </w:rPr>
        <w:t xml:space="preserve"> </w:t>
      </w:r>
      <w:r>
        <w:rPr>
          <w:rFonts w:hint="eastAsia" w:ascii="KaiTi" w:hAnsi="KaiTi" w:eastAsia="KaiTi"/>
        </w:rPr>
        <w:t>。</w:t>
      </w:r>
      <w:r>
        <w:rPr>
          <w:rFonts w:hint="eastAsia" w:ascii="KaiTi" w:hAnsi="KaiTi" w:eastAsia="KaiTi"/>
          <w:b/>
          <w:bCs/>
          <w:color w:val="C55A11" w:themeColor="accent2" w:themeShade="BF"/>
        </w:rPr>
        <w:t>（选项：公司现金充足或现金匮乏）</w:t>
      </w:r>
    </w:p>
    <w:p>
      <w:pPr>
        <w:pStyle w:val="34"/>
        <w:spacing w:line="360" w:lineRule="auto"/>
        <w:rPr>
          <w:szCs w:val="24"/>
        </w:rPr>
      </w:pPr>
      <w:r>
        <w:rPr>
          <w:rFonts w:hint="eastAsia"/>
          <w:szCs w:val="24"/>
        </w:rPr>
        <w:t>4</w:t>
      </w:r>
      <w:r>
        <w:rPr>
          <w:szCs w:val="24"/>
        </w:rPr>
        <w:t>.</w:t>
      </w:r>
      <w:r>
        <w:rPr>
          <w:rFonts w:hint="eastAsia"/>
          <w:szCs w:val="24"/>
        </w:rPr>
        <w:t>根据分析得出结论</w:t>
      </w:r>
    </w:p>
    <w:p>
      <w:pPr>
        <w:spacing w:line="360" w:lineRule="auto"/>
        <w:ind w:firstLine="480" w:firstLineChars="200"/>
        <w:rPr>
          <w:rFonts w:ascii="KaiTi" w:hAnsi="KaiTi" w:eastAsia="KaiTi" w:cs="Arial"/>
        </w:rPr>
      </w:pPr>
      <w:r>
        <w:rPr>
          <w:rFonts w:ascii="KaiTi" w:hAnsi="KaiTi" w:eastAsia="KaiTi" w:cs="Arial"/>
        </w:rPr>
        <w:t>洋河</w:t>
      </w:r>
      <w:r>
        <w:rPr>
          <w:rFonts w:hint="eastAsia" w:ascii="KaiTi" w:hAnsi="KaiTi" w:eastAsia="KaiTi" w:cs="Arial"/>
        </w:rPr>
        <w:t>股份</w:t>
      </w:r>
      <w:r>
        <w:rPr>
          <w:rFonts w:hint="eastAsia" w:ascii="KaiTi" w:hAnsi="KaiTi" w:eastAsia="KaiTi"/>
        </w:rPr>
        <w:t>的可用现金总额</w:t>
      </w:r>
      <w:r>
        <w:rPr>
          <w:rFonts w:hint="eastAsia" w:ascii="KaiTi" w:hAnsi="KaiTi" w:eastAsia="KaiTi"/>
          <w:u w:val="single"/>
        </w:rPr>
        <w:t xml:space="preserve"> </w:t>
      </w:r>
      <w:r>
        <w:rPr>
          <w:rFonts w:ascii="KaiTi" w:hAnsi="KaiTi" w:eastAsia="KaiTi"/>
          <w:u w:val="single"/>
        </w:rPr>
        <w:t xml:space="preserve">    </w:t>
      </w:r>
      <w:r>
        <w:rPr>
          <w:rFonts w:hint="eastAsia" w:ascii="KaiTi" w:hAnsi="KaiTi" w:eastAsia="KaiTi"/>
          <w:u w:val="single"/>
        </w:rPr>
        <w:t xml:space="preserve"> </w:t>
      </w:r>
      <w:r>
        <w:rPr>
          <w:rFonts w:ascii="KaiTi" w:hAnsi="KaiTi" w:eastAsia="KaiTi" w:cs="Arial"/>
        </w:rPr>
        <w:t>风险</w:t>
      </w:r>
      <w:r>
        <w:rPr>
          <w:rFonts w:hint="eastAsia" w:ascii="KaiTi" w:hAnsi="KaiTi" w:eastAsia="KaiTi"/>
          <w:u w:val="single"/>
        </w:rPr>
        <w:t xml:space="preserve"> </w:t>
      </w:r>
      <w:r>
        <w:rPr>
          <w:rFonts w:ascii="KaiTi" w:hAnsi="KaiTi" w:eastAsia="KaiTi"/>
          <w:u w:val="single"/>
        </w:rPr>
        <w:t xml:space="preserve">    </w:t>
      </w:r>
      <w:r>
        <w:rPr>
          <w:rFonts w:hint="eastAsia" w:ascii="KaiTi" w:hAnsi="KaiTi" w:eastAsia="KaiTi"/>
          <w:u w:val="single"/>
        </w:rPr>
        <w:t xml:space="preserve"> </w:t>
      </w:r>
      <w:r>
        <w:rPr>
          <w:rFonts w:hint="eastAsia" w:ascii="KaiTi" w:hAnsi="KaiTi" w:eastAsia="KaiTi"/>
          <w:b/>
          <w:bCs/>
          <w:color w:val="C55A11" w:themeColor="accent2" w:themeShade="BF"/>
        </w:rPr>
        <w:t>（选项：较大或较小）</w:t>
      </w:r>
    </w:p>
    <w:p>
      <w:pPr>
        <w:rPr>
          <w:rFonts w:ascii="KaiTi" w:hAnsi="KaiTi" w:eastAsia="KaiTi"/>
        </w:rPr>
      </w:pPr>
    </w:p>
    <w:p>
      <w:pPr>
        <w:rPr>
          <w:rFonts w:ascii="KaiTi" w:hAnsi="KaiTi" w:eastAsia="KaiTi"/>
        </w:rPr>
      </w:pPr>
    </w:p>
    <w:p>
      <w:pPr>
        <w:rPr>
          <w:rFonts w:ascii="KaiTi" w:hAnsi="KaiTi" w:eastAsia="KaiTi"/>
        </w:rPr>
      </w:pPr>
    </w:p>
    <w:p>
      <w:pPr>
        <w:rPr>
          <w:rFonts w:ascii="KaiTi" w:hAnsi="KaiTi" w:eastAsia="KaiTi"/>
        </w:rPr>
      </w:pPr>
    </w:p>
    <w:p>
      <w:pPr>
        <w:rPr>
          <w:rFonts w:ascii="KaiTi" w:hAnsi="KaiTi" w:eastAsia="KaiTi"/>
        </w:rPr>
      </w:pPr>
    </w:p>
    <w:p>
      <w:pPr>
        <w:rPr>
          <w:rFonts w:ascii="KaiTi" w:hAnsi="KaiTi" w:eastAsia="KaiTi"/>
        </w:rPr>
      </w:pPr>
    </w:p>
    <w:p>
      <w:pPr>
        <w:rPr>
          <w:rFonts w:ascii="KaiTi" w:hAnsi="KaiTi" w:eastAsia="KaiTi"/>
        </w:rPr>
      </w:pPr>
    </w:p>
    <w:p>
      <w:pPr>
        <w:rPr>
          <w:rFonts w:ascii="KaiTi" w:hAnsi="KaiTi" w:eastAsia="KaiTi"/>
        </w:rPr>
      </w:pPr>
    </w:p>
    <w:p>
      <w:pPr>
        <w:rPr>
          <w:rFonts w:ascii="KaiTi" w:hAnsi="KaiTi" w:eastAsia="KaiTi"/>
        </w:rPr>
      </w:pPr>
    </w:p>
    <w:p>
      <w:pPr>
        <w:rPr>
          <w:rFonts w:ascii="KaiTi" w:hAnsi="KaiTi" w:eastAsia="KaiTi"/>
        </w:rPr>
      </w:pPr>
    </w:p>
    <w:p>
      <w:pPr>
        <w:rPr>
          <w:rFonts w:ascii="KaiTi" w:hAnsi="KaiTi" w:eastAsia="KaiTi"/>
        </w:rPr>
      </w:pPr>
    </w:p>
    <w:p>
      <w:pPr>
        <w:rPr>
          <w:rFonts w:ascii="KaiTi" w:hAnsi="KaiTi" w:eastAsia="KaiTi"/>
        </w:rPr>
      </w:pPr>
    </w:p>
    <w:p>
      <w:pPr>
        <w:rPr>
          <w:rFonts w:ascii="KaiTi" w:hAnsi="KaiTi" w:eastAsia="KaiTi"/>
        </w:rPr>
      </w:pPr>
    </w:p>
    <w:p>
      <w:pPr>
        <w:rPr>
          <w:rFonts w:ascii="KaiTi" w:hAnsi="KaiTi" w:eastAsia="KaiTi"/>
        </w:rPr>
      </w:pPr>
    </w:p>
    <w:p>
      <w:pPr>
        <w:rPr>
          <w:rFonts w:ascii="KaiTi" w:hAnsi="KaiTi" w:eastAsia="KaiTi"/>
        </w:rPr>
      </w:pPr>
    </w:p>
    <w:p>
      <w:pPr>
        <w:pStyle w:val="32"/>
        <w:spacing w:before="326" w:after="163"/>
        <w:rPr>
          <w:rFonts w:ascii="KaiTi" w:hAnsi="KaiTi" w:eastAsia="KaiTi"/>
        </w:rPr>
      </w:pPr>
      <w:r>
        <w:rPr>
          <w:rFonts w:hint="eastAsia" w:ascii="KaiTi" w:hAnsi="KaiTi" w:eastAsia="KaiTi"/>
        </w:rPr>
        <w:t>作业解析</w:t>
      </w:r>
    </w:p>
    <w:p>
      <w:pPr>
        <w:pStyle w:val="4"/>
        <w:spacing w:line="360" w:lineRule="auto"/>
        <w:rPr>
          <w:rFonts w:ascii="KaiTi" w:hAnsi="KaiTi" w:eastAsia="KaiTi"/>
          <w:color w:val="4472C4" w:themeColor="accent1"/>
          <w14:textFill>
            <w14:solidFill>
              <w14:schemeClr w14:val="accent1"/>
            </w14:solidFill>
          </w14:textFill>
        </w:rPr>
      </w:pPr>
      <w:r>
        <w:rPr>
          <w:rFonts w:hint="eastAsia" w:ascii="KaiTi" w:hAnsi="KaiTi" w:eastAsia="KaiTi"/>
          <w:color w:val="4472C4" w:themeColor="accent1"/>
          <w:highlight w:val="yellow"/>
          <w14:textFill>
            <w14:solidFill>
              <w14:schemeClr w14:val="accent1"/>
            </w14:solidFill>
          </w14:textFill>
        </w:rPr>
        <w:t>解析</w:t>
      </w:r>
      <w:r>
        <w:rPr>
          <w:rFonts w:ascii="KaiTi" w:hAnsi="KaiTi" w:eastAsia="KaiTi"/>
          <w:color w:val="4472C4" w:themeColor="accent1"/>
          <w:highlight w:val="yellow"/>
          <w14:textFill>
            <w14:solidFill>
              <w14:schemeClr w14:val="accent1"/>
            </w14:solidFill>
          </w14:textFill>
        </w:rPr>
        <w:t>1</w:t>
      </w:r>
    </w:p>
    <w:p>
      <w:pPr>
        <w:spacing w:line="360" w:lineRule="auto"/>
        <w:rPr>
          <w:rFonts w:ascii="KaiTi" w:hAnsi="KaiTi" w:eastAsia="KaiTi"/>
        </w:rPr>
      </w:pPr>
      <w:r>
        <w:rPr>
          <w:rFonts w:hint="eastAsia" w:ascii="KaiTi" w:hAnsi="KaiTi" w:eastAsia="KaiTi"/>
        </w:rPr>
        <w:t>打开爱问财APP</w:t>
      </w:r>
      <w:r>
        <w:drawing>
          <wp:inline distT="0" distB="0" distL="0" distR="0">
            <wp:extent cx="480060" cy="55054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487406" cy="558665"/>
                    </a:xfrm>
                    <a:prstGeom prst="rect">
                      <a:avLst/>
                    </a:prstGeom>
                  </pic:spPr>
                </pic:pic>
              </a:graphicData>
            </a:graphic>
          </wp:inline>
        </w:drawing>
      </w:r>
    </w:p>
    <w:p>
      <w:pPr>
        <w:spacing w:line="360" w:lineRule="auto"/>
        <w:rPr>
          <w:rFonts w:ascii="KaiTi" w:hAnsi="KaiTi" w:eastAsia="KaiTi"/>
        </w:rPr>
      </w:pPr>
      <w:r>
        <w:rPr>
          <w:rFonts w:hint="eastAsia" w:ascii="KaiTi" w:hAnsi="KaiTi" w:eastAsia="KaiTi"/>
        </w:rPr>
        <w:t>输入搜索条件“洋河股份，</w:t>
      </w:r>
      <w:r>
        <w:rPr>
          <w:rFonts w:ascii="KaiTi" w:hAnsi="KaiTi" w:eastAsia="KaiTi"/>
        </w:rPr>
        <w:t>2016年到2020年，</w:t>
      </w:r>
      <w:r>
        <w:rPr>
          <w:rFonts w:hint="eastAsia" w:ascii="KaiTi" w:hAnsi="KaiTi" w:eastAsia="KaiTi"/>
        </w:rPr>
        <w:t>经营活动产生的现金流量净额</w:t>
      </w:r>
      <w:r>
        <w:rPr>
          <w:rFonts w:ascii="KaiTi" w:hAnsi="KaiTi" w:eastAsia="KaiTi"/>
        </w:rPr>
        <w:t>，</w:t>
      </w:r>
      <w:r>
        <w:rPr>
          <w:rFonts w:hint="eastAsia" w:ascii="KaiTi" w:hAnsi="KaiTi" w:eastAsia="KaiTi"/>
        </w:rPr>
        <w:t>经营活动产生的现金流量净额增长率</w:t>
      </w:r>
      <w:r>
        <w:rPr>
          <w:rFonts w:ascii="KaiTi" w:hAnsi="KaiTi" w:eastAsia="KaiTi"/>
        </w:rPr>
        <w:t>”</w:t>
      </w:r>
    </w:p>
    <w:p>
      <w:pPr>
        <w:rPr>
          <w:rFonts w:ascii="KaiTi" w:hAnsi="KaiTi" w:eastAsia="KaiTi"/>
        </w:rPr>
      </w:pPr>
      <w:r>
        <w:drawing>
          <wp:inline distT="0" distB="0" distL="0" distR="0">
            <wp:extent cx="5274310" cy="38131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stretch>
                      <a:fillRect/>
                    </a:stretch>
                  </pic:blipFill>
                  <pic:spPr>
                    <a:xfrm>
                      <a:off x="0" y="0"/>
                      <a:ext cx="5274310" cy="3813175"/>
                    </a:xfrm>
                    <a:prstGeom prst="rect">
                      <a:avLst/>
                    </a:prstGeom>
                  </pic:spPr>
                </pic:pic>
              </a:graphicData>
            </a:graphic>
          </wp:inline>
        </w:drawing>
      </w:r>
    </w:p>
    <w:p>
      <w:pPr>
        <w:rPr>
          <w:rFonts w:ascii="KaiTi" w:hAnsi="KaiTi" w:eastAsia="KaiTi"/>
        </w:rPr>
      </w:pPr>
    </w:p>
    <w:p>
      <w:pPr>
        <w:pStyle w:val="4"/>
        <w:spacing w:line="360" w:lineRule="auto"/>
        <w:rPr>
          <w:rFonts w:ascii="KaiTi" w:hAnsi="KaiTi" w:eastAsia="KaiTi"/>
          <w:color w:val="4472C4" w:themeColor="accent1"/>
          <w14:textFill>
            <w14:solidFill>
              <w14:schemeClr w14:val="accent1"/>
            </w14:solidFill>
          </w14:textFill>
        </w:rPr>
      </w:pPr>
      <w:r>
        <w:rPr>
          <w:rFonts w:hint="eastAsia" w:ascii="KaiTi" w:hAnsi="KaiTi" w:eastAsia="KaiTi"/>
          <w:color w:val="4472C4" w:themeColor="accent1"/>
          <w:highlight w:val="yellow"/>
          <w14:textFill>
            <w14:solidFill>
              <w14:schemeClr w14:val="accent1"/>
            </w14:solidFill>
          </w14:textFill>
        </w:rPr>
        <w:t>解析</w:t>
      </w:r>
      <w:r>
        <w:rPr>
          <w:rFonts w:ascii="KaiTi" w:hAnsi="KaiTi" w:eastAsia="KaiTi"/>
          <w:color w:val="4472C4" w:themeColor="accent1"/>
          <w:highlight w:val="yellow"/>
          <w14:textFill>
            <w14:solidFill>
              <w14:schemeClr w14:val="accent1"/>
            </w14:solidFill>
          </w14:textFill>
        </w:rPr>
        <w:t>2</w:t>
      </w:r>
    </w:p>
    <w:p>
      <w:pPr>
        <w:spacing w:line="360" w:lineRule="auto"/>
        <w:ind w:firstLine="480" w:firstLineChars="200"/>
        <w:rPr>
          <w:rFonts w:ascii="KaiTi" w:hAnsi="KaiTi" w:eastAsia="KaiTi"/>
        </w:rPr>
      </w:pPr>
      <w:r>
        <w:rPr>
          <w:rFonts w:hint="eastAsia" w:ascii="KaiTi" w:hAnsi="KaiTi" w:eastAsia="KaiTi"/>
        </w:rPr>
        <w:t>购建固定资产、无形资产和其他长期资产支付的现金在爱问财上找不到，我们就用WPS打开年报。</w:t>
      </w:r>
    </w:p>
    <w:p>
      <w:pPr>
        <w:jc w:val="center"/>
        <w:rPr>
          <w:rFonts w:ascii="KaiTi" w:hAnsi="KaiTi" w:eastAsia="KaiTi"/>
        </w:rPr>
      </w:pPr>
      <w:r>
        <w:drawing>
          <wp:inline distT="0" distB="0" distL="0" distR="0">
            <wp:extent cx="5286375" cy="367220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5317295" cy="3693811"/>
                    </a:xfrm>
                    <a:prstGeom prst="rect">
                      <a:avLst/>
                    </a:prstGeom>
                  </pic:spPr>
                </pic:pic>
              </a:graphicData>
            </a:graphic>
          </wp:inline>
        </w:drawing>
      </w:r>
    </w:p>
    <w:p>
      <w:pPr>
        <w:jc w:val="center"/>
        <w:rPr>
          <w:rFonts w:ascii="KaiTi" w:hAnsi="KaiTi" w:eastAsia="KaiTi"/>
        </w:rPr>
      </w:pPr>
      <w:r>
        <w:drawing>
          <wp:inline distT="0" distB="0" distL="0" distR="0">
            <wp:extent cx="4702175" cy="5057775"/>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tretch>
                      <a:fillRect/>
                    </a:stretch>
                  </pic:blipFill>
                  <pic:spPr>
                    <a:xfrm>
                      <a:off x="0" y="0"/>
                      <a:ext cx="4720724" cy="5077647"/>
                    </a:xfrm>
                    <a:prstGeom prst="rect">
                      <a:avLst/>
                    </a:prstGeom>
                  </pic:spPr>
                </pic:pic>
              </a:graphicData>
            </a:graphic>
          </wp:inline>
        </w:drawing>
      </w:r>
    </w:p>
    <w:p>
      <w:pPr>
        <w:spacing w:line="360" w:lineRule="auto"/>
        <w:ind w:firstLine="480" w:firstLineChars="200"/>
        <w:rPr>
          <w:rFonts w:ascii="KaiTi" w:hAnsi="KaiTi" w:eastAsia="KaiTi"/>
        </w:rPr>
      </w:pPr>
      <w:r>
        <w:rPr>
          <w:rFonts w:hint="eastAsia" w:ascii="KaiTi" w:hAnsi="KaiTi" w:eastAsia="KaiTi"/>
        </w:rPr>
        <w:t>跳转到合并现金流量表后，在现金流量表中查找“购建固定资产、无形资产和其他长期资产支付的现金”。</w:t>
      </w:r>
    </w:p>
    <w:p>
      <w:pPr>
        <w:spacing w:line="360" w:lineRule="auto"/>
        <w:rPr>
          <w:rFonts w:ascii="KaiTi" w:hAnsi="KaiTi" w:eastAsia="KaiTi"/>
        </w:rPr>
      </w:pPr>
      <w:r>
        <w:drawing>
          <wp:inline distT="0" distB="0" distL="0" distR="0">
            <wp:extent cx="5321935" cy="13347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5324004" cy="1335808"/>
                    </a:xfrm>
                    <a:prstGeom prst="rect">
                      <a:avLst/>
                    </a:prstGeom>
                  </pic:spPr>
                </pic:pic>
              </a:graphicData>
            </a:graphic>
          </wp:inline>
        </w:drawing>
      </w:r>
    </w:p>
    <w:p>
      <w:pPr>
        <w:pStyle w:val="4"/>
        <w:spacing w:line="360" w:lineRule="auto"/>
        <w:rPr>
          <w:rFonts w:ascii="KaiTi" w:hAnsi="KaiTi" w:eastAsia="KaiTi"/>
          <w:color w:val="4472C4" w:themeColor="accent1"/>
          <w:highlight w:val="yellow"/>
          <w14:textFill>
            <w14:solidFill>
              <w14:schemeClr w14:val="accent1"/>
            </w14:solidFill>
          </w14:textFill>
        </w:rPr>
      </w:pPr>
      <w:r>
        <w:rPr>
          <w:rFonts w:hint="eastAsia" w:ascii="KaiTi" w:hAnsi="KaiTi" w:eastAsia="KaiTi"/>
          <w:color w:val="4472C4" w:themeColor="accent1"/>
          <w:highlight w:val="yellow"/>
          <w14:textFill>
            <w14:solidFill>
              <w14:schemeClr w14:val="accent1"/>
            </w14:solidFill>
          </w14:textFill>
        </w:rPr>
        <w:t>解析</w:t>
      </w:r>
      <w:r>
        <w:rPr>
          <w:rFonts w:ascii="KaiTi" w:hAnsi="KaiTi" w:eastAsia="KaiTi"/>
          <w:color w:val="4472C4" w:themeColor="accent1"/>
          <w:highlight w:val="yellow"/>
          <w14:textFill>
            <w14:solidFill>
              <w14:schemeClr w14:val="accent1"/>
            </w14:solidFill>
          </w14:textFill>
        </w:rPr>
        <w:t>3</w:t>
      </w:r>
    </w:p>
    <w:p>
      <w:pPr>
        <w:rPr>
          <w:rFonts w:ascii="Microsoft YaHei" w:hAnsi="Microsoft YaHei" w:eastAsia="Microsoft YaHei" w:cs="Microsoft YaHei"/>
          <w:i w:val="0"/>
          <w:caps w:val="0"/>
          <w:color w:val="303133"/>
          <w:spacing w:val="0"/>
          <w:sz w:val="21"/>
          <w:szCs w:val="21"/>
          <w:shd w:val="clear" w:fill="FFFFFF"/>
          <w:woUserID w:val="1"/>
        </w:rPr>
      </w:pPr>
      <w:r>
        <w:rPr>
          <w:rFonts w:ascii="Microsoft YaHei" w:hAnsi="Microsoft YaHei" w:eastAsia="Microsoft YaHei" w:cs="Microsoft YaHei"/>
          <w:i w:val="0"/>
          <w:caps w:val="0"/>
          <w:color w:val="303133"/>
          <w:spacing w:val="0"/>
          <w:sz w:val="21"/>
          <w:szCs w:val="21"/>
          <w:shd w:val="clear" w:fill="FFFFFF"/>
          <w:woUserID w:val="1"/>
        </w:rPr>
        <w:t>在搜索框中输入"重要事项"</w:t>
      </w:r>
    </w:p>
    <w:p>
      <w:r>
        <w:rPr>
          <w:rFonts w:ascii="Microsoft YaHei" w:hAnsi="Microsoft YaHei" w:eastAsia="Microsoft YaHei" w:cs="Microsoft YaHei"/>
          <w:i w:val="0"/>
          <w:caps w:val="0"/>
          <w:color w:val="303133"/>
          <w:spacing w:val="0"/>
          <w:sz w:val="21"/>
          <w:szCs w:val="21"/>
          <w:shd w:val="clear" w:fill="FFFFFF"/>
          <w:woUserID w:val="1"/>
        </w:rPr>
        <w:t>搜索到第五节 重要事项，可以看到近三年的分红率：</w:t>
      </w:r>
    </w:p>
    <w:p>
      <w:pPr>
        <w:pStyle w:val="4"/>
        <w:spacing w:line="360" w:lineRule="auto"/>
        <w:rPr>
          <w:rFonts w:hint="eastAsia" w:ascii="KaiTi" w:hAnsi="KaiTi" w:eastAsia="KaiTi"/>
          <w:color w:val="4472C4" w:themeColor="accent1"/>
          <w:highlight w:val="yellow"/>
          <w14:textFill>
            <w14:solidFill>
              <w14:schemeClr w14:val="accent1"/>
            </w14:solidFill>
          </w14:textFill>
          <w:woUserID w:val="1"/>
        </w:rPr>
      </w:pPr>
      <w:r>
        <w:rPr>
          <w:rFonts w:hint="eastAsia" w:ascii="KaiTi" w:hAnsi="KaiTi" w:eastAsia="KaiTi"/>
          <w:color w:val="4472C4" w:themeColor="accent1"/>
          <w:highlight w:val="yellow"/>
          <w14:textFill>
            <w14:solidFill>
              <w14:schemeClr w14:val="accent1"/>
            </w14:solidFill>
          </w14:textFill>
          <w:woUserID w:val="1"/>
        </w:rPr>
        <w:drawing>
          <wp:inline distT="0" distB="0" distL="114300" distR="114300">
            <wp:extent cx="4087495" cy="8855710"/>
            <wp:effectExtent l="0" t="0" r="8255"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7"/>
                    <a:stretch>
                      <a:fillRect/>
                    </a:stretch>
                  </pic:blipFill>
                  <pic:spPr>
                    <a:xfrm>
                      <a:off x="0" y="0"/>
                      <a:ext cx="4087495" cy="8855710"/>
                    </a:xfrm>
                    <a:prstGeom prst="rect">
                      <a:avLst/>
                    </a:prstGeom>
                  </pic:spPr>
                </pic:pic>
              </a:graphicData>
            </a:graphic>
          </wp:inline>
        </w:drawing>
      </w:r>
    </w:p>
    <w:p>
      <w:pPr>
        <w:pStyle w:val="4"/>
        <w:spacing w:line="360" w:lineRule="auto"/>
        <w:rPr>
          <w:rFonts w:ascii="KaiTi" w:hAnsi="KaiTi" w:eastAsia="KaiTi"/>
          <w:color w:val="4472C4" w:themeColor="accent1"/>
          <w:highlight w:val="yellow"/>
          <w14:textFill>
            <w14:solidFill>
              <w14:schemeClr w14:val="accent1"/>
            </w14:solidFill>
          </w14:textFill>
        </w:rPr>
      </w:pPr>
      <w:r>
        <w:rPr>
          <w:rFonts w:hint="eastAsia" w:ascii="KaiTi" w:hAnsi="KaiTi" w:eastAsia="KaiTi"/>
          <w:color w:val="4472C4" w:themeColor="accent1"/>
          <w:highlight w:val="yellow"/>
          <w14:textFill>
            <w14:solidFill>
              <w14:schemeClr w14:val="accent1"/>
            </w14:solidFill>
          </w14:textFill>
        </w:rPr>
        <w:t>解析4</w:t>
      </w:r>
    </w:p>
    <w:p>
      <w:pPr>
        <w:rPr>
          <w:rFonts w:ascii="KaiTi" w:hAnsi="KaiTi" w:eastAsia="KaiTi"/>
          <w:b/>
          <w:bCs/>
          <w:color w:val="4472C4" w:themeColor="accent1"/>
          <w:sz w:val="28"/>
          <w:szCs w:val="32"/>
          <w:highlight w:val="yellow"/>
          <w14:textFill>
            <w14:solidFill>
              <w14:schemeClr w14:val="accent1"/>
            </w14:solidFill>
          </w14:textFill>
        </w:rPr>
      </w:pPr>
      <w:r>
        <w:rPr>
          <w:rFonts w:hint="eastAsia" w:ascii="KaiTi" w:hAnsi="KaiTi" w:eastAsia="KaiTi"/>
        </w:rPr>
        <w:t>打开</w:t>
      </w:r>
      <w:r>
        <w:rPr>
          <w:rFonts w:ascii="KaiTi" w:hAnsi="KaiTi" w:eastAsia="KaiTi"/>
        </w:rPr>
        <w:t>i问财</w:t>
      </w:r>
      <w:r>
        <w:drawing>
          <wp:inline distT="0" distB="0" distL="0" distR="0">
            <wp:extent cx="480060" cy="55054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487406" cy="558665"/>
                    </a:xfrm>
                    <a:prstGeom prst="rect">
                      <a:avLst/>
                    </a:prstGeom>
                  </pic:spPr>
                </pic:pic>
              </a:graphicData>
            </a:graphic>
          </wp:inline>
        </w:drawing>
      </w:r>
      <w:r>
        <w:rPr>
          <w:rFonts w:ascii="KaiTi" w:hAnsi="KaiTi" w:eastAsia="KaiTi"/>
        </w:rPr>
        <w:t>，输入搜索条件：</w:t>
      </w:r>
      <w:r>
        <w:rPr>
          <w:rFonts w:ascii="KaiTi" w:hAnsi="KaiTi" w:eastAsia="KaiTi"/>
        </w:rPr>
        <w:cr/>
      </w:r>
      <w:r>
        <w:rPr>
          <w:rFonts w:hint="eastAsia" w:ascii="KaiTi" w:hAnsi="KaiTi" w:eastAsia="KaiTi"/>
        </w:rPr>
        <w:t>洋河股份</w:t>
      </w:r>
      <w:r>
        <w:rPr>
          <w:rFonts w:ascii="KaiTi" w:hAnsi="KaiTi" w:eastAsia="KaiTi"/>
        </w:rPr>
        <w:t>，2016年到2020年，经营活动产生的现金流量净额，投资活动产生的现金流量净额，筹资活动产生的现金流量净额</w:t>
      </w:r>
      <w:r>
        <w:rPr>
          <w:rFonts w:ascii="KaiTi" w:hAnsi="KaiTi" w:eastAsia="KaiTi"/>
        </w:rPr>
        <w:cr/>
      </w:r>
      <w:r>
        <w:drawing>
          <wp:inline distT="0" distB="0" distL="0" distR="0">
            <wp:extent cx="5274310" cy="38036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stretch>
                      <a:fillRect/>
                    </a:stretch>
                  </pic:blipFill>
                  <pic:spPr>
                    <a:xfrm>
                      <a:off x="0" y="0"/>
                      <a:ext cx="5274310" cy="3803650"/>
                    </a:xfrm>
                    <a:prstGeom prst="rect">
                      <a:avLst/>
                    </a:prstGeom>
                  </pic:spPr>
                </pic:pic>
              </a:graphicData>
            </a:graphic>
          </wp:inline>
        </w:drawing>
      </w:r>
      <w:r>
        <w:rPr>
          <w:rFonts w:ascii="KaiTi" w:hAnsi="KaiTi" w:eastAsia="KaiTi"/>
        </w:rPr>
        <w:cr/>
      </w:r>
      <w:r>
        <w:rPr>
          <w:rFonts w:hint="eastAsia" w:ascii="KaiTi" w:hAnsi="KaiTi" w:eastAsia="KaiTi"/>
          <w:b/>
          <w:bCs/>
          <w:color w:val="4472C4" w:themeColor="accent1"/>
          <w:sz w:val="28"/>
          <w:szCs w:val="32"/>
          <w:highlight w:val="yellow"/>
          <w14:textFill>
            <w14:solidFill>
              <w14:schemeClr w14:val="accent1"/>
            </w14:solidFill>
          </w14:textFill>
        </w:rPr>
        <w:t>解析5</w:t>
      </w:r>
    </w:p>
    <w:p>
      <w:pPr>
        <w:rPr>
          <w:rFonts w:ascii="KaiTi" w:hAnsi="KaiTi" w:eastAsia="KaiTi"/>
        </w:rPr>
      </w:pPr>
      <w:r>
        <w:rPr>
          <w:rFonts w:hint="eastAsia" w:ascii="KaiTi" w:hAnsi="KaiTi" w:eastAsia="KaiTi"/>
        </w:rPr>
        <w:t>打开</w:t>
      </w:r>
      <w:r>
        <w:rPr>
          <w:rFonts w:ascii="KaiTi" w:hAnsi="KaiTi" w:eastAsia="KaiTi"/>
        </w:rPr>
        <w:t>i问财</w:t>
      </w:r>
      <w:r>
        <w:drawing>
          <wp:inline distT="0" distB="0" distL="0" distR="0">
            <wp:extent cx="480060" cy="550545"/>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487406" cy="558665"/>
                    </a:xfrm>
                    <a:prstGeom prst="rect">
                      <a:avLst/>
                    </a:prstGeom>
                  </pic:spPr>
                </pic:pic>
              </a:graphicData>
            </a:graphic>
          </wp:inline>
        </w:drawing>
      </w:r>
      <w:r>
        <w:rPr>
          <w:rFonts w:ascii="KaiTi" w:hAnsi="KaiTi" w:eastAsia="KaiTi"/>
        </w:rPr>
        <w:t>，输入搜索条件：</w:t>
      </w:r>
      <w:r>
        <w:rPr>
          <w:rFonts w:ascii="KaiTi" w:hAnsi="KaiTi" w:eastAsia="KaiTi"/>
        </w:rPr>
        <w:cr/>
      </w:r>
      <w:r>
        <w:rPr>
          <w:rFonts w:hint="eastAsia" w:ascii="KaiTi" w:hAnsi="KaiTi" w:eastAsia="KaiTi"/>
        </w:rPr>
        <w:t>洋河股份，</w:t>
      </w:r>
      <w:r>
        <w:rPr>
          <w:rFonts w:ascii="KaiTi" w:hAnsi="KaiTi" w:eastAsia="KaiTi"/>
        </w:rPr>
        <w:t>2016年到2020年，现金及现金等价物净增加额</w:t>
      </w:r>
      <w:r>
        <w:rPr>
          <w:rFonts w:ascii="KaiTi" w:hAnsi="KaiTi" w:eastAsia="KaiTi"/>
        </w:rPr>
        <w:cr/>
      </w:r>
      <w:r>
        <w:drawing>
          <wp:inline distT="0" distB="0" distL="0" distR="0">
            <wp:extent cx="5274310" cy="567499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5274310" cy="5674995"/>
                    </a:xfrm>
                    <a:prstGeom prst="rect">
                      <a:avLst/>
                    </a:prstGeom>
                  </pic:spPr>
                </pic:pic>
              </a:graphicData>
            </a:graphic>
          </wp:inline>
        </w:drawing>
      </w:r>
    </w:p>
    <w:p>
      <w:pPr>
        <w:pStyle w:val="4"/>
        <w:spacing w:line="360" w:lineRule="auto"/>
        <w:rPr>
          <w:rFonts w:ascii="KaiTi" w:hAnsi="KaiTi" w:eastAsia="KaiTi"/>
          <w:color w:val="4472C4" w:themeColor="accent1"/>
          <w:highlight w:val="yellow"/>
          <w14:textFill>
            <w14:solidFill>
              <w14:schemeClr w14:val="accent1"/>
            </w14:solidFill>
          </w14:textFill>
        </w:rPr>
      </w:pPr>
      <w:r>
        <w:rPr>
          <w:rFonts w:hint="eastAsia" w:ascii="KaiTi" w:hAnsi="KaiTi" w:eastAsia="KaiTi"/>
          <w:color w:val="4472C4" w:themeColor="accent1"/>
          <w:highlight w:val="yellow"/>
          <w14:textFill>
            <w14:solidFill>
              <w14:schemeClr w14:val="accent1"/>
            </w14:solidFill>
          </w14:textFill>
        </w:rPr>
        <w:t>解析6</w:t>
      </w:r>
    </w:p>
    <w:p>
      <w:pPr>
        <w:rPr>
          <w:rFonts w:ascii="KaiTi" w:hAnsi="KaiTi" w:eastAsia="KaiTi"/>
        </w:rPr>
      </w:pPr>
      <w:r>
        <w:rPr>
          <w:rFonts w:hint="eastAsia" w:ascii="KaiTi" w:hAnsi="KaiTi" w:eastAsia="KaiTi"/>
        </w:rPr>
        <w:t>按照解析3方法可以看到下图</w:t>
      </w:r>
    </w:p>
    <w:p>
      <w:pPr>
        <w:rPr>
          <w:rFonts w:ascii="KaiTi" w:hAnsi="KaiTi" w:eastAsia="KaiTi"/>
        </w:rPr>
      </w:pPr>
      <w:r>
        <w:drawing>
          <wp:inline distT="0" distB="0" distL="0" distR="0">
            <wp:extent cx="5274310" cy="463867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0"/>
                    <a:stretch>
                      <a:fillRect/>
                    </a:stretch>
                  </pic:blipFill>
                  <pic:spPr>
                    <a:xfrm>
                      <a:off x="0" y="0"/>
                      <a:ext cx="5274310" cy="4638675"/>
                    </a:xfrm>
                    <a:prstGeom prst="rect">
                      <a:avLst/>
                    </a:prstGeom>
                  </pic:spPr>
                </pic:pic>
              </a:graphicData>
            </a:graphic>
          </wp:inline>
        </w:drawing>
      </w:r>
    </w:p>
    <w:p>
      <w:pPr>
        <w:spacing w:line="360" w:lineRule="auto"/>
        <w:ind w:right="101" w:rightChars="42" w:firstLine="480" w:firstLineChars="200"/>
        <w:rPr>
          <w:rFonts w:ascii="KaiTi" w:hAnsi="KaiTi" w:eastAsia="KaiTi"/>
        </w:rPr>
      </w:pPr>
      <w:r>
        <w:rPr>
          <w:rFonts w:hint="eastAsia" w:ascii="KaiTi" w:hAnsi="KaiTi" w:eastAsia="KaiTi"/>
        </w:rPr>
        <w:t>报告期为计划分红的时间，除权除息日为实际发放分红的时间，我们看某一年的现金及现金等价物净增加额，需要看这一年实际发放了多少分红，把这个实际发放的金额加回，所以我们要看的时间是除权除息日。</w:t>
      </w:r>
    </w:p>
    <w:p>
      <w:pPr>
        <w:pStyle w:val="4"/>
        <w:spacing w:line="360" w:lineRule="auto"/>
        <w:rPr>
          <w:rFonts w:ascii="KaiTi" w:hAnsi="KaiTi" w:eastAsia="KaiTi"/>
          <w:color w:val="4472C4" w:themeColor="accent1"/>
          <w:highlight w:val="yellow"/>
          <w14:textFill>
            <w14:solidFill>
              <w14:schemeClr w14:val="accent1"/>
            </w14:solidFill>
          </w14:textFill>
        </w:rPr>
      </w:pPr>
      <w:r>
        <w:rPr>
          <w:rFonts w:hint="eastAsia" w:ascii="KaiTi" w:hAnsi="KaiTi" w:eastAsia="KaiTi"/>
          <w:color w:val="4472C4" w:themeColor="accent1"/>
          <w:highlight w:val="yellow"/>
          <w14:textFill>
            <w14:solidFill>
              <w14:schemeClr w14:val="accent1"/>
            </w14:solidFill>
          </w14:textFill>
        </w:rPr>
        <w:t>解析7</w:t>
      </w:r>
    </w:p>
    <w:p>
      <w:pPr>
        <w:rPr>
          <w:rFonts w:ascii="KaiTi" w:hAnsi="KaiTi" w:eastAsia="KaiTi"/>
        </w:rPr>
      </w:pPr>
      <w:r>
        <w:rPr>
          <w:rFonts w:hint="eastAsia" w:ascii="KaiTi" w:hAnsi="KaiTi" w:eastAsia="KaiTi"/>
        </w:rPr>
        <w:t>打开</w:t>
      </w:r>
      <w:r>
        <w:rPr>
          <w:rFonts w:ascii="KaiTi" w:hAnsi="KaiTi" w:eastAsia="KaiTi"/>
        </w:rPr>
        <w:t>i问财</w:t>
      </w:r>
      <w:r>
        <w:drawing>
          <wp:inline distT="0" distB="0" distL="0" distR="0">
            <wp:extent cx="480060" cy="550545"/>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2"/>
                    <a:stretch>
                      <a:fillRect/>
                    </a:stretch>
                  </pic:blipFill>
                  <pic:spPr>
                    <a:xfrm>
                      <a:off x="0" y="0"/>
                      <a:ext cx="487406" cy="558665"/>
                    </a:xfrm>
                    <a:prstGeom prst="rect">
                      <a:avLst/>
                    </a:prstGeom>
                  </pic:spPr>
                </pic:pic>
              </a:graphicData>
            </a:graphic>
          </wp:inline>
        </w:drawing>
      </w:r>
      <w:r>
        <w:rPr>
          <w:rFonts w:ascii="KaiTi" w:hAnsi="KaiTi" w:eastAsia="KaiTi"/>
        </w:rPr>
        <w:t>，输入搜索条件：</w:t>
      </w:r>
    </w:p>
    <w:p>
      <w:pPr>
        <w:rPr>
          <w:rFonts w:ascii="KaiTi" w:hAnsi="KaiTi" w:eastAsia="KaiTi"/>
        </w:rPr>
      </w:pPr>
      <w:r>
        <w:rPr>
          <w:rFonts w:hint="eastAsia" w:ascii="KaiTi" w:hAnsi="KaiTi" w:eastAsia="KaiTi"/>
        </w:rPr>
        <w:t>洋河股份，</w:t>
      </w:r>
      <w:r>
        <w:rPr>
          <w:rFonts w:ascii="KaiTi" w:hAnsi="KaiTi" w:eastAsia="KaiTi"/>
        </w:rPr>
        <w:t>2016年到2020年，期末现金及现金等价物余额，有息负债</w:t>
      </w:r>
      <w:r>
        <w:rPr>
          <w:rFonts w:ascii="KaiTi" w:hAnsi="KaiTi" w:eastAsia="KaiTi"/>
        </w:rPr>
        <w:cr/>
      </w:r>
      <w:r>
        <w:drawing>
          <wp:inline distT="0" distB="0" distL="0" distR="0">
            <wp:extent cx="5274310" cy="37445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1"/>
                    <a:stretch>
                      <a:fillRect/>
                    </a:stretch>
                  </pic:blipFill>
                  <pic:spPr>
                    <a:xfrm>
                      <a:off x="0" y="0"/>
                      <a:ext cx="5274310" cy="3744595"/>
                    </a:xfrm>
                    <a:prstGeom prst="rect">
                      <a:avLst/>
                    </a:prstGeom>
                  </pic:spPr>
                </pic:pic>
              </a:graphicData>
            </a:graphic>
          </wp:inline>
        </w:drawing>
      </w:r>
    </w:p>
    <w:p>
      <w:pPr>
        <w:widowControl w:val="0"/>
        <w:spacing w:line="240" w:lineRule="atLeast"/>
        <w:ind w:firstLine="480" w:firstLineChars="200"/>
        <w:jc w:val="both"/>
        <w:rPr>
          <w:rFonts w:ascii="KaiTi" w:hAnsi="KaiTi" w:eastAsia="KaiTi" w:cs="Times New Roman"/>
          <w:b/>
          <w:bCs/>
          <w:color w:val="FF0000"/>
          <w:kern w:val="2"/>
        </w:rPr>
      </w:pPr>
      <w:r>
        <w:rPr>
          <w:rFonts w:hint="eastAsia" w:ascii="KaiTi" w:hAnsi="KaiTi" w:eastAsia="KaiTi" w:cs="Times New Roman"/>
          <w:b/>
          <w:bCs/>
          <w:color w:val="FF0000"/>
          <w:kern w:val="2"/>
        </w:rPr>
        <w:t>重要声明：</w:t>
      </w:r>
    </w:p>
    <w:p>
      <w:pPr>
        <w:widowControl w:val="0"/>
        <w:spacing w:line="240" w:lineRule="atLeast"/>
        <w:ind w:firstLine="480" w:firstLineChars="200"/>
        <w:jc w:val="both"/>
        <w:rPr>
          <w:rFonts w:ascii="KaiTi" w:hAnsi="KaiTi" w:eastAsia="KaiTi" w:cs="Times New Roman"/>
          <w:b/>
          <w:bCs/>
          <w:color w:val="FF0000"/>
          <w:kern w:val="2"/>
        </w:rPr>
      </w:pPr>
      <w:r>
        <w:rPr>
          <w:rFonts w:hint="eastAsia" w:ascii="KaiTi" w:hAnsi="KaiTi" w:eastAsia="KaiTi" w:cs="Times New Roman"/>
          <w:b/>
          <w:bCs/>
          <w:color w:val="FF0000"/>
          <w:kern w:val="2"/>
        </w:rPr>
        <w:t>以上关于企业分析的内容，仅作为教学案例，帮助大家掌握投资技能，不作为投资建议。</w:t>
      </w:r>
    </w:p>
    <w:p>
      <w:pPr>
        <w:rPr>
          <w:rFonts w:ascii="KaiTi" w:hAnsi="KaiTi" w:eastAsia="KaiTi"/>
        </w:rPr>
      </w:pPr>
    </w:p>
    <w:p>
      <w:pPr>
        <w:rPr>
          <w:rFonts w:ascii="KaiTi" w:hAnsi="KaiTi" w:eastAsia="KaiTi"/>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454" w:footer="992" w:gutter="0"/>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Kingsoft Confetti">
    <w:panose1 w:val="05000100010000000000"/>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等线 Light">
    <w:altName w:val="汉仪书宋二KW"/>
    <w:panose1 w:val="02010600030101010101"/>
    <w:charset w:val="86"/>
    <w:family w:val="auto"/>
    <w:pitch w:val="default"/>
    <w:sig w:usb0="00000000" w:usb1="00000000" w:usb2="00000016" w:usb3="00000000" w:csb0="0004000F" w:csb1="00000000"/>
  </w:font>
  <w:font w:name="楷体">
    <w:altName w:val="汉仪楷体KW"/>
    <w:panose1 w:val="02010609060101010101"/>
    <w:charset w:val="86"/>
    <w:family w:val="modern"/>
    <w:pitch w:val="default"/>
    <w:sig w:usb0="00000000" w:usb1="00000000" w:usb2="00000016" w:usb3="00000000" w:csb0="00040001" w:csb1="00000000"/>
  </w:font>
  <w:font w:name="微软雅黑">
    <w:altName w:val="汉仪旗黑KW 55S"/>
    <w:panose1 w:val="020B0503020204020204"/>
    <w:charset w:val="86"/>
    <w:family w:val="swiss"/>
    <w:pitch w:val="default"/>
    <w:sig w:usb0="00000000" w:usb1="00000000" w:usb2="00000016" w:usb3="00000000" w:csb0="0004001F" w:csb1="00000000"/>
  </w:font>
  <w:font w:name="KaiTi">
    <w:altName w:val="汉仪楷体KW"/>
    <w:panose1 w:val="00000000000000000000"/>
    <w:charset w:val="86"/>
    <w:family w:val="modern"/>
    <w:pitch w:val="default"/>
    <w:sig w:usb0="00000000" w:usb1="00000000" w:usb2="00000016" w:usb3="00000000" w:csb0="00040001" w:csb1="00000000"/>
  </w:font>
  <w:font w:name="Microsoft YaHei">
    <w:altName w:val="汉仪旗黑KW 55S"/>
    <w:panose1 w:val="00000000000000000000"/>
    <w:charset w:val="00"/>
    <w:family w:val="auto"/>
    <w:pitch w:val="default"/>
    <w:sig w:usb0="00000000" w:usb1="00000000" w:usb2="00000000" w:usb3="00000000" w:csb0="00000000" w:csb1="00000000"/>
  </w:font>
  <w:font w:name="汉仪楷体KW">
    <w:panose1 w:val="00020600040101010101"/>
    <w:charset w:val="86"/>
    <w:family w:val="auto"/>
    <w:pitch w:val="default"/>
    <w:sig w:usb0="A00002BF" w:usb1="18EF7CFA" w:usb2="00000016" w:usb3="00000000" w:csb0="00040000" w:csb1="00000000"/>
  </w:font>
  <w:font w:name="汉仪旗黑KW 55S">
    <w:panose1 w:val="00020600040101010101"/>
    <w:charset w:val="86"/>
    <w:family w:val="auto"/>
    <w:pitch w:val="default"/>
    <w:sig w:usb0="A00002BF" w:usb1="3ACF7CFA" w:usb2="00000016"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8240" behindDoc="0" locked="0" layoutInCell="1" allowOverlap="1">
              <wp:simplePos x="0" y="0"/>
              <wp:positionH relativeFrom="margin">
                <wp:posOffset>2184400</wp:posOffset>
              </wp:positionH>
              <wp:positionV relativeFrom="paragraph">
                <wp:posOffset>-8890</wp:posOffset>
              </wp:positionV>
              <wp:extent cx="1151255" cy="1828800"/>
              <wp:effectExtent l="0" t="0" r="10795" b="0"/>
              <wp:wrapNone/>
              <wp:docPr id="29" name="文本框 29"/>
              <wp:cNvGraphicFramePr/>
              <a:graphic xmlns:a="http://schemas.openxmlformats.org/drawingml/2006/main">
                <a:graphicData uri="http://schemas.microsoft.com/office/word/2010/wordprocessingShape">
                  <wps:wsp>
                    <wps:cNvSpPr txBox="1"/>
                    <wps:spPr>
                      <a:xfrm>
                        <a:off x="0" y="0"/>
                        <a:ext cx="1151467"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ascii="KaiTi" w:hAnsi="KaiTi" w:eastAsia="KaiTi"/>
                              <w:sz w:val="18"/>
                            </w:rPr>
                          </w:pPr>
                          <w:r>
                            <w:rPr>
                              <w:rFonts w:ascii="KaiTi" w:hAnsi="KaiTi" w:eastAsia="KaiTi"/>
                              <w:sz w:val="18"/>
                            </w:rPr>
                            <w:t xml:space="preserve">第 </w:t>
                          </w:r>
                          <w:r>
                            <w:rPr>
                              <w:rFonts w:ascii="KaiTi" w:hAnsi="KaiTi" w:eastAsia="KaiTi"/>
                              <w:sz w:val="18"/>
                            </w:rPr>
                            <w:fldChar w:fldCharType="begin"/>
                          </w:r>
                          <w:r>
                            <w:rPr>
                              <w:rFonts w:ascii="KaiTi" w:hAnsi="KaiTi" w:eastAsia="KaiTi"/>
                              <w:sz w:val="18"/>
                            </w:rPr>
                            <w:instrText xml:space="preserve"> PAGE  \* MERGEFORMAT </w:instrText>
                          </w:r>
                          <w:r>
                            <w:rPr>
                              <w:rFonts w:ascii="KaiTi" w:hAnsi="KaiTi" w:eastAsia="KaiTi"/>
                              <w:sz w:val="18"/>
                            </w:rPr>
                            <w:fldChar w:fldCharType="separate"/>
                          </w:r>
                          <w:r>
                            <w:rPr>
                              <w:rFonts w:ascii="KaiTi" w:hAnsi="KaiTi" w:eastAsia="KaiTi"/>
                              <w:sz w:val="18"/>
                            </w:rPr>
                            <w:t>1</w:t>
                          </w:r>
                          <w:r>
                            <w:rPr>
                              <w:rFonts w:ascii="KaiTi" w:hAnsi="KaiTi" w:eastAsia="KaiTi"/>
                              <w:sz w:val="18"/>
                            </w:rPr>
                            <w:fldChar w:fldCharType="end"/>
                          </w:r>
                          <w:r>
                            <w:rPr>
                              <w:rFonts w:ascii="KaiTi" w:hAnsi="KaiTi" w:eastAsia="KaiTi"/>
                              <w:sz w:val="18"/>
                            </w:rPr>
                            <w:t xml:space="preserve"> 页 共 </w:t>
                          </w:r>
                          <w:r>
                            <w:rPr>
                              <w:rFonts w:ascii="KaiTi" w:hAnsi="KaiTi" w:eastAsia="KaiTi"/>
                              <w:sz w:val="18"/>
                            </w:rPr>
                            <w:fldChar w:fldCharType="begin"/>
                          </w:r>
                          <w:r>
                            <w:rPr>
                              <w:rFonts w:ascii="KaiTi" w:hAnsi="KaiTi" w:eastAsia="KaiTi"/>
                              <w:sz w:val="18"/>
                            </w:rPr>
                            <w:instrText xml:space="preserve"> NUMPAGES  \* MERGEFORMAT </w:instrText>
                          </w:r>
                          <w:r>
                            <w:rPr>
                              <w:rFonts w:ascii="KaiTi" w:hAnsi="KaiTi" w:eastAsia="KaiTi"/>
                              <w:sz w:val="18"/>
                            </w:rPr>
                            <w:fldChar w:fldCharType="separate"/>
                          </w:r>
                          <w:r>
                            <w:rPr>
                              <w:rFonts w:ascii="KaiTi" w:hAnsi="KaiTi" w:eastAsia="KaiTi"/>
                              <w:sz w:val="18"/>
                            </w:rPr>
                            <w:t>2</w:t>
                          </w:r>
                          <w:r>
                            <w:rPr>
                              <w:rFonts w:ascii="KaiTi" w:hAnsi="KaiTi" w:eastAsia="KaiTi"/>
                              <w:sz w:val="18"/>
                            </w:rPr>
                            <w:fldChar w:fldCharType="end"/>
                          </w:r>
                          <w:r>
                            <w:rPr>
                              <w:rFonts w:ascii="KaiTi" w:hAnsi="KaiTi" w:eastAsia="KaiTi"/>
                              <w:sz w:val="18"/>
                            </w:rPr>
                            <w:t xml:space="preserve"> 页</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72pt;margin-top:-0.7pt;height:144pt;width:90.65pt;mso-position-horizontal-relative:margin;z-index:251658240;mso-width-relative:page;mso-height-relative:page;" filled="f" stroked="f" coordsize="21600,21600" o:gfxdata="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BqDEAjaAAAACgEAAA8AAAAAAAAAAQAgAAAAOAAAAGRycy9kb3ducmV2LnhtbFBL&#10;AQIUABQAAAAIAIdO4kCFEmnbFwIAAAsEAAAOAAAAAAAAAAEAIAAAAD8BAABkcnMvZTJvRG9jLnht&#10;bFBLBQYAAAAABgAGAFkBAADIBQAAAAA=&#10;">
              <v:fill on="f" focussize="0,0"/>
              <v:stroke on="f" weight="0.5pt"/>
              <v:imagedata o:title=""/>
              <o:lock v:ext="edit" aspectratio="f"/>
              <v:textbox inset="0mm,0mm,0mm,0mm" style="mso-fit-shape-to-text:t;">
                <w:txbxContent>
                  <w:p>
                    <w:pPr>
                      <w:snapToGrid w:val="0"/>
                      <w:rPr>
                        <w:rFonts w:ascii="KaiTi" w:hAnsi="KaiTi" w:eastAsia="KaiTi"/>
                        <w:sz w:val="18"/>
                      </w:rPr>
                    </w:pPr>
                    <w:r>
                      <w:rPr>
                        <w:rFonts w:ascii="KaiTi" w:hAnsi="KaiTi" w:eastAsia="KaiTi"/>
                        <w:sz w:val="18"/>
                      </w:rPr>
                      <w:t xml:space="preserve">第 </w:t>
                    </w:r>
                    <w:r>
                      <w:rPr>
                        <w:rFonts w:ascii="KaiTi" w:hAnsi="KaiTi" w:eastAsia="KaiTi"/>
                        <w:sz w:val="18"/>
                      </w:rPr>
                      <w:fldChar w:fldCharType="begin"/>
                    </w:r>
                    <w:r>
                      <w:rPr>
                        <w:rFonts w:ascii="KaiTi" w:hAnsi="KaiTi" w:eastAsia="KaiTi"/>
                        <w:sz w:val="18"/>
                      </w:rPr>
                      <w:instrText xml:space="preserve"> PAGE  \* MERGEFORMAT </w:instrText>
                    </w:r>
                    <w:r>
                      <w:rPr>
                        <w:rFonts w:ascii="KaiTi" w:hAnsi="KaiTi" w:eastAsia="KaiTi"/>
                        <w:sz w:val="18"/>
                      </w:rPr>
                      <w:fldChar w:fldCharType="separate"/>
                    </w:r>
                    <w:r>
                      <w:rPr>
                        <w:rFonts w:ascii="KaiTi" w:hAnsi="KaiTi" w:eastAsia="KaiTi"/>
                        <w:sz w:val="18"/>
                      </w:rPr>
                      <w:t>1</w:t>
                    </w:r>
                    <w:r>
                      <w:rPr>
                        <w:rFonts w:ascii="KaiTi" w:hAnsi="KaiTi" w:eastAsia="KaiTi"/>
                        <w:sz w:val="18"/>
                      </w:rPr>
                      <w:fldChar w:fldCharType="end"/>
                    </w:r>
                    <w:r>
                      <w:rPr>
                        <w:rFonts w:ascii="KaiTi" w:hAnsi="KaiTi" w:eastAsia="KaiTi"/>
                        <w:sz w:val="18"/>
                      </w:rPr>
                      <w:t xml:space="preserve"> 页 共 </w:t>
                    </w:r>
                    <w:r>
                      <w:rPr>
                        <w:rFonts w:ascii="KaiTi" w:hAnsi="KaiTi" w:eastAsia="KaiTi"/>
                        <w:sz w:val="18"/>
                      </w:rPr>
                      <w:fldChar w:fldCharType="begin"/>
                    </w:r>
                    <w:r>
                      <w:rPr>
                        <w:rFonts w:ascii="KaiTi" w:hAnsi="KaiTi" w:eastAsia="KaiTi"/>
                        <w:sz w:val="18"/>
                      </w:rPr>
                      <w:instrText xml:space="preserve"> NUMPAGES  \* MERGEFORMAT </w:instrText>
                    </w:r>
                    <w:r>
                      <w:rPr>
                        <w:rFonts w:ascii="KaiTi" w:hAnsi="KaiTi" w:eastAsia="KaiTi"/>
                        <w:sz w:val="18"/>
                      </w:rPr>
                      <w:fldChar w:fldCharType="separate"/>
                    </w:r>
                    <w:r>
                      <w:rPr>
                        <w:rFonts w:ascii="KaiTi" w:hAnsi="KaiTi" w:eastAsia="KaiTi"/>
                        <w:sz w:val="18"/>
                      </w:rPr>
                      <w:t>2</w:t>
                    </w:r>
                    <w:r>
                      <w:rPr>
                        <w:rFonts w:ascii="KaiTi" w:hAnsi="KaiTi" w:eastAsia="KaiTi"/>
                        <w:sz w:val="18"/>
                      </w:rPr>
                      <w:fldChar w:fldCharType="end"/>
                    </w:r>
                    <w:r>
                      <w:rPr>
                        <w:rFonts w:ascii="KaiTi" w:hAnsi="KaiTi" w:eastAsia="KaiTi"/>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0070C0" w:sz="4" w:space="31"/>
      </w:pBdr>
      <w:tabs>
        <w:tab w:val="left" w:pos="1657"/>
        <w:tab w:val="clear" w:pos="4153"/>
        <w:tab w:val="clear" w:pos="8306"/>
      </w:tabs>
      <w:ind w:firstLine="360"/>
      <w:jc w:val="both"/>
    </w:pPr>
    <w:r>
      <w:drawing>
        <wp:anchor distT="0" distB="0" distL="114300" distR="114300" simplePos="0" relativeHeight="251660288" behindDoc="0" locked="0" layoutInCell="1" allowOverlap="1">
          <wp:simplePos x="0" y="0"/>
          <wp:positionH relativeFrom="column">
            <wp:posOffset>57150</wp:posOffset>
          </wp:positionH>
          <wp:positionV relativeFrom="paragraph">
            <wp:posOffset>342265</wp:posOffset>
          </wp:positionV>
          <wp:extent cx="508000" cy="189865"/>
          <wp:effectExtent l="0" t="0" r="6350" b="63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08000" cy="190016"/>
                  </a:xfrm>
                  <a:prstGeom prst="rect">
                    <a:avLst/>
                  </a:prstGeom>
                  <a:noFill/>
                  <a:ln>
                    <a:noFill/>
                  </a:ln>
                </pic:spPr>
              </pic:pic>
            </a:graphicData>
          </a:graphic>
        </wp:anchor>
      </w:drawing>
    </w: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BA4C3B"/>
    <w:multiLevelType w:val="singleLevel"/>
    <w:tmpl w:val="BFBA4C3B"/>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D1F"/>
    <w:rsid w:val="00001297"/>
    <w:rsid w:val="000018F1"/>
    <w:rsid w:val="00001B7D"/>
    <w:rsid w:val="0000227C"/>
    <w:rsid w:val="00007B23"/>
    <w:rsid w:val="00007FB2"/>
    <w:rsid w:val="00011458"/>
    <w:rsid w:val="000156CE"/>
    <w:rsid w:val="0002530B"/>
    <w:rsid w:val="00036D1F"/>
    <w:rsid w:val="000411E2"/>
    <w:rsid w:val="00046A14"/>
    <w:rsid w:val="0005121B"/>
    <w:rsid w:val="00054029"/>
    <w:rsid w:val="00055D16"/>
    <w:rsid w:val="000560CE"/>
    <w:rsid w:val="000607EA"/>
    <w:rsid w:val="00063A7D"/>
    <w:rsid w:val="00065851"/>
    <w:rsid w:val="00065ECC"/>
    <w:rsid w:val="000673A3"/>
    <w:rsid w:val="000704E3"/>
    <w:rsid w:val="00070543"/>
    <w:rsid w:val="000707D7"/>
    <w:rsid w:val="000722EE"/>
    <w:rsid w:val="00075C60"/>
    <w:rsid w:val="00076EE6"/>
    <w:rsid w:val="00082674"/>
    <w:rsid w:val="000835FD"/>
    <w:rsid w:val="00083AB5"/>
    <w:rsid w:val="0008654F"/>
    <w:rsid w:val="00087377"/>
    <w:rsid w:val="00090D22"/>
    <w:rsid w:val="000915B6"/>
    <w:rsid w:val="00091A8C"/>
    <w:rsid w:val="00093412"/>
    <w:rsid w:val="000944DE"/>
    <w:rsid w:val="00095055"/>
    <w:rsid w:val="00096237"/>
    <w:rsid w:val="00096C6F"/>
    <w:rsid w:val="000A0B21"/>
    <w:rsid w:val="000B0276"/>
    <w:rsid w:val="000B5842"/>
    <w:rsid w:val="000B724F"/>
    <w:rsid w:val="000C3BFF"/>
    <w:rsid w:val="000C497D"/>
    <w:rsid w:val="000C6315"/>
    <w:rsid w:val="000D5090"/>
    <w:rsid w:val="000D69FF"/>
    <w:rsid w:val="000D7A7B"/>
    <w:rsid w:val="000E06A6"/>
    <w:rsid w:val="000E1D71"/>
    <w:rsid w:val="000E3BFC"/>
    <w:rsid w:val="000E5449"/>
    <w:rsid w:val="000E5CD1"/>
    <w:rsid w:val="000E7E57"/>
    <w:rsid w:val="000F3C33"/>
    <w:rsid w:val="000F4ECB"/>
    <w:rsid w:val="000F66D4"/>
    <w:rsid w:val="0010342A"/>
    <w:rsid w:val="00105C4B"/>
    <w:rsid w:val="00107512"/>
    <w:rsid w:val="00114446"/>
    <w:rsid w:val="0011685D"/>
    <w:rsid w:val="001173FD"/>
    <w:rsid w:val="00117CD3"/>
    <w:rsid w:val="00120774"/>
    <w:rsid w:val="00122E1A"/>
    <w:rsid w:val="001245D0"/>
    <w:rsid w:val="001263DC"/>
    <w:rsid w:val="00126537"/>
    <w:rsid w:val="00127156"/>
    <w:rsid w:val="00127803"/>
    <w:rsid w:val="00134933"/>
    <w:rsid w:val="00135AA8"/>
    <w:rsid w:val="001372CB"/>
    <w:rsid w:val="001374CE"/>
    <w:rsid w:val="00143EFC"/>
    <w:rsid w:val="00144221"/>
    <w:rsid w:val="0015059D"/>
    <w:rsid w:val="00151290"/>
    <w:rsid w:val="00154C9A"/>
    <w:rsid w:val="00155A90"/>
    <w:rsid w:val="00157F6E"/>
    <w:rsid w:val="0016001B"/>
    <w:rsid w:val="00165982"/>
    <w:rsid w:val="00170322"/>
    <w:rsid w:val="0017368C"/>
    <w:rsid w:val="00175046"/>
    <w:rsid w:val="00175DB8"/>
    <w:rsid w:val="0018144D"/>
    <w:rsid w:val="00183321"/>
    <w:rsid w:val="00187BDA"/>
    <w:rsid w:val="00190EC9"/>
    <w:rsid w:val="001942C9"/>
    <w:rsid w:val="0019477F"/>
    <w:rsid w:val="001A4EEB"/>
    <w:rsid w:val="001B09A2"/>
    <w:rsid w:val="001B1FC5"/>
    <w:rsid w:val="001B4A49"/>
    <w:rsid w:val="001B5154"/>
    <w:rsid w:val="001B570D"/>
    <w:rsid w:val="001C1730"/>
    <w:rsid w:val="001C195C"/>
    <w:rsid w:val="001C573C"/>
    <w:rsid w:val="001C58F9"/>
    <w:rsid w:val="001D184A"/>
    <w:rsid w:val="001D18F5"/>
    <w:rsid w:val="001D204C"/>
    <w:rsid w:val="001E0A79"/>
    <w:rsid w:val="001E3DA1"/>
    <w:rsid w:val="001E6F9C"/>
    <w:rsid w:val="00204B6C"/>
    <w:rsid w:val="002063A1"/>
    <w:rsid w:val="00213476"/>
    <w:rsid w:val="00213CC7"/>
    <w:rsid w:val="00214C13"/>
    <w:rsid w:val="00215CB2"/>
    <w:rsid w:val="00217853"/>
    <w:rsid w:val="00222095"/>
    <w:rsid w:val="00224AC5"/>
    <w:rsid w:val="00227048"/>
    <w:rsid w:val="00235D36"/>
    <w:rsid w:val="00237265"/>
    <w:rsid w:val="0024175C"/>
    <w:rsid w:val="00246E62"/>
    <w:rsid w:val="002513AA"/>
    <w:rsid w:val="00253933"/>
    <w:rsid w:val="002554EE"/>
    <w:rsid w:val="00256087"/>
    <w:rsid w:val="00261860"/>
    <w:rsid w:val="00272F7C"/>
    <w:rsid w:val="00274475"/>
    <w:rsid w:val="00277A0D"/>
    <w:rsid w:val="00281E0D"/>
    <w:rsid w:val="00282F7D"/>
    <w:rsid w:val="00282FA7"/>
    <w:rsid w:val="00284A4B"/>
    <w:rsid w:val="002904A6"/>
    <w:rsid w:val="002920FE"/>
    <w:rsid w:val="002A030D"/>
    <w:rsid w:val="002A100C"/>
    <w:rsid w:val="002A5238"/>
    <w:rsid w:val="002B45B1"/>
    <w:rsid w:val="002B4C5E"/>
    <w:rsid w:val="002B58F9"/>
    <w:rsid w:val="002B5CE8"/>
    <w:rsid w:val="002C0159"/>
    <w:rsid w:val="002C2C92"/>
    <w:rsid w:val="002C4206"/>
    <w:rsid w:val="002D0010"/>
    <w:rsid w:val="002D02F7"/>
    <w:rsid w:val="002D0731"/>
    <w:rsid w:val="002D11E7"/>
    <w:rsid w:val="002D566A"/>
    <w:rsid w:val="002D7996"/>
    <w:rsid w:val="002E509B"/>
    <w:rsid w:val="002E643E"/>
    <w:rsid w:val="002E693D"/>
    <w:rsid w:val="002E6EB3"/>
    <w:rsid w:val="002E7B73"/>
    <w:rsid w:val="002F1643"/>
    <w:rsid w:val="002F1A57"/>
    <w:rsid w:val="002F479C"/>
    <w:rsid w:val="002F72D1"/>
    <w:rsid w:val="00303E0E"/>
    <w:rsid w:val="00305AD5"/>
    <w:rsid w:val="00305BED"/>
    <w:rsid w:val="00310420"/>
    <w:rsid w:val="003104A3"/>
    <w:rsid w:val="00311D61"/>
    <w:rsid w:val="00315236"/>
    <w:rsid w:val="003162F3"/>
    <w:rsid w:val="00316855"/>
    <w:rsid w:val="00316953"/>
    <w:rsid w:val="00316D9F"/>
    <w:rsid w:val="00320710"/>
    <w:rsid w:val="00321BDB"/>
    <w:rsid w:val="00322885"/>
    <w:rsid w:val="00334331"/>
    <w:rsid w:val="00336154"/>
    <w:rsid w:val="003403B5"/>
    <w:rsid w:val="00340AD3"/>
    <w:rsid w:val="00341CEA"/>
    <w:rsid w:val="003425FF"/>
    <w:rsid w:val="00342F99"/>
    <w:rsid w:val="00352D38"/>
    <w:rsid w:val="00352F98"/>
    <w:rsid w:val="003570F5"/>
    <w:rsid w:val="003625AD"/>
    <w:rsid w:val="0036576E"/>
    <w:rsid w:val="003671E9"/>
    <w:rsid w:val="003732B8"/>
    <w:rsid w:val="00382F51"/>
    <w:rsid w:val="00383F93"/>
    <w:rsid w:val="003873CA"/>
    <w:rsid w:val="00387583"/>
    <w:rsid w:val="00391F7F"/>
    <w:rsid w:val="00393256"/>
    <w:rsid w:val="00393307"/>
    <w:rsid w:val="00393E28"/>
    <w:rsid w:val="00397142"/>
    <w:rsid w:val="003B30AC"/>
    <w:rsid w:val="003B680A"/>
    <w:rsid w:val="003B778B"/>
    <w:rsid w:val="003D2D9D"/>
    <w:rsid w:val="003D3595"/>
    <w:rsid w:val="003D5D12"/>
    <w:rsid w:val="003D69B0"/>
    <w:rsid w:val="003E2F0E"/>
    <w:rsid w:val="003E549B"/>
    <w:rsid w:val="003F1F57"/>
    <w:rsid w:val="00400901"/>
    <w:rsid w:val="00401F7E"/>
    <w:rsid w:val="0040345F"/>
    <w:rsid w:val="004062D9"/>
    <w:rsid w:val="004120A5"/>
    <w:rsid w:val="004120A8"/>
    <w:rsid w:val="0041636E"/>
    <w:rsid w:val="00430EFD"/>
    <w:rsid w:val="00431589"/>
    <w:rsid w:val="00432331"/>
    <w:rsid w:val="00432335"/>
    <w:rsid w:val="00432B36"/>
    <w:rsid w:val="004337CF"/>
    <w:rsid w:val="0043393F"/>
    <w:rsid w:val="004368B9"/>
    <w:rsid w:val="004372EF"/>
    <w:rsid w:val="00444CB4"/>
    <w:rsid w:val="00444CDC"/>
    <w:rsid w:val="00446210"/>
    <w:rsid w:val="0044622E"/>
    <w:rsid w:val="00451199"/>
    <w:rsid w:val="0045383B"/>
    <w:rsid w:val="0045477C"/>
    <w:rsid w:val="00457F2B"/>
    <w:rsid w:val="00460CF4"/>
    <w:rsid w:val="00461170"/>
    <w:rsid w:val="00464619"/>
    <w:rsid w:val="00467C79"/>
    <w:rsid w:val="00473CA3"/>
    <w:rsid w:val="00473CEC"/>
    <w:rsid w:val="00481353"/>
    <w:rsid w:val="00483B62"/>
    <w:rsid w:val="00484A8A"/>
    <w:rsid w:val="00486478"/>
    <w:rsid w:val="00493E3E"/>
    <w:rsid w:val="00494967"/>
    <w:rsid w:val="00494A14"/>
    <w:rsid w:val="0049551F"/>
    <w:rsid w:val="004A6C86"/>
    <w:rsid w:val="004B08F8"/>
    <w:rsid w:val="004B7885"/>
    <w:rsid w:val="004C0FD3"/>
    <w:rsid w:val="004C134A"/>
    <w:rsid w:val="004C3950"/>
    <w:rsid w:val="004C6A2A"/>
    <w:rsid w:val="004D0640"/>
    <w:rsid w:val="004D1DDF"/>
    <w:rsid w:val="004D299B"/>
    <w:rsid w:val="004D52C3"/>
    <w:rsid w:val="004D76D1"/>
    <w:rsid w:val="004D7A02"/>
    <w:rsid w:val="004E2A0B"/>
    <w:rsid w:val="004E4F97"/>
    <w:rsid w:val="004E5F9C"/>
    <w:rsid w:val="004F2804"/>
    <w:rsid w:val="004F3F44"/>
    <w:rsid w:val="0050119B"/>
    <w:rsid w:val="00501792"/>
    <w:rsid w:val="0050352B"/>
    <w:rsid w:val="005038D5"/>
    <w:rsid w:val="00506FAE"/>
    <w:rsid w:val="005070C7"/>
    <w:rsid w:val="005128CC"/>
    <w:rsid w:val="00515C28"/>
    <w:rsid w:val="00516DF3"/>
    <w:rsid w:val="00517013"/>
    <w:rsid w:val="005178AD"/>
    <w:rsid w:val="00517EE9"/>
    <w:rsid w:val="005244BC"/>
    <w:rsid w:val="0052595D"/>
    <w:rsid w:val="0052793D"/>
    <w:rsid w:val="00533B89"/>
    <w:rsid w:val="00541C28"/>
    <w:rsid w:val="00541D9F"/>
    <w:rsid w:val="00552ED3"/>
    <w:rsid w:val="00555ED8"/>
    <w:rsid w:val="00561E6A"/>
    <w:rsid w:val="00563AF1"/>
    <w:rsid w:val="00564BFC"/>
    <w:rsid w:val="00572B43"/>
    <w:rsid w:val="00572C1C"/>
    <w:rsid w:val="0057498D"/>
    <w:rsid w:val="005807A9"/>
    <w:rsid w:val="00583D53"/>
    <w:rsid w:val="0058501B"/>
    <w:rsid w:val="00593DC4"/>
    <w:rsid w:val="0059419D"/>
    <w:rsid w:val="00594B81"/>
    <w:rsid w:val="005967B1"/>
    <w:rsid w:val="00596FDA"/>
    <w:rsid w:val="005A41A0"/>
    <w:rsid w:val="005A682A"/>
    <w:rsid w:val="005A7AEF"/>
    <w:rsid w:val="005B0D0E"/>
    <w:rsid w:val="005B18B4"/>
    <w:rsid w:val="005B2502"/>
    <w:rsid w:val="005B26F4"/>
    <w:rsid w:val="005C0563"/>
    <w:rsid w:val="005C0C36"/>
    <w:rsid w:val="005C2B24"/>
    <w:rsid w:val="005C3BDB"/>
    <w:rsid w:val="005C5CD9"/>
    <w:rsid w:val="005C64A7"/>
    <w:rsid w:val="005D14AA"/>
    <w:rsid w:val="005D1A83"/>
    <w:rsid w:val="005D263F"/>
    <w:rsid w:val="005D537D"/>
    <w:rsid w:val="005E3713"/>
    <w:rsid w:val="005E4501"/>
    <w:rsid w:val="005E7DEB"/>
    <w:rsid w:val="005F0AB1"/>
    <w:rsid w:val="005F5860"/>
    <w:rsid w:val="005F5F0C"/>
    <w:rsid w:val="005F710E"/>
    <w:rsid w:val="006021A1"/>
    <w:rsid w:val="0060443B"/>
    <w:rsid w:val="006049B9"/>
    <w:rsid w:val="0060602E"/>
    <w:rsid w:val="00610BFE"/>
    <w:rsid w:val="006125B5"/>
    <w:rsid w:val="00612884"/>
    <w:rsid w:val="00612DCF"/>
    <w:rsid w:val="00614916"/>
    <w:rsid w:val="00614CFC"/>
    <w:rsid w:val="00616495"/>
    <w:rsid w:val="00617FB8"/>
    <w:rsid w:val="00620DF5"/>
    <w:rsid w:val="00620F34"/>
    <w:rsid w:val="00625E6E"/>
    <w:rsid w:val="006266B3"/>
    <w:rsid w:val="00627AD9"/>
    <w:rsid w:val="006310A0"/>
    <w:rsid w:val="006311EB"/>
    <w:rsid w:val="00631A49"/>
    <w:rsid w:val="0063465F"/>
    <w:rsid w:val="00641951"/>
    <w:rsid w:val="00644DA6"/>
    <w:rsid w:val="0064558B"/>
    <w:rsid w:val="00651A33"/>
    <w:rsid w:val="00652952"/>
    <w:rsid w:val="00652BCE"/>
    <w:rsid w:val="00655E89"/>
    <w:rsid w:val="00657553"/>
    <w:rsid w:val="0066015F"/>
    <w:rsid w:val="00663467"/>
    <w:rsid w:val="006643D5"/>
    <w:rsid w:val="00664DCE"/>
    <w:rsid w:val="0067276F"/>
    <w:rsid w:val="00673A0B"/>
    <w:rsid w:val="0067445F"/>
    <w:rsid w:val="006748AF"/>
    <w:rsid w:val="0068122E"/>
    <w:rsid w:val="00682B16"/>
    <w:rsid w:val="006831C2"/>
    <w:rsid w:val="00685221"/>
    <w:rsid w:val="006872E5"/>
    <w:rsid w:val="00691956"/>
    <w:rsid w:val="0069208F"/>
    <w:rsid w:val="00693D3F"/>
    <w:rsid w:val="00695ACA"/>
    <w:rsid w:val="006A16E2"/>
    <w:rsid w:val="006A3EEB"/>
    <w:rsid w:val="006A74FC"/>
    <w:rsid w:val="006B21AC"/>
    <w:rsid w:val="006C0DFD"/>
    <w:rsid w:val="006C31CA"/>
    <w:rsid w:val="006C34A0"/>
    <w:rsid w:val="006C37E1"/>
    <w:rsid w:val="006D604E"/>
    <w:rsid w:val="006D628A"/>
    <w:rsid w:val="006D653F"/>
    <w:rsid w:val="006F14EB"/>
    <w:rsid w:val="006F1980"/>
    <w:rsid w:val="006F298B"/>
    <w:rsid w:val="00700ECB"/>
    <w:rsid w:val="0071030B"/>
    <w:rsid w:val="0072042D"/>
    <w:rsid w:val="00724D15"/>
    <w:rsid w:val="007258B2"/>
    <w:rsid w:val="00733480"/>
    <w:rsid w:val="0073348A"/>
    <w:rsid w:val="00734E48"/>
    <w:rsid w:val="00735011"/>
    <w:rsid w:val="00740ADB"/>
    <w:rsid w:val="00741A34"/>
    <w:rsid w:val="00743651"/>
    <w:rsid w:val="00744566"/>
    <w:rsid w:val="00744FB2"/>
    <w:rsid w:val="00746853"/>
    <w:rsid w:val="00754F7F"/>
    <w:rsid w:val="00755188"/>
    <w:rsid w:val="00755FBD"/>
    <w:rsid w:val="0075615A"/>
    <w:rsid w:val="007579F2"/>
    <w:rsid w:val="00765192"/>
    <w:rsid w:val="00766E8D"/>
    <w:rsid w:val="0076733A"/>
    <w:rsid w:val="00767ACD"/>
    <w:rsid w:val="007748DC"/>
    <w:rsid w:val="00776DE3"/>
    <w:rsid w:val="00777145"/>
    <w:rsid w:val="00780B2D"/>
    <w:rsid w:val="00780DA4"/>
    <w:rsid w:val="00785455"/>
    <w:rsid w:val="00792A18"/>
    <w:rsid w:val="00795D46"/>
    <w:rsid w:val="00796886"/>
    <w:rsid w:val="00797512"/>
    <w:rsid w:val="007A189E"/>
    <w:rsid w:val="007A3068"/>
    <w:rsid w:val="007A7834"/>
    <w:rsid w:val="007B10F3"/>
    <w:rsid w:val="007B22D7"/>
    <w:rsid w:val="007B2EAD"/>
    <w:rsid w:val="007B323E"/>
    <w:rsid w:val="007B3982"/>
    <w:rsid w:val="007B3E3E"/>
    <w:rsid w:val="007C0CCA"/>
    <w:rsid w:val="007C5C85"/>
    <w:rsid w:val="007C7FDA"/>
    <w:rsid w:val="007D1B72"/>
    <w:rsid w:val="007E13D9"/>
    <w:rsid w:val="007E752A"/>
    <w:rsid w:val="007F15A3"/>
    <w:rsid w:val="007F7635"/>
    <w:rsid w:val="007F7D84"/>
    <w:rsid w:val="00800BB1"/>
    <w:rsid w:val="00802AB5"/>
    <w:rsid w:val="00803026"/>
    <w:rsid w:val="008030D9"/>
    <w:rsid w:val="00810CBB"/>
    <w:rsid w:val="00811BA0"/>
    <w:rsid w:val="00812746"/>
    <w:rsid w:val="00813ADA"/>
    <w:rsid w:val="0081506C"/>
    <w:rsid w:val="00821699"/>
    <w:rsid w:val="008265CA"/>
    <w:rsid w:val="00826C39"/>
    <w:rsid w:val="008324EC"/>
    <w:rsid w:val="00833920"/>
    <w:rsid w:val="008357B4"/>
    <w:rsid w:val="008367B8"/>
    <w:rsid w:val="00840D54"/>
    <w:rsid w:val="008424FB"/>
    <w:rsid w:val="00844DDE"/>
    <w:rsid w:val="00845BB0"/>
    <w:rsid w:val="0084630D"/>
    <w:rsid w:val="0085110C"/>
    <w:rsid w:val="008520BF"/>
    <w:rsid w:val="008526F7"/>
    <w:rsid w:val="00853C74"/>
    <w:rsid w:val="00856BF6"/>
    <w:rsid w:val="00860895"/>
    <w:rsid w:val="00862E0C"/>
    <w:rsid w:val="00864E3A"/>
    <w:rsid w:val="008705E2"/>
    <w:rsid w:val="00870DEC"/>
    <w:rsid w:val="00872909"/>
    <w:rsid w:val="008730C9"/>
    <w:rsid w:val="008770F4"/>
    <w:rsid w:val="00883481"/>
    <w:rsid w:val="008836C8"/>
    <w:rsid w:val="00883F5B"/>
    <w:rsid w:val="008848CE"/>
    <w:rsid w:val="008858E0"/>
    <w:rsid w:val="00885E1F"/>
    <w:rsid w:val="00885EEA"/>
    <w:rsid w:val="0088621E"/>
    <w:rsid w:val="00890292"/>
    <w:rsid w:val="00896EA3"/>
    <w:rsid w:val="00896EE2"/>
    <w:rsid w:val="008A3110"/>
    <w:rsid w:val="008A3456"/>
    <w:rsid w:val="008A396A"/>
    <w:rsid w:val="008A58F4"/>
    <w:rsid w:val="008A681D"/>
    <w:rsid w:val="008A6DA1"/>
    <w:rsid w:val="008B0774"/>
    <w:rsid w:val="008B1644"/>
    <w:rsid w:val="008B3C70"/>
    <w:rsid w:val="008B49E6"/>
    <w:rsid w:val="008B4D3E"/>
    <w:rsid w:val="008B7B61"/>
    <w:rsid w:val="008C0342"/>
    <w:rsid w:val="008C1216"/>
    <w:rsid w:val="008C17E1"/>
    <w:rsid w:val="008C2912"/>
    <w:rsid w:val="008C3D3F"/>
    <w:rsid w:val="008C5D97"/>
    <w:rsid w:val="008D0A46"/>
    <w:rsid w:val="008E3CD3"/>
    <w:rsid w:val="008E42E6"/>
    <w:rsid w:val="008E5E58"/>
    <w:rsid w:val="008F7D52"/>
    <w:rsid w:val="00901562"/>
    <w:rsid w:val="009070D6"/>
    <w:rsid w:val="00910DA2"/>
    <w:rsid w:val="00911821"/>
    <w:rsid w:val="00915DA8"/>
    <w:rsid w:val="00931DB9"/>
    <w:rsid w:val="00933E3C"/>
    <w:rsid w:val="009431CC"/>
    <w:rsid w:val="00943771"/>
    <w:rsid w:val="00944FD3"/>
    <w:rsid w:val="0094565D"/>
    <w:rsid w:val="009466C4"/>
    <w:rsid w:val="00946B32"/>
    <w:rsid w:val="00951A31"/>
    <w:rsid w:val="00952B0A"/>
    <w:rsid w:val="00954ECC"/>
    <w:rsid w:val="009600A8"/>
    <w:rsid w:val="0096065A"/>
    <w:rsid w:val="00960B88"/>
    <w:rsid w:val="00960F6C"/>
    <w:rsid w:val="00960F80"/>
    <w:rsid w:val="0096155E"/>
    <w:rsid w:val="00965E97"/>
    <w:rsid w:val="009678C3"/>
    <w:rsid w:val="00980D91"/>
    <w:rsid w:val="00986AA6"/>
    <w:rsid w:val="00987055"/>
    <w:rsid w:val="009909DE"/>
    <w:rsid w:val="009913C7"/>
    <w:rsid w:val="0099329F"/>
    <w:rsid w:val="009963C6"/>
    <w:rsid w:val="009977E7"/>
    <w:rsid w:val="009A1298"/>
    <w:rsid w:val="009A2EDD"/>
    <w:rsid w:val="009A4320"/>
    <w:rsid w:val="009A578A"/>
    <w:rsid w:val="009A6D65"/>
    <w:rsid w:val="009B63BA"/>
    <w:rsid w:val="009C5638"/>
    <w:rsid w:val="009C680C"/>
    <w:rsid w:val="009C7490"/>
    <w:rsid w:val="009D2A88"/>
    <w:rsid w:val="009D3569"/>
    <w:rsid w:val="009E04DE"/>
    <w:rsid w:val="009E1CC1"/>
    <w:rsid w:val="009E3370"/>
    <w:rsid w:val="009E34C9"/>
    <w:rsid w:val="009F3A07"/>
    <w:rsid w:val="009F76A2"/>
    <w:rsid w:val="00A0469D"/>
    <w:rsid w:val="00A11D41"/>
    <w:rsid w:val="00A13830"/>
    <w:rsid w:val="00A141D5"/>
    <w:rsid w:val="00A22DC0"/>
    <w:rsid w:val="00A23A88"/>
    <w:rsid w:val="00A243AA"/>
    <w:rsid w:val="00A3512E"/>
    <w:rsid w:val="00A35A8C"/>
    <w:rsid w:val="00A4062D"/>
    <w:rsid w:val="00A44F24"/>
    <w:rsid w:val="00A45497"/>
    <w:rsid w:val="00A468EE"/>
    <w:rsid w:val="00A51C94"/>
    <w:rsid w:val="00A5588B"/>
    <w:rsid w:val="00A56CE1"/>
    <w:rsid w:val="00A57DA8"/>
    <w:rsid w:val="00A63231"/>
    <w:rsid w:val="00A7022F"/>
    <w:rsid w:val="00A7196F"/>
    <w:rsid w:val="00A761AD"/>
    <w:rsid w:val="00A77196"/>
    <w:rsid w:val="00A80239"/>
    <w:rsid w:val="00A80C57"/>
    <w:rsid w:val="00A859E2"/>
    <w:rsid w:val="00A867A0"/>
    <w:rsid w:val="00A86B4C"/>
    <w:rsid w:val="00A86EC4"/>
    <w:rsid w:val="00A9015B"/>
    <w:rsid w:val="00A9298A"/>
    <w:rsid w:val="00AA6468"/>
    <w:rsid w:val="00AB5449"/>
    <w:rsid w:val="00AB59DA"/>
    <w:rsid w:val="00AC4E5F"/>
    <w:rsid w:val="00AD06C6"/>
    <w:rsid w:val="00AD5F33"/>
    <w:rsid w:val="00AE10E3"/>
    <w:rsid w:val="00AE3D99"/>
    <w:rsid w:val="00AE6B78"/>
    <w:rsid w:val="00AF125C"/>
    <w:rsid w:val="00AF197C"/>
    <w:rsid w:val="00AF324D"/>
    <w:rsid w:val="00AF66F1"/>
    <w:rsid w:val="00AF7EAF"/>
    <w:rsid w:val="00B005FE"/>
    <w:rsid w:val="00B01AC0"/>
    <w:rsid w:val="00B022D2"/>
    <w:rsid w:val="00B03103"/>
    <w:rsid w:val="00B04F94"/>
    <w:rsid w:val="00B07DFA"/>
    <w:rsid w:val="00B12690"/>
    <w:rsid w:val="00B14F99"/>
    <w:rsid w:val="00B17890"/>
    <w:rsid w:val="00B271BD"/>
    <w:rsid w:val="00B37D1C"/>
    <w:rsid w:val="00B40A63"/>
    <w:rsid w:val="00B40DFC"/>
    <w:rsid w:val="00B430D2"/>
    <w:rsid w:val="00B47A72"/>
    <w:rsid w:val="00B50632"/>
    <w:rsid w:val="00B52E15"/>
    <w:rsid w:val="00B538D7"/>
    <w:rsid w:val="00B539F3"/>
    <w:rsid w:val="00B548DE"/>
    <w:rsid w:val="00B61DA1"/>
    <w:rsid w:val="00B632A9"/>
    <w:rsid w:val="00B63E6A"/>
    <w:rsid w:val="00B662E7"/>
    <w:rsid w:val="00B6781F"/>
    <w:rsid w:val="00B74946"/>
    <w:rsid w:val="00B770DA"/>
    <w:rsid w:val="00B8759D"/>
    <w:rsid w:val="00B92740"/>
    <w:rsid w:val="00B92EE1"/>
    <w:rsid w:val="00B93DD3"/>
    <w:rsid w:val="00B940C6"/>
    <w:rsid w:val="00B95EE0"/>
    <w:rsid w:val="00B9694E"/>
    <w:rsid w:val="00BA0C9F"/>
    <w:rsid w:val="00BA0DF7"/>
    <w:rsid w:val="00BA585A"/>
    <w:rsid w:val="00BA7C06"/>
    <w:rsid w:val="00BB1733"/>
    <w:rsid w:val="00BB17A2"/>
    <w:rsid w:val="00BB27D5"/>
    <w:rsid w:val="00BB69A4"/>
    <w:rsid w:val="00BC05A3"/>
    <w:rsid w:val="00BC2108"/>
    <w:rsid w:val="00BC4259"/>
    <w:rsid w:val="00BE0E1F"/>
    <w:rsid w:val="00BE14A6"/>
    <w:rsid w:val="00BE3F33"/>
    <w:rsid w:val="00BE5461"/>
    <w:rsid w:val="00BE6BDC"/>
    <w:rsid w:val="00BE7CB3"/>
    <w:rsid w:val="00BF0CC0"/>
    <w:rsid w:val="00BF12FA"/>
    <w:rsid w:val="00BF75BF"/>
    <w:rsid w:val="00C018C3"/>
    <w:rsid w:val="00C01C30"/>
    <w:rsid w:val="00C03D35"/>
    <w:rsid w:val="00C0507B"/>
    <w:rsid w:val="00C1310E"/>
    <w:rsid w:val="00C216B6"/>
    <w:rsid w:val="00C2305E"/>
    <w:rsid w:val="00C25006"/>
    <w:rsid w:val="00C25145"/>
    <w:rsid w:val="00C26DAC"/>
    <w:rsid w:val="00C31F83"/>
    <w:rsid w:val="00C43841"/>
    <w:rsid w:val="00C45879"/>
    <w:rsid w:val="00C4587E"/>
    <w:rsid w:val="00C46049"/>
    <w:rsid w:val="00C52B40"/>
    <w:rsid w:val="00C544F4"/>
    <w:rsid w:val="00C55BBE"/>
    <w:rsid w:val="00C55F2B"/>
    <w:rsid w:val="00C608B5"/>
    <w:rsid w:val="00C610D0"/>
    <w:rsid w:val="00C63250"/>
    <w:rsid w:val="00C675E0"/>
    <w:rsid w:val="00C74057"/>
    <w:rsid w:val="00C74D91"/>
    <w:rsid w:val="00C7765D"/>
    <w:rsid w:val="00C77EA9"/>
    <w:rsid w:val="00C82393"/>
    <w:rsid w:val="00C845DC"/>
    <w:rsid w:val="00C877DD"/>
    <w:rsid w:val="00C900C9"/>
    <w:rsid w:val="00C90784"/>
    <w:rsid w:val="00C90A90"/>
    <w:rsid w:val="00C92E7E"/>
    <w:rsid w:val="00CA4989"/>
    <w:rsid w:val="00CB0A29"/>
    <w:rsid w:val="00CB2986"/>
    <w:rsid w:val="00CB2A52"/>
    <w:rsid w:val="00CB50BC"/>
    <w:rsid w:val="00CC2A21"/>
    <w:rsid w:val="00CD077E"/>
    <w:rsid w:val="00CD4A9F"/>
    <w:rsid w:val="00CD5DE1"/>
    <w:rsid w:val="00CD7CD5"/>
    <w:rsid w:val="00CE27BB"/>
    <w:rsid w:val="00CE423D"/>
    <w:rsid w:val="00CE69F3"/>
    <w:rsid w:val="00CE6A20"/>
    <w:rsid w:val="00CF025C"/>
    <w:rsid w:val="00CF0AEA"/>
    <w:rsid w:val="00CF12E0"/>
    <w:rsid w:val="00D04A9B"/>
    <w:rsid w:val="00D1289C"/>
    <w:rsid w:val="00D158E6"/>
    <w:rsid w:val="00D25E1C"/>
    <w:rsid w:val="00D30914"/>
    <w:rsid w:val="00D31407"/>
    <w:rsid w:val="00D3524C"/>
    <w:rsid w:val="00D369DA"/>
    <w:rsid w:val="00D37979"/>
    <w:rsid w:val="00D41A33"/>
    <w:rsid w:val="00D42809"/>
    <w:rsid w:val="00D433F0"/>
    <w:rsid w:val="00D43608"/>
    <w:rsid w:val="00D43B2A"/>
    <w:rsid w:val="00D51C78"/>
    <w:rsid w:val="00D53E25"/>
    <w:rsid w:val="00D627D9"/>
    <w:rsid w:val="00D63386"/>
    <w:rsid w:val="00D64B1F"/>
    <w:rsid w:val="00D661B3"/>
    <w:rsid w:val="00D732FD"/>
    <w:rsid w:val="00D7545C"/>
    <w:rsid w:val="00D768EA"/>
    <w:rsid w:val="00D77D68"/>
    <w:rsid w:val="00D8061B"/>
    <w:rsid w:val="00D820E9"/>
    <w:rsid w:val="00D8391B"/>
    <w:rsid w:val="00D878D9"/>
    <w:rsid w:val="00D91A3B"/>
    <w:rsid w:val="00D934F2"/>
    <w:rsid w:val="00D94C0F"/>
    <w:rsid w:val="00DA631B"/>
    <w:rsid w:val="00DA6529"/>
    <w:rsid w:val="00DB20E6"/>
    <w:rsid w:val="00DB2393"/>
    <w:rsid w:val="00DB530F"/>
    <w:rsid w:val="00DC3038"/>
    <w:rsid w:val="00DC30CE"/>
    <w:rsid w:val="00DC71D4"/>
    <w:rsid w:val="00DD0AE4"/>
    <w:rsid w:val="00DD4127"/>
    <w:rsid w:val="00DE4B20"/>
    <w:rsid w:val="00DE5776"/>
    <w:rsid w:val="00DF3279"/>
    <w:rsid w:val="00DF4A1B"/>
    <w:rsid w:val="00E01A81"/>
    <w:rsid w:val="00E041F3"/>
    <w:rsid w:val="00E10964"/>
    <w:rsid w:val="00E14AD4"/>
    <w:rsid w:val="00E16C61"/>
    <w:rsid w:val="00E17286"/>
    <w:rsid w:val="00E2209D"/>
    <w:rsid w:val="00E26FA9"/>
    <w:rsid w:val="00E27824"/>
    <w:rsid w:val="00E3347E"/>
    <w:rsid w:val="00E34770"/>
    <w:rsid w:val="00E3678A"/>
    <w:rsid w:val="00E403A6"/>
    <w:rsid w:val="00E4074A"/>
    <w:rsid w:val="00E43866"/>
    <w:rsid w:val="00E44368"/>
    <w:rsid w:val="00E54BB2"/>
    <w:rsid w:val="00E60CD6"/>
    <w:rsid w:val="00E61B53"/>
    <w:rsid w:val="00E61ED7"/>
    <w:rsid w:val="00E61F5D"/>
    <w:rsid w:val="00E6200D"/>
    <w:rsid w:val="00E656A5"/>
    <w:rsid w:val="00E71E11"/>
    <w:rsid w:val="00E75B5A"/>
    <w:rsid w:val="00E77D05"/>
    <w:rsid w:val="00E8080E"/>
    <w:rsid w:val="00E80E7C"/>
    <w:rsid w:val="00E836BD"/>
    <w:rsid w:val="00E838C4"/>
    <w:rsid w:val="00E845E9"/>
    <w:rsid w:val="00E85D2A"/>
    <w:rsid w:val="00E86352"/>
    <w:rsid w:val="00E873CE"/>
    <w:rsid w:val="00EA14BC"/>
    <w:rsid w:val="00EA20B5"/>
    <w:rsid w:val="00EA7627"/>
    <w:rsid w:val="00EB1120"/>
    <w:rsid w:val="00EB37F8"/>
    <w:rsid w:val="00EB3AF4"/>
    <w:rsid w:val="00EC0150"/>
    <w:rsid w:val="00EC1770"/>
    <w:rsid w:val="00EC60B9"/>
    <w:rsid w:val="00EC6CB0"/>
    <w:rsid w:val="00ED3537"/>
    <w:rsid w:val="00ED64D9"/>
    <w:rsid w:val="00EE1190"/>
    <w:rsid w:val="00EE32DA"/>
    <w:rsid w:val="00EE3443"/>
    <w:rsid w:val="00EE7F41"/>
    <w:rsid w:val="00EF3751"/>
    <w:rsid w:val="00EF64E4"/>
    <w:rsid w:val="00EF73F4"/>
    <w:rsid w:val="00F04B28"/>
    <w:rsid w:val="00F0672E"/>
    <w:rsid w:val="00F1166B"/>
    <w:rsid w:val="00F12DCC"/>
    <w:rsid w:val="00F158CD"/>
    <w:rsid w:val="00F21E57"/>
    <w:rsid w:val="00F22DC3"/>
    <w:rsid w:val="00F22FB6"/>
    <w:rsid w:val="00F235DD"/>
    <w:rsid w:val="00F24C82"/>
    <w:rsid w:val="00F252EE"/>
    <w:rsid w:val="00F25E39"/>
    <w:rsid w:val="00F27C04"/>
    <w:rsid w:val="00F331FF"/>
    <w:rsid w:val="00F33294"/>
    <w:rsid w:val="00F3428E"/>
    <w:rsid w:val="00F408F4"/>
    <w:rsid w:val="00F41494"/>
    <w:rsid w:val="00F42C12"/>
    <w:rsid w:val="00F44456"/>
    <w:rsid w:val="00F4552B"/>
    <w:rsid w:val="00F45B02"/>
    <w:rsid w:val="00F45B9F"/>
    <w:rsid w:val="00F45D19"/>
    <w:rsid w:val="00F46C20"/>
    <w:rsid w:val="00F4733D"/>
    <w:rsid w:val="00F47A81"/>
    <w:rsid w:val="00F532F2"/>
    <w:rsid w:val="00F54321"/>
    <w:rsid w:val="00F551BE"/>
    <w:rsid w:val="00F62B02"/>
    <w:rsid w:val="00F70C8C"/>
    <w:rsid w:val="00F85009"/>
    <w:rsid w:val="00F861CE"/>
    <w:rsid w:val="00F92880"/>
    <w:rsid w:val="00FA105E"/>
    <w:rsid w:val="00FA1D6C"/>
    <w:rsid w:val="00FA502C"/>
    <w:rsid w:val="00FA6D52"/>
    <w:rsid w:val="00FB07A6"/>
    <w:rsid w:val="00FB0824"/>
    <w:rsid w:val="00FB1BE8"/>
    <w:rsid w:val="00FB2B30"/>
    <w:rsid w:val="00FB3C1F"/>
    <w:rsid w:val="00FB75FC"/>
    <w:rsid w:val="00FB7BED"/>
    <w:rsid w:val="00FC1DD8"/>
    <w:rsid w:val="00FC79A5"/>
    <w:rsid w:val="00FD0E5C"/>
    <w:rsid w:val="00FD56CB"/>
    <w:rsid w:val="00FD646A"/>
    <w:rsid w:val="00FE02F8"/>
    <w:rsid w:val="00FE159C"/>
    <w:rsid w:val="00FE4BA8"/>
    <w:rsid w:val="00FE4EF7"/>
    <w:rsid w:val="00FE5328"/>
    <w:rsid w:val="00FE743D"/>
    <w:rsid w:val="00FE7D20"/>
    <w:rsid w:val="00FF05E9"/>
    <w:rsid w:val="00FF1122"/>
    <w:rsid w:val="00FF1D53"/>
    <w:rsid w:val="00FF2747"/>
    <w:rsid w:val="00FF4EDA"/>
    <w:rsid w:val="454E03D3"/>
    <w:rsid w:val="542D6870"/>
    <w:rsid w:val="5DEF7D03"/>
    <w:rsid w:val="5FB7A7A6"/>
    <w:rsid w:val="6EE56D04"/>
    <w:rsid w:val="6FD16E75"/>
    <w:rsid w:val="7DE8ADCF"/>
    <w:rsid w:val="7FBF71EE"/>
    <w:rsid w:val="BF6EA141"/>
    <w:rsid w:val="C4FF9EEB"/>
    <w:rsid w:val="EFF7CBCE"/>
    <w:rsid w:val="F39FA8B4"/>
    <w:rsid w:val="FDD5BD7D"/>
    <w:rsid w:val="FDEFB3B0"/>
    <w:rsid w:val="FDFE6F90"/>
    <w:rsid w:val="FFFF59F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paragraph" w:styleId="2">
    <w:name w:val="heading 1"/>
    <w:basedOn w:val="1"/>
    <w:next w:val="1"/>
    <w:link w:val="24"/>
    <w:qFormat/>
    <w:uiPriority w:val="9"/>
    <w:pPr>
      <w:keepNext/>
      <w:keepLines/>
      <w:spacing w:before="120" w:after="120"/>
      <w:jc w:val="center"/>
      <w:outlineLvl w:val="0"/>
    </w:pPr>
    <w:rPr>
      <w:b/>
      <w:bCs/>
      <w:kern w:val="44"/>
      <w:sz w:val="30"/>
      <w:szCs w:val="44"/>
    </w:rPr>
  </w:style>
  <w:style w:type="paragraph" w:styleId="3">
    <w:name w:val="heading 2"/>
    <w:basedOn w:val="1"/>
    <w:next w:val="1"/>
    <w:link w:val="25"/>
    <w:unhideWhenUsed/>
    <w:qFormat/>
    <w:uiPriority w:val="9"/>
    <w:pPr>
      <w:keepNext/>
      <w:keepLines/>
      <w:spacing w:before="120" w:after="120"/>
      <w:outlineLvl w:val="1"/>
    </w:pPr>
    <w:rPr>
      <w:rFonts w:asciiTheme="majorHAnsi" w:hAnsiTheme="majorHAnsi" w:cstheme="majorBidi"/>
      <w:b/>
      <w:bCs/>
      <w:sz w:val="30"/>
      <w:szCs w:val="32"/>
    </w:rPr>
  </w:style>
  <w:style w:type="paragraph" w:styleId="4">
    <w:name w:val="heading 3"/>
    <w:basedOn w:val="1"/>
    <w:next w:val="1"/>
    <w:link w:val="27"/>
    <w:unhideWhenUsed/>
    <w:qFormat/>
    <w:uiPriority w:val="9"/>
    <w:pPr>
      <w:keepNext/>
      <w:keepLines/>
      <w:spacing w:before="120" w:after="120"/>
      <w:outlineLvl w:val="2"/>
    </w:pPr>
    <w:rPr>
      <w:b/>
      <w:bCs/>
      <w:sz w:val="28"/>
      <w:szCs w:val="32"/>
    </w:rPr>
  </w:style>
  <w:style w:type="paragraph" w:styleId="5">
    <w:name w:val="heading 4"/>
    <w:basedOn w:val="1"/>
    <w:next w:val="1"/>
    <w:link w:val="23"/>
    <w:unhideWhenUsed/>
    <w:qFormat/>
    <w:uiPriority w:val="9"/>
    <w:pPr>
      <w:keepNext/>
      <w:keepLines/>
      <w:spacing w:before="120" w:after="120"/>
      <w:outlineLvl w:val="3"/>
    </w:pPr>
    <w:rPr>
      <w:rFonts w:asciiTheme="majorHAnsi" w:hAnsiTheme="majorHAnsi" w:cstheme="majorBidi"/>
      <w:b/>
      <w:bCs/>
      <w:szCs w:val="28"/>
    </w:rPr>
  </w:style>
  <w:style w:type="paragraph" w:styleId="6">
    <w:name w:val="heading 5"/>
    <w:basedOn w:val="1"/>
    <w:next w:val="1"/>
    <w:link w:val="43"/>
    <w:semiHidden/>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8"/>
    <w:semiHidden/>
    <w:unhideWhenUsed/>
    <w:qFormat/>
    <w:uiPriority w:val="9"/>
    <w:pPr>
      <w:keepNext/>
      <w:keepLines/>
      <w:spacing w:before="240" w:after="64" w:line="320" w:lineRule="auto"/>
      <w:outlineLvl w:val="5"/>
    </w:pPr>
    <w:rPr>
      <w:rFonts w:asciiTheme="majorHAnsi" w:hAnsiTheme="majorHAnsi" w:eastAsiaTheme="majorEastAsia" w:cstheme="majorBidi"/>
      <w:b/>
      <w:bCs/>
    </w:rPr>
  </w:style>
  <w:style w:type="character" w:default="1" w:styleId="16">
    <w:name w:val="Default Paragraph Font"/>
    <w:semiHidden/>
    <w:unhideWhenUsed/>
    <w:uiPriority w:val="1"/>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8">
    <w:name w:val="annotation text"/>
    <w:basedOn w:val="1"/>
    <w:link w:val="29"/>
    <w:semiHidden/>
    <w:unhideWhenUsed/>
    <w:uiPriority w:val="99"/>
  </w:style>
  <w:style w:type="paragraph" w:styleId="9">
    <w:name w:val="Balloon Text"/>
    <w:basedOn w:val="1"/>
    <w:link w:val="31"/>
    <w:semiHidden/>
    <w:unhideWhenUsed/>
    <w:uiPriority w:val="99"/>
    <w:rPr>
      <w:sz w:val="18"/>
      <w:szCs w:val="18"/>
    </w:rPr>
  </w:style>
  <w:style w:type="paragraph" w:styleId="10">
    <w:name w:val="footer"/>
    <w:basedOn w:val="1"/>
    <w:link w:val="20"/>
    <w:unhideWhenUsed/>
    <w:uiPriority w:val="99"/>
    <w:pPr>
      <w:tabs>
        <w:tab w:val="center" w:pos="4153"/>
        <w:tab w:val="right" w:pos="8306"/>
      </w:tabs>
      <w:snapToGrid w:val="0"/>
    </w:pPr>
    <w:rPr>
      <w:sz w:val="18"/>
      <w:szCs w:val="18"/>
    </w:rPr>
  </w:style>
  <w:style w:type="paragraph" w:styleId="11">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12">
    <w:name w:val="Normal (Web)"/>
    <w:basedOn w:val="1"/>
    <w:semiHidden/>
    <w:unhideWhenUsed/>
    <w:uiPriority w:val="99"/>
  </w:style>
  <w:style w:type="paragraph" w:styleId="13">
    <w:name w:val="annotation subject"/>
    <w:basedOn w:val="8"/>
    <w:next w:val="8"/>
    <w:link w:val="30"/>
    <w:semiHidden/>
    <w:unhideWhenUsed/>
    <w:uiPriority w:val="99"/>
    <w:rPr>
      <w:b/>
      <w:bCs/>
    </w:rPr>
  </w:style>
  <w:style w:type="table" w:styleId="15">
    <w:name w:val="Table Grid"/>
    <w:basedOn w:val="1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7">
    <w:name w:val="Hyperlink"/>
    <w:basedOn w:val="16"/>
    <w:unhideWhenUsed/>
    <w:uiPriority w:val="99"/>
    <w:rPr>
      <w:color w:val="0000FF"/>
      <w:u w:val="single"/>
    </w:rPr>
  </w:style>
  <w:style w:type="character" w:styleId="18">
    <w:name w:val="annotation reference"/>
    <w:basedOn w:val="16"/>
    <w:semiHidden/>
    <w:unhideWhenUsed/>
    <w:uiPriority w:val="99"/>
    <w:rPr>
      <w:sz w:val="21"/>
      <w:szCs w:val="21"/>
    </w:rPr>
  </w:style>
  <w:style w:type="character" w:customStyle="1" w:styleId="19">
    <w:name w:val="页眉 字符"/>
    <w:basedOn w:val="16"/>
    <w:link w:val="11"/>
    <w:qFormat/>
    <w:uiPriority w:val="99"/>
    <w:rPr>
      <w:sz w:val="18"/>
      <w:szCs w:val="18"/>
    </w:rPr>
  </w:style>
  <w:style w:type="character" w:customStyle="1" w:styleId="20">
    <w:name w:val="页脚 字符"/>
    <w:basedOn w:val="16"/>
    <w:link w:val="10"/>
    <w:qFormat/>
    <w:uiPriority w:val="99"/>
    <w:rPr>
      <w:sz w:val="18"/>
      <w:szCs w:val="18"/>
    </w:rPr>
  </w:style>
  <w:style w:type="paragraph" w:styleId="21">
    <w:name w:val="List Paragraph"/>
    <w:basedOn w:val="1"/>
    <w:uiPriority w:val="34"/>
    <w:pPr>
      <w:ind w:firstLine="420"/>
    </w:pPr>
    <w:rPr>
      <w:szCs w:val="22"/>
    </w:rPr>
  </w:style>
  <w:style w:type="paragraph" w:customStyle="1" w:styleId="22">
    <w:name w:val="017讲义4级标题 一、"/>
    <w:basedOn w:val="5"/>
    <w:uiPriority w:val="0"/>
    <w:pPr>
      <w:spacing w:line="360" w:lineRule="auto"/>
      <w:textAlignment w:val="center"/>
    </w:pPr>
    <w:rPr>
      <w:rFonts w:ascii="Times New Roman" w:hAnsi="Times New Roman" w:cs="Times New Roman"/>
      <w:sz w:val="22"/>
      <w:szCs w:val="25"/>
    </w:rPr>
  </w:style>
  <w:style w:type="character" w:customStyle="1" w:styleId="23">
    <w:name w:val="标题 4 字符"/>
    <w:basedOn w:val="16"/>
    <w:link w:val="5"/>
    <w:qFormat/>
    <w:uiPriority w:val="9"/>
    <w:rPr>
      <w:rFonts w:eastAsia="楷体" w:asciiTheme="majorHAnsi" w:hAnsiTheme="majorHAnsi" w:cstheme="majorBidi"/>
      <w:b/>
      <w:bCs/>
      <w:kern w:val="2"/>
      <w:sz w:val="24"/>
      <w:szCs w:val="28"/>
    </w:rPr>
  </w:style>
  <w:style w:type="character" w:customStyle="1" w:styleId="24">
    <w:name w:val="标题 1 字符"/>
    <w:basedOn w:val="16"/>
    <w:link w:val="2"/>
    <w:qFormat/>
    <w:uiPriority w:val="9"/>
    <w:rPr>
      <w:rFonts w:ascii="Calibri" w:hAnsi="Calibri" w:eastAsia="楷体" w:cs="Times New Roman"/>
      <w:b/>
      <w:bCs/>
      <w:kern w:val="44"/>
      <w:sz w:val="30"/>
      <w:szCs w:val="44"/>
    </w:rPr>
  </w:style>
  <w:style w:type="character" w:customStyle="1" w:styleId="25">
    <w:name w:val="标题 2 字符"/>
    <w:basedOn w:val="16"/>
    <w:link w:val="3"/>
    <w:qFormat/>
    <w:uiPriority w:val="9"/>
    <w:rPr>
      <w:rFonts w:eastAsia="楷体" w:asciiTheme="majorHAnsi" w:hAnsiTheme="majorHAnsi" w:cstheme="majorBidi"/>
      <w:b/>
      <w:bCs/>
      <w:kern w:val="2"/>
      <w:sz w:val="30"/>
      <w:szCs w:val="32"/>
    </w:rPr>
  </w:style>
  <w:style w:type="paragraph" w:customStyle="1" w:styleId="26">
    <w:name w:val="el-menu-item"/>
    <w:basedOn w:val="1"/>
    <w:uiPriority w:val="0"/>
    <w:pPr>
      <w:spacing w:before="100" w:beforeAutospacing="1" w:after="100" w:afterAutospacing="1"/>
    </w:pPr>
  </w:style>
  <w:style w:type="character" w:customStyle="1" w:styleId="27">
    <w:name w:val="标题 3 字符"/>
    <w:basedOn w:val="16"/>
    <w:link w:val="4"/>
    <w:uiPriority w:val="9"/>
    <w:rPr>
      <w:rFonts w:ascii="Calibri" w:hAnsi="Calibri" w:eastAsia="楷体" w:cs="Times New Roman"/>
      <w:b/>
      <w:bCs/>
      <w:kern w:val="2"/>
      <w:sz w:val="28"/>
      <w:szCs w:val="32"/>
    </w:rPr>
  </w:style>
  <w:style w:type="table" w:customStyle="1" w:styleId="28">
    <w:name w:val="网格表 4 - 着色 11"/>
    <w:basedOn w:val="14"/>
    <w:uiPriority w:val="49"/>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character" w:customStyle="1" w:styleId="29">
    <w:name w:val="批注文字 字符"/>
    <w:basedOn w:val="16"/>
    <w:link w:val="8"/>
    <w:semiHidden/>
    <w:uiPriority w:val="99"/>
    <w:rPr>
      <w:rFonts w:ascii="Calibri" w:hAnsi="Calibri" w:eastAsia="楷体" w:cs="Times New Roman"/>
      <w:kern w:val="2"/>
      <w:sz w:val="24"/>
      <w:szCs w:val="24"/>
    </w:rPr>
  </w:style>
  <w:style w:type="character" w:customStyle="1" w:styleId="30">
    <w:name w:val="批注主题 字符"/>
    <w:basedOn w:val="29"/>
    <w:link w:val="13"/>
    <w:semiHidden/>
    <w:qFormat/>
    <w:uiPriority w:val="99"/>
    <w:rPr>
      <w:rFonts w:ascii="Calibri" w:hAnsi="Calibri" w:eastAsia="楷体" w:cs="Times New Roman"/>
      <w:b/>
      <w:bCs/>
      <w:kern w:val="2"/>
      <w:sz w:val="24"/>
      <w:szCs w:val="24"/>
    </w:rPr>
  </w:style>
  <w:style w:type="character" w:customStyle="1" w:styleId="31">
    <w:name w:val="批注框文本 字符"/>
    <w:basedOn w:val="16"/>
    <w:link w:val="9"/>
    <w:semiHidden/>
    <w:qFormat/>
    <w:uiPriority w:val="99"/>
    <w:rPr>
      <w:rFonts w:ascii="Calibri" w:hAnsi="Calibri" w:eastAsia="楷体" w:cs="Times New Roman"/>
      <w:kern w:val="2"/>
      <w:sz w:val="18"/>
      <w:szCs w:val="18"/>
    </w:rPr>
  </w:style>
  <w:style w:type="paragraph" w:customStyle="1" w:styleId="32">
    <w:name w:val="017讲义2级标题 章"/>
    <w:basedOn w:val="3"/>
    <w:link w:val="33"/>
    <w:qFormat/>
    <w:uiPriority w:val="0"/>
    <w:pPr>
      <w:keepNext w:val="0"/>
      <w:keepLines w:val="0"/>
      <w:spacing w:before="312" w:beforeLines="100" w:after="156" w:afterLines="50" w:line="360" w:lineRule="auto"/>
      <w:ind w:firstLine="480"/>
      <w:jc w:val="center"/>
      <w:textAlignment w:val="center"/>
    </w:pPr>
    <w:rPr>
      <w:rFonts w:ascii="微软雅黑" w:hAnsi="微软雅黑" w:eastAsia="微软雅黑" w:cs="Times New Roman"/>
      <w:bCs w:val="0"/>
      <w:sz w:val="32"/>
      <w:szCs w:val="29"/>
    </w:rPr>
  </w:style>
  <w:style w:type="character" w:customStyle="1" w:styleId="33">
    <w:name w:val="017讲义2级标题 章 Char"/>
    <w:basedOn w:val="16"/>
    <w:link w:val="32"/>
    <w:qFormat/>
    <w:uiPriority w:val="0"/>
    <w:rPr>
      <w:rFonts w:ascii="微软雅黑" w:hAnsi="微软雅黑" w:eastAsia="微软雅黑" w:cs="Times New Roman"/>
      <w:b/>
      <w:sz w:val="32"/>
      <w:szCs w:val="29"/>
    </w:rPr>
  </w:style>
  <w:style w:type="paragraph" w:customStyle="1" w:styleId="34">
    <w:name w:val="017讲义6级标题 1."/>
    <w:basedOn w:val="7"/>
    <w:link w:val="35"/>
    <w:qFormat/>
    <w:uiPriority w:val="0"/>
    <w:pPr>
      <w:spacing w:before="0" w:after="0" w:line="240" w:lineRule="auto"/>
      <w:ind w:firstLine="482"/>
      <w:textAlignment w:val="center"/>
    </w:pPr>
    <w:rPr>
      <w:rFonts w:ascii="KaiTi" w:hAnsi="KaiTi" w:eastAsia="KaiTi" w:cs="Arial"/>
      <w:szCs w:val="22"/>
    </w:rPr>
  </w:style>
  <w:style w:type="character" w:customStyle="1" w:styleId="35">
    <w:name w:val="017讲义6级标题 1. Char"/>
    <w:basedOn w:val="16"/>
    <w:link w:val="34"/>
    <w:qFormat/>
    <w:uiPriority w:val="0"/>
    <w:rPr>
      <w:rFonts w:ascii="KaiTi" w:hAnsi="KaiTi" w:eastAsia="KaiTi" w:cs="Arial"/>
      <w:b/>
      <w:bCs/>
      <w:sz w:val="24"/>
      <w:szCs w:val="22"/>
    </w:rPr>
  </w:style>
  <w:style w:type="paragraph" w:customStyle="1" w:styleId="36">
    <w:name w:val="017讲义正文"/>
    <w:basedOn w:val="1"/>
    <w:link w:val="37"/>
    <w:qFormat/>
    <w:uiPriority w:val="0"/>
    <w:pPr>
      <w:spacing w:line="360" w:lineRule="auto"/>
      <w:ind w:firstLine="480" w:firstLineChars="200"/>
      <w:textAlignment w:val="center"/>
    </w:pPr>
    <w:rPr>
      <w:rFonts w:ascii="KaiTi" w:hAnsi="KaiTi" w:eastAsia="KaiTi"/>
    </w:rPr>
  </w:style>
  <w:style w:type="character" w:customStyle="1" w:styleId="37">
    <w:name w:val="017讲义正文 Char"/>
    <w:link w:val="36"/>
    <w:qFormat/>
    <w:uiPriority w:val="0"/>
    <w:rPr>
      <w:rFonts w:ascii="KaiTi" w:hAnsi="KaiTi" w:eastAsia="KaiTi" w:cs="宋体"/>
      <w:sz w:val="24"/>
      <w:szCs w:val="24"/>
    </w:rPr>
  </w:style>
  <w:style w:type="character" w:customStyle="1" w:styleId="38">
    <w:name w:val="标题 6 字符"/>
    <w:basedOn w:val="16"/>
    <w:link w:val="7"/>
    <w:semiHidden/>
    <w:uiPriority w:val="9"/>
    <w:rPr>
      <w:rFonts w:asciiTheme="majorHAnsi" w:hAnsiTheme="majorHAnsi" w:eastAsiaTheme="majorEastAsia" w:cstheme="majorBidi"/>
      <w:b/>
      <w:bCs/>
      <w:kern w:val="2"/>
      <w:sz w:val="24"/>
      <w:szCs w:val="24"/>
    </w:rPr>
  </w:style>
  <w:style w:type="paragraph" w:customStyle="1" w:styleId="39">
    <w:name w:val="017讲义5级标题 （一）"/>
    <w:basedOn w:val="6"/>
    <w:link w:val="40"/>
    <w:qFormat/>
    <w:uiPriority w:val="0"/>
    <w:pPr>
      <w:spacing w:before="0" w:after="0" w:line="240" w:lineRule="auto"/>
      <w:textAlignment w:val="center"/>
    </w:pPr>
    <w:rPr>
      <w:rFonts w:ascii="Times New Roman" w:hAnsi="Times New Roman"/>
      <w:b w:val="0"/>
      <w:sz w:val="22"/>
      <w:szCs w:val="23"/>
    </w:rPr>
  </w:style>
  <w:style w:type="character" w:customStyle="1" w:styleId="40">
    <w:name w:val="017讲义5级标题 （一） Char"/>
    <w:basedOn w:val="16"/>
    <w:link w:val="39"/>
    <w:qFormat/>
    <w:uiPriority w:val="0"/>
    <w:rPr>
      <w:rFonts w:ascii="Times New Roman" w:hAnsi="Times New Roman" w:eastAsia="宋体" w:cs="Times New Roman"/>
      <w:bCs/>
      <w:sz w:val="22"/>
      <w:szCs w:val="23"/>
    </w:rPr>
  </w:style>
  <w:style w:type="paragraph" w:customStyle="1" w:styleId="41">
    <w:name w:val="小标题"/>
    <w:basedOn w:val="1"/>
    <w:link w:val="42"/>
    <w:qFormat/>
    <w:uiPriority w:val="0"/>
    <w:pPr>
      <w:spacing w:before="50" w:beforeLines="50" w:after="50" w:afterLines="50"/>
    </w:pPr>
    <w:rPr>
      <w:rFonts w:cs="微软雅黑"/>
      <w:b/>
      <w:color w:val="000000" w:themeColor="text1"/>
      <w14:textFill>
        <w14:solidFill>
          <w14:schemeClr w14:val="tx1"/>
        </w14:solidFill>
      </w14:textFill>
    </w:rPr>
  </w:style>
  <w:style w:type="character" w:customStyle="1" w:styleId="42">
    <w:name w:val="小标题 字符"/>
    <w:basedOn w:val="16"/>
    <w:link w:val="41"/>
    <w:uiPriority w:val="0"/>
    <w:rPr>
      <w:rFonts w:ascii="宋体" w:hAnsi="宋体" w:eastAsia="宋体" w:cs="微软雅黑"/>
      <w:b/>
      <w:color w:val="000000" w:themeColor="text1"/>
      <w:kern w:val="2"/>
      <w:sz w:val="24"/>
      <w:szCs w:val="24"/>
      <w14:textFill>
        <w14:solidFill>
          <w14:schemeClr w14:val="tx1"/>
        </w14:solidFill>
      </w14:textFill>
    </w:rPr>
  </w:style>
  <w:style w:type="character" w:customStyle="1" w:styleId="43">
    <w:name w:val="标题 5 字符"/>
    <w:basedOn w:val="16"/>
    <w:link w:val="6"/>
    <w:semiHidden/>
    <w:uiPriority w:val="9"/>
    <w:rPr>
      <w:rFonts w:ascii="Calibri" w:hAnsi="Calibri" w:eastAsia="楷体" w:cs="Times New Roman"/>
      <w:b/>
      <w:bCs/>
      <w:kern w:val="2"/>
      <w:sz w:val="28"/>
      <w:szCs w:val="28"/>
    </w:rPr>
  </w:style>
  <w:style w:type="paragraph" w:customStyle="1" w:styleId="44">
    <w:name w:val="小标题123"/>
    <w:basedOn w:val="1"/>
    <w:link w:val="45"/>
    <w:qFormat/>
    <w:uiPriority w:val="0"/>
    <w:pPr>
      <w:spacing w:before="190" w:beforeLines="50" w:after="190" w:afterLines="50" w:line="360" w:lineRule="auto"/>
    </w:pPr>
    <w:rPr>
      <w:rFonts w:cs="微软雅黑"/>
      <w:b/>
      <w:color w:val="000000" w:themeColor="text1"/>
      <w14:textFill>
        <w14:solidFill>
          <w14:schemeClr w14:val="tx1"/>
        </w14:solidFill>
      </w14:textFill>
    </w:rPr>
  </w:style>
  <w:style w:type="character" w:customStyle="1" w:styleId="45">
    <w:name w:val="小标题123 字符"/>
    <w:basedOn w:val="16"/>
    <w:link w:val="44"/>
    <w:uiPriority w:val="0"/>
    <w:rPr>
      <w:rFonts w:ascii="宋体" w:hAnsi="宋体" w:eastAsia="宋体" w:cs="微软雅黑"/>
      <w:b/>
      <w:color w:val="000000" w:themeColor="text1"/>
      <w:kern w:val="2"/>
      <w:sz w:val="24"/>
      <w:szCs w:val="24"/>
      <w14:textFill>
        <w14:solidFill>
          <w14:schemeClr w14:val="tx1"/>
        </w14:solidFill>
      </w14:textFill>
    </w:rPr>
  </w:style>
  <w:style w:type="character" w:customStyle="1" w:styleId="46">
    <w:name w:val="未处理的提及1"/>
    <w:basedOn w:val="16"/>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19</Pages>
  <Words>748</Words>
  <Characters>4264</Characters>
  <Lines>35</Lines>
  <Paragraphs>10</Paragraphs>
  <TotalTime>0</TotalTime>
  <ScaleCrop>false</ScaleCrop>
  <LinksUpToDate>false</LinksUpToDate>
  <CharactersWithSpaces>5002</CharactersWithSpaces>
  <Application>WWO_base_provider_20210929220102-c9fcf70066</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2021-05-17T23:11:00Z</dcterms:created>
  <dc:creator>曹 坤</dc:creator>
  <cp:lastModifiedBy>cc li</cp:lastModifiedBy>
  <dcterms:modified xsi:type="dcterms:W3CDTF">2021-12-20T14:23:09Z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